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6AFFFF3" w14:textId="77777777" w:rsidTr="00DD44B1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FAE1026" w14:textId="77777777" w:rsidR="002D5AAC" w:rsidRDefault="002D5AAC" w:rsidP="00DD44B1"/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3AE301D" w14:textId="77777777" w:rsidR="002D5AAC" w:rsidRPr="00BD33EE" w:rsidRDefault="00DF71B9" w:rsidP="00DD44B1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C7885C0" w14:textId="51087229" w:rsidR="002D5AAC" w:rsidRPr="00755598" w:rsidRDefault="00755598" w:rsidP="00755598">
            <w:pPr>
              <w:jc w:val="right"/>
            </w:pPr>
            <w:r w:rsidRPr="00755598">
              <w:rPr>
                <w:sz w:val="40"/>
              </w:rPr>
              <w:t>ECE</w:t>
            </w:r>
            <w:r>
              <w:t>/TRANS/WP.11/2022/1</w:t>
            </w:r>
          </w:p>
        </w:tc>
      </w:tr>
      <w:tr w:rsidR="002D5AAC" w:rsidRPr="00F01D23" w14:paraId="088D16A9" w14:textId="77777777" w:rsidTr="00DD44B1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8FAE805" w14:textId="77777777" w:rsidR="002D5AAC" w:rsidRDefault="002E5067" w:rsidP="00DD44B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5993FAF" wp14:editId="432D07A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CA3BA05" w14:textId="77777777" w:rsidR="002D5AAC" w:rsidRPr="00033EE1" w:rsidRDefault="00640F49" w:rsidP="00DD44B1">
            <w:pPr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C9D8544" w14:textId="77777777" w:rsidR="00F06483" w:rsidRDefault="00F06483" w:rsidP="00F06483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 xml:space="preserve">Distr.: </w:t>
            </w:r>
            <w:r w:rsidRPr="00755CE6">
              <w:rPr>
                <w:lang w:val="en-US"/>
              </w:rPr>
              <w:t>General</w:t>
            </w:r>
          </w:p>
          <w:p w14:paraId="5024201E" w14:textId="7A75E2AD" w:rsidR="002D5AAC" w:rsidRDefault="003B49EB" w:rsidP="0093301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6133DA">
              <w:rPr>
                <w:lang w:val="en-US"/>
              </w:rPr>
              <w:t xml:space="preserve"> </w:t>
            </w:r>
            <w:r w:rsidR="006133DA" w:rsidRPr="0093301D">
              <w:rPr>
                <w:rFonts w:eastAsiaTheme="minorHAnsi"/>
                <w:lang w:val="en-US" w:eastAsia="en-US"/>
              </w:rPr>
              <w:t>February</w:t>
            </w:r>
            <w:r w:rsidR="006133DA">
              <w:rPr>
                <w:lang w:val="en-US"/>
              </w:rPr>
              <w:t xml:space="preserve"> 2022</w:t>
            </w:r>
          </w:p>
          <w:p w14:paraId="14F0F19F" w14:textId="77777777" w:rsidR="006133DA" w:rsidRDefault="006133DA" w:rsidP="006133DA">
            <w:pPr>
              <w:spacing w:line="240" w:lineRule="exact"/>
              <w:rPr>
                <w:lang w:val="en-US"/>
              </w:rPr>
            </w:pPr>
          </w:p>
          <w:p w14:paraId="7A72289D" w14:textId="77777777" w:rsidR="006133DA" w:rsidRPr="00D62A45" w:rsidRDefault="006133DA" w:rsidP="006133D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Russian</w:t>
            </w:r>
          </w:p>
        </w:tc>
      </w:tr>
    </w:tbl>
    <w:p w14:paraId="27AAFC2E" w14:textId="77777777" w:rsidR="00E40F48" w:rsidRDefault="004D34EB" w:rsidP="006133DA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4CC92A5" w14:textId="77777777" w:rsidR="00C106E6" w:rsidRPr="00755CE6" w:rsidRDefault="00C106E6" w:rsidP="00C106E6">
      <w:pPr>
        <w:spacing w:before="120"/>
        <w:rPr>
          <w:sz w:val="28"/>
          <w:szCs w:val="28"/>
        </w:rPr>
      </w:pPr>
      <w:r w:rsidRPr="00755CE6">
        <w:rPr>
          <w:sz w:val="28"/>
          <w:szCs w:val="28"/>
        </w:rPr>
        <w:t>Комитет по внутреннему транспорту</w:t>
      </w:r>
    </w:p>
    <w:p w14:paraId="6722C5DD" w14:textId="77777777" w:rsidR="00C106E6" w:rsidRPr="00755CE6" w:rsidRDefault="00C106E6" w:rsidP="00C106E6">
      <w:pPr>
        <w:spacing w:before="120"/>
        <w:rPr>
          <w:b/>
          <w:sz w:val="24"/>
          <w:szCs w:val="24"/>
        </w:rPr>
      </w:pPr>
      <w:r w:rsidRPr="00755CE6">
        <w:rPr>
          <w:b/>
          <w:bCs/>
          <w:sz w:val="24"/>
          <w:szCs w:val="24"/>
        </w:rPr>
        <w:t>Рабочая группа по перевозкам скоропортящихся</w:t>
      </w:r>
      <w:r>
        <w:rPr>
          <w:b/>
          <w:bCs/>
          <w:sz w:val="24"/>
          <w:szCs w:val="24"/>
        </w:rPr>
        <w:br/>
      </w:r>
      <w:r w:rsidRPr="00755CE6">
        <w:rPr>
          <w:b/>
          <w:bCs/>
          <w:sz w:val="24"/>
          <w:szCs w:val="24"/>
        </w:rPr>
        <w:t>пищевых продуктов</w:t>
      </w:r>
    </w:p>
    <w:p w14:paraId="3C0DAE4A" w14:textId="593B1C4B" w:rsidR="00C106E6" w:rsidRPr="00221480" w:rsidRDefault="00C106E6" w:rsidP="00C106E6">
      <w:pPr>
        <w:spacing w:before="120"/>
        <w:rPr>
          <w:b/>
          <w:bCs/>
        </w:rPr>
      </w:pPr>
      <w:r w:rsidRPr="00221480">
        <w:rPr>
          <w:b/>
          <w:bCs/>
        </w:rPr>
        <w:t>Семьдесят седьмая сессия</w:t>
      </w:r>
      <w:r>
        <w:rPr>
          <w:b/>
          <w:bCs/>
        </w:rPr>
        <w:br/>
      </w:r>
      <w:r w:rsidRPr="00221480">
        <w:t xml:space="preserve">Женева, </w:t>
      </w:r>
      <w:r w:rsidR="00614C08" w:rsidRPr="00977A92">
        <w:t>3</w:t>
      </w:r>
      <w:r w:rsidRPr="00221480">
        <w:t>–</w:t>
      </w:r>
      <w:r w:rsidR="00614C08" w:rsidRPr="00977A92">
        <w:t>6</w:t>
      </w:r>
      <w:r w:rsidRPr="00221480">
        <w:t xml:space="preserve"> </w:t>
      </w:r>
      <w:r w:rsidR="00614C08">
        <w:t>ма</w:t>
      </w:r>
      <w:r w:rsidRPr="00221480">
        <w:t>я 202</w:t>
      </w:r>
      <w:r w:rsidR="00614C08">
        <w:t>2</w:t>
      </w:r>
      <w:r w:rsidRPr="00221480">
        <w:t xml:space="preserve"> года</w:t>
      </w:r>
      <w:r>
        <w:br/>
      </w:r>
      <w:r w:rsidRPr="005A1570">
        <w:t xml:space="preserve">Пункт 5 </w:t>
      </w:r>
      <w:r w:rsidR="001C2A6D">
        <w:rPr>
          <w:lang w:val="fr-CH"/>
        </w:rPr>
        <w:t>b</w:t>
      </w:r>
      <w:r w:rsidRPr="005A1570">
        <w:t>) предварительной повестки дня</w:t>
      </w:r>
      <w:r w:rsidRPr="005A1570">
        <w:br/>
      </w:r>
      <w:r w:rsidRPr="005A1570">
        <w:rPr>
          <w:b/>
          <w:bCs/>
        </w:rPr>
        <w:t>Предложения по поправкам к СПС:</w:t>
      </w:r>
      <w:r w:rsidRPr="005A1570">
        <w:rPr>
          <w:b/>
          <w:bCs/>
        </w:rPr>
        <w:br/>
      </w:r>
      <w:r w:rsidR="000273AD">
        <w:rPr>
          <w:b/>
          <w:bCs/>
        </w:rPr>
        <w:t xml:space="preserve">новые </w:t>
      </w:r>
      <w:r w:rsidRPr="005A1570">
        <w:rPr>
          <w:b/>
          <w:bCs/>
        </w:rPr>
        <w:t>предложения</w:t>
      </w:r>
    </w:p>
    <w:p w14:paraId="2217E3C5" w14:textId="2CF980D0" w:rsidR="00CD5441" w:rsidRDefault="00CD5441" w:rsidP="00CD5441">
      <w:pPr>
        <w:pStyle w:val="HChG"/>
      </w:pPr>
      <w:r>
        <w:tab/>
      </w:r>
      <w:r>
        <w:tab/>
        <w:t>Дополнение Соглашения</w:t>
      </w:r>
      <w:r>
        <w:rPr>
          <w:color w:val="000000"/>
        </w:rPr>
        <w:t xml:space="preserve"> </w:t>
      </w:r>
      <w:r>
        <w:t>о международных перевозках скоропортящихся пищевых продуктов и о специальных транспортных средствах, предназначенных для этих перевозок</w:t>
      </w:r>
      <w:r>
        <w:rPr>
          <w:spacing w:val="-4"/>
        </w:rPr>
        <w:t xml:space="preserve"> </w:t>
      </w:r>
      <w:r>
        <w:t>положениями,</w:t>
      </w:r>
      <w:r>
        <w:rPr>
          <w:spacing w:val="-2"/>
        </w:rPr>
        <w:t xml:space="preserve"> </w:t>
      </w:r>
      <w:r>
        <w:t>касающимися</w:t>
      </w:r>
      <w:r>
        <w:rPr>
          <w:spacing w:val="-7"/>
        </w:rPr>
        <w:t xml:space="preserve"> </w:t>
      </w:r>
      <w:r>
        <w:t>испытательных</w:t>
      </w:r>
      <w:r>
        <w:rPr>
          <w:spacing w:val="-9"/>
        </w:rPr>
        <w:t xml:space="preserve"> </w:t>
      </w:r>
      <w:r>
        <w:t>станций</w:t>
      </w:r>
      <w:r>
        <w:rPr>
          <w:spacing w:val="-2"/>
        </w:rPr>
        <w:t xml:space="preserve"> </w:t>
      </w:r>
      <w:r>
        <w:t>и</w:t>
      </w:r>
      <w:r>
        <w:rPr>
          <w:spacing w:val="-67"/>
        </w:rPr>
        <w:t xml:space="preserve"> </w:t>
      </w:r>
      <w:r w:rsidR="00E52E28" w:rsidRPr="00977A92">
        <w:rPr>
          <w:spacing w:val="-67"/>
        </w:rPr>
        <w:t xml:space="preserve"> </w:t>
      </w:r>
      <w:r w:rsidR="00540972" w:rsidRPr="00977A92">
        <w:rPr>
          <w:spacing w:val="-67"/>
        </w:rPr>
        <w:t xml:space="preserve"> </w:t>
      </w:r>
      <w:r>
        <w:t>экспертов</w:t>
      </w:r>
    </w:p>
    <w:p w14:paraId="065DD7B1" w14:textId="4DC2F858" w:rsidR="00CD5441" w:rsidRPr="00A62EBB" w:rsidRDefault="00A62EBB" w:rsidP="00A62EBB">
      <w:pPr>
        <w:pStyle w:val="H1G"/>
      </w:pPr>
      <w:r>
        <w:tab/>
      </w:r>
      <w:r>
        <w:tab/>
      </w:r>
      <w:r w:rsidRPr="00221480">
        <w:t>Передано правительством</w:t>
      </w:r>
      <w:r w:rsidR="00CD5441">
        <w:rPr>
          <w:spacing w:val="-10"/>
        </w:rPr>
        <w:t xml:space="preserve"> </w:t>
      </w:r>
      <w:r w:rsidR="00CD5441">
        <w:t>Российской</w:t>
      </w:r>
      <w:r w:rsidR="00CD5441">
        <w:rPr>
          <w:spacing w:val="-2"/>
        </w:rPr>
        <w:t xml:space="preserve"> </w:t>
      </w:r>
      <w:r w:rsidR="00CD5441">
        <w:t>Федераци</w:t>
      </w:r>
      <w:r>
        <w:t>и</w:t>
      </w:r>
    </w:p>
    <w:tbl>
      <w:tblPr>
        <w:tblStyle w:val="ae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5E0" w:firstRow="1" w:lastRow="1" w:firstColumn="1" w:lastColumn="1" w:noHBand="0" w:noVBand="1"/>
      </w:tblPr>
      <w:tblGrid>
        <w:gridCol w:w="2830"/>
        <w:gridCol w:w="6798"/>
      </w:tblGrid>
      <w:tr w:rsidR="00386CCB" w14:paraId="18CAA731" w14:textId="1D0921B1" w:rsidTr="009E68F7">
        <w:trPr>
          <w:jc w:val="center"/>
        </w:trPr>
        <w:tc>
          <w:tcPr>
            <w:tcW w:w="2830" w:type="dxa"/>
            <w:shd w:val="clear" w:color="auto" w:fill="auto"/>
          </w:tcPr>
          <w:p w14:paraId="3C4AB33B" w14:textId="4F8F6D3B" w:rsidR="00386CCB" w:rsidRPr="00C6263E" w:rsidRDefault="00386CCB" w:rsidP="006E5E26">
            <w:pPr>
              <w:spacing w:before="240" w:after="120"/>
              <w:ind w:left="255"/>
              <w:rPr>
                <w:i/>
                <w:sz w:val="24"/>
                <w:lang w:val="en-GB"/>
              </w:rPr>
            </w:pPr>
            <w:r w:rsidRPr="00755CE6">
              <w:rPr>
                <w:rFonts w:cs="Times New Roman"/>
                <w:i/>
                <w:sz w:val="24"/>
              </w:rPr>
              <w:t>Резюме</w:t>
            </w:r>
          </w:p>
        </w:tc>
        <w:tc>
          <w:tcPr>
            <w:tcW w:w="6798" w:type="dxa"/>
          </w:tcPr>
          <w:p w14:paraId="025E35A8" w14:textId="77777777" w:rsidR="00386CCB" w:rsidRPr="00755CE6" w:rsidRDefault="00386CCB" w:rsidP="006E5E26">
            <w:pPr>
              <w:spacing w:before="240" w:after="120"/>
              <w:ind w:left="255"/>
              <w:rPr>
                <w:rFonts w:cs="Times New Roman"/>
                <w:i/>
                <w:sz w:val="24"/>
              </w:rPr>
            </w:pPr>
          </w:p>
        </w:tc>
      </w:tr>
      <w:tr w:rsidR="00386CCB" w14:paraId="1A8E9AC4" w14:textId="455C2986" w:rsidTr="009E68F7">
        <w:trPr>
          <w:jc w:val="center"/>
        </w:trPr>
        <w:tc>
          <w:tcPr>
            <w:tcW w:w="2830" w:type="dxa"/>
            <w:shd w:val="clear" w:color="auto" w:fill="auto"/>
          </w:tcPr>
          <w:p w14:paraId="317CC497" w14:textId="49B30B76" w:rsidR="00386CCB" w:rsidRDefault="00386CCB" w:rsidP="00C70272">
            <w:pPr>
              <w:pStyle w:val="SingleTxtG"/>
              <w:ind w:left="255" w:right="0"/>
            </w:pPr>
            <w:r w:rsidRPr="00C70272">
              <w:rPr>
                <w:rFonts w:eastAsia="Times New Roman"/>
                <w:b/>
                <w:bCs/>
              </w:rPr>
              <w:t>Существо</w:t>
            </w:r>
            <w:r w:rsidRPr="00221480">
              <w:rPr>
                <w:b/>
                <w:bCs/>
              </w:rPr>
              <w:t xml:space="preserve"> предложения</w:t>
            </w:r>
            <w:r w:rsidRPr="00755CE6">
              <w:t>:</w:t>
            </w:r>
          </w:p>
        </w:tc>
        <w:tc>
          <w:tcPr>
            <w:tcW w:w="6798" w:type="dxa"/>
          </w:tcPr>
          <w:p w14:paraId="7BB1D1CB" w14:textId="6BEF2C49" w:rsidR="00386CCB" w:rsidRPr="00C6710D" w:rsidRDefault="00C6710D" w:rsidP="00D9051D">
            <w:pPr>
              <w:pStyle w:val="SingleTxtG"/>
              <w:ind w:left="0"/>
            </w:pPr>
            <w:r w:rsidRPr="00C6710D">
              <w:t xml:space="preserve">В </w:t>
            </w:r>
            <w:r w:rsidRPr="00D9051D">
              <w:rPr>
                <w:rFonts w:eastAsia="Times New Roman"/>
              </w:rPr>
              <w:t>Соглашении</w:t>
            </w:r>
            <w:r w:rsidRPr="00C6710D">
              <w:t xml:space="preserve"> о международных перевозках скоропортящихся пищевых продуктов и о специальных транспортных средствах, предназначенных для этих перевозок, подписанном в г. Женеве 1</w:t>
            </w:r>
            <w:r w:rsidR="00EF0907">
              <w:t> </w:t>
            </w:r>
            <w:r w:rsidRPr="00C6710D">
              <w:t>сентября 1970 г. (далее – СПС), указано, что испытательные станции и эксперты назначаются компетентным органом страны по СПС, при этом требования, которым должна соответствовать организация, чтобы быть уполномоченной в качестве испытательной станции или эксперта и положения о надзоре (контроле) за деятельностью испытательных станций и назначенных экспертов СПС не установлены.</w:t>
            </w:r>
          </w:p>
        </w:tc>
      </w:tr>
      <w:tr w:rsidR="00C51B70" w14:paraId="2376107C" w14:textId="77777777" w:rsidTr="009E68F7">
        <w:trPr>
          <w:jc w:val="center"/>
        </w:trPr>
        <w:tc>
          <w:tcPr>
            <w:tcW w:w="2830" w:type="dxa"/>
            <w:shd w:val="clear" w:color="auto" w:fill="auto"/>
          </w:tcPr>
          <w:p w14:paraId="3EBBDC20" w14:textId="1E2943C3" w:rsidR="00C51B70" w:rsidRPr="00C70272" w:rsidRDefault="00E07ABC" w:rsidP="00C70272">
            <w:pPr>
              <w:pStyle w:val="SingleTxtG"/>
              <w:ind w:left="255" w:right="0"/>
              <w:rPr>
                <w:b/>
                <w:bCs/>
              </w:rPr>
            </w:pPr>
            <w:r w:rsidRPr="00221480">
              <w:rPr>
                <w:b/>
                <w:bCs/>
              </w:rPr>
              <w:t>Предлагаемое решение</w:t>
            </w:r>
            <w:r w:rsidRPr="00755CE6">
              <w:t>:</w:t>
            </w:r>
          </w:p>
        </w:tc>
        <w:tc>
          <w:tcPr>
            <w:tcW w:w="6798" w:type="dxa"/>
          </w:tcPr>
          <w:p w14:paraId="47F880E8" w14:textId="74AD758C" w:rsidR="00C51B70" w:rsidRPr="00C70272" w:rsidRDefault="00730906" w:rsidP="00441DA3">
            <w:pPr>
              <w:pStyle w:val="SingleTxtG"/>
              <w:ind w:left="0"/>
              <w:rPr>
                <w:b/>
                <w:bCs/>
              </w:rPr>
            </w:pPr>
            <w:r w:rsidRPr="00441DA3">
              <w:t>Дополнить СПС соответствующими положениями.</w:t>
            </w:r>
          </w:p>
        </w:tc>
      </w:tr>
      <w:tr w:rsidR="00C51B70" w14:paraId="4F330ABB" w14:textId="77777777" w:rsidTr="009E68F7">
        <w:trPr>
          <w:jc w:val="center"/>
        </w:trPr>
        <w:tc>
          <w:tcPr>
            <w:tcW w:w="2830" w:type="dxa"/>
            <w:shd w:val="clear" w:color="auto" w:fill="auto"/>
          </w:tcPr>
          <w:p w14:paraId="3E50054D" w14:textId="789552C6" w:rsidR="00C51B70" w:rsidRPr="00C70272" w:rsidRDefault="001E049D" w:rsidP="00C70272">
            <w:pPr>
              <w:pStyle w:val="SingleTxtG"/>
              <w:ind w:left="255" w:right="0"/>
              <w:rPr>
                <w:b/>
                <w:bCs/>
              </w:rPr>
            </w:pPr>
            <w:r w:rsidRPr="00221480">
              <w:rPr>
                <w:b/>
                <w:bCs/>
              </w:rPr>
              <w:t>Справочн</w:t>
            </w:r>
            <w:r w:rsidR="00441DA3">
              <w:rPr>
                <w:b/>
                <w:bCs/>
              </w:rPr>
              <w:t>ая</w:t>
            </w:r>
            <w:r w:rsidRPr="00221480">
              <w:rPr>
                <w:b/>
                <w:bCs/>
              </w:rPr>
              <w:t xml:space="preserve"> </w:t>
            </w:r>
            <w:r w:rsidR="00441DA3">
              <w:rPr>
                <w:b/>
                <w:bCs/>
              </w:rPr>
              <w:t>ин</w:t>
            </w:r>
            <w:r w:rsidR="008223F6">
              <w:rPr>
                <w:b/>
                <w:bCs/>
              </w:rPr>
              <w:t>формация</w:t>
            </w:r>
            <w:r w:rsidRPr="00755CE6">
              <w:t>:</w:t>
            </w:r>
          </w:p>
        </w:tc>
        <w:tc>
          <w:tcPr>
            <w:tcW w:w="6798" w:type="dxa"/>
          </w:tcPr>
          <w:p w14:paraId="1EE841DA" w14:textId="72729C83" w:rsidR="00C51B70" w:rsidRPr="00C70272" w:rsidRDefault="0067719A" w:rsidP="0067719A">
            <w:pPr>
              <w:pStyle w:val="SingleTxtG"/>
              <w:ind w:left="0"/>
              <w:rPr>
                <w:b/>
                <w:bCs/>
              </w:rPr>
            </w:pPr>
            <w:r w:rsidRPr="0067719A">
              <w:t>Отсутствует.</w:t>
            </w:r>
          </w:p>
        </w:tc>
      </w:tr>
      <w:tr w:rsidR="00386CCB" w14:paraId="427919B7" w14:textId="74ACF07A" w:rsidTr="009E68F7">
        <w:trPr>
          <w:jc w:val="center"/>
        </w:trPr>
        <w:tc>
          <w:tcPr>
            <w:tcW w:w="2830" w:type="dxa"/>
            <w:shd w:val="clear" w:color="auto" w:fill="auto"/>
          </w:tcPr>
          <w:p w14:paraId="6BD416BC" w14:textId="77777777" w:rsidR="00386CCB" w:rsidRDefault="00386CCB" w:rsidP="006E5E26">
            <w:pPr>
              <w:rPr>
                <w:lang w:val="en-GB"/>
              </w:rPr>
            </w:pPr>
          </w:p>
        </w:tc>
        <w:tc>
          <w:tcPr>
            <w:tcW w:w="6798" w:type="dxa"/>
          </w:tcPr>
          <w:p w14:paraId="2992718E" w14:textId="77777777" w:rsidR="00386CCB" w:rsidRDefault="00386CCB" w:rsidP="006E5E26">
            <w:pPr>
              <w:rPr>
                <w:lang w:val="en-GB"/>
              </w:rPr>
            </w:pPr>
          </w:p>
        </w:tc>
      </w:tr>
    </w:tbl>
    <w:p w14:paraId="4A8BAEB1" w14:textId="16A1BD8C" w:rsidR="00C2129E" w:rsidRDefault="00C41DA2" w:rsidP="00C41DA2">
      <w:pPr>
        <w:pStyle w:val="HChG"/>
      </w:pPr>
      <w:r>
        <w:lastRenderedPageBreak/>
        <w:tab/>
      </w:r>
      <w:r>
        <w:tab/>
      </w:r>
      <w:r w:rsidR="00C2129E">
        <w:t>Введение</w:t>
      </w:r>
    </w:p>
    <w:p w14:paraId="6BB98BF2" w14:textId="3923E63D" w:rsidR="00C2129E" w:rsidRDefault="00C2129E" w:rsidP="00C41DA2">
      <w:pPr>
        <w:pStyle w:val="SingleTxtG"/>
      </w:pPr>
      <w:r>
        <w:t>1.</w:t>
      </w:r>
      <w:r>
        <w:tab/>
        <w:t>В</w:t>
      </w:r>
      <w:r>
        <w:rPr>
          <w:spacing w:val="1"/>
        </w:rPr>
        <w:t xml:space="preserve"> </w:t>
      </w:r>
      <w:r w:rsidR="008C7F74">
        <w:t>пункте</w:t>
      </w:r>
      <w:r>
        <w:t xml:space="preserve"> 1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добавления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СПС</w:t>
      </w:r>
      <w:r>
        <w:rPr>
          <w:spacing w:val="1"/>
        </w:rPr>
        <w:t xml:space="preserve"> </w:t>
      </w:r>
      <w:r>
        <w:t>упоминается,</w:t>
      </w:r>
      <w:r>
        <w:rPr>
          <w:spacing w:val="1"/>
        </w:rPr>
        <w:t xml:space="preserve"> </w:t>
      </w:r>
      <w:r>
        <w:t>что</w:t>
      </w:r>
      <w:r>
        <w:rPr>
          <w:spacing w:val="60"/>
        </w:rPr>
        <w:t xml:space="preserve"> </w:t>
      </w:r>
      <w:r>
        <w:t>испытательные</w:t>
      </w:r>
      <w:r>
        <w:rPr>
          <w:spacing w:val="-57"/>
        </w:rPr>
        <w:t xml:space="preserve"> </w:t>
      </w:r>
      <w:r>
        <w:t>станции</w:t>
      </w:r>
      <w:r>
        <w:rPr>
          <w:spacing w:val="-5"/>
        </w:rPr>
        <w:t xml:space="preserve"> </w:t>
      </w:r>
      <w:r>
        <w:t>назначаются</w:t>
      </w:r>
      <w:r>
        <w:rPr>
          <w:spacing w:val="-2"/>
        </w:rPr>
        <w:t xml:space="preserve"> </w:t>
      </w:r>
      <w:r>
        <w:t>или уполномочиваются</w:t>
      </w:r>
      <w:r>
        <w:rPr>
          <w:spacing w:val="-2"/>
        </w:rPr>
        <w:t xml:space="preserve"> </w:t>
      </w:r>
      <w:r>
        <w:t>компетентным</w:t>
      </w:r>
      <w:r>
        <w:rPr>
          <w:spacing w:val="-3"/>
        </w:rPr>
        <w:t xml:space="preserve"> </w:t>
      </w:r>
      <w:r>
        <w:t>органом</w:t>
      </w:r>
      <w:r>
        <w:rPr>
          <w:spacing w:val="-4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СПС.</w:t>
      </w:r>
    </w:p>
    <w:p w14:paraId="483AC657" w14:textId="77777777" w:rsidR="00C2129E" w:rsidRDefault="00C2129E" w:rsidP="00C41DA2">
      <w:pPr>
        <w:pStyle w:val="SingleTxtG"/>
        <w:rPr>
          <w:b/>
        </w:rPr>
      </w:pPr>
      <w:r>
        <w:t>2.</w:t>
      </w:r>
      <w:r>
        <w:tab/>
        <w:t>В пунктах 5 и 6 приложения 1, добавления 2 к СПС указано, что компетентный орган</w:t>
      </w:r>
      <w:r>
        <w:rPr>
          <w:spacing w:val="1"/>
        </w:rPr>
        <w:t xml:space="preserve"> </w:t>
      </w:r>
      <w:r>
        <w:t xml:space="preserve">может назначить экспертов, </w:t>
      </w:r>
      <w:r>
        <w:rPr>
          <w:color w:val="221F1F"/>
        </w:rPr>
        <w:t>возложив на них задачу по</w:t>
      </w:r>
      <w:r>
        <w:rPr>
          <w:color w:val="221F1F"/>
          <w:spacing w:val="60"/>
        </w:rPr>
        <w:t xml:space="preserve"> </w:t>
      </w:r>
      <w:r>
        <w:rPr>
          <w:color w:val="221F1F"/>
        </w:rPr>
        <w:t>решению вопроса о том, может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 данное транспортное средство оставаться в той или иной категории изотермических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транспортных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средств.</w:t>
      </w:r>
    </w:p>
    <w:p w14:paraId="11D7C22A" w14:textId="77777777" w:rsidR="00C2129E" w:rsidRDefault="00C2129E" w:rsidP="00C41DA2">
      <w:pPr>
        <w:pStyle w:val="SingleTxtG"/>
        <w:rPr>
          <w:b/>
        </w:rPr>
      </w:pPr>
      <w:r>
        <w:t>3.</w:t>
      </w:r>
      <w:r>
        <w:tab/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испытательным</w:t>
      </w:r>
      <w:r>
        <w:rPr>
          <w:spacing w:val="-4"/>
        </w:rPr>
        <w:t xml:space="preserve"> </w:t>
      </w:r>
      <w:r>
        <w:t>станциям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экспертам СПС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установлены.</w:t>
      </w:r>
    </w:p>
    <w:p w14:paraId="1D406E79" w14:textId="28C417FE" w:rsidR="00C2129E" w:rsidRDefault="00C2129E" w:rsidP="00C41DA2">
      <w:pPr>
        <w:pStyle w:val="SingleTxtG"/>
        <w:rPr>
          <w:b/>
        </w:rPr>
      </w:pPr>
      <w:r>
        <w:t>4.</w:t>
      </w:r>
      <w:r>
        <w:tab/>
        <w:t>Порядок осуществления контроля и надзора за деятельностью испытательных станций</w:t>
      </w:r>
      <w:r w:rsidR="00C41DA2">
        <w:t xml:space="preserve"> </w:t>
      </w:r>
      <w:r>
        <w:t>и</w:t>
      </w:r>
      <w:r>
        <w:rPr>
          <w:spacing w:val="1"/>
        </w:rPr>
        <w:t xml:space="preserve"> </w:t>
      </w:r>
      <w:r>
        <w:t>экспертов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СПС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определен</w:t>
      </w:r>
      <w:r>
        <w:t>.</w:t>
      </w:r>
    </w:p>
    <w:p w14:paraId="4BDAC7B0" w14:textId="77777777" w:rsidR="00C2129E" w:rsidRDefault="00C2129E" w:rsidP="00C41DA2">
      <w:pPr>
        <w:pStyle w:val="SingleTxtG"/>
        <w:rPr>
          <w:b/>
        </w:rPr>
      </w:pPr>
      <w:r>
        <w:t>5.</w:t>
      </w:r>
      <w:r>
        <w:tab/>
        <w:t>Санкции</w:t>
      </w:r>
      <w:r>
        <w:rPr>
          <w:spacing w:val="1"/>
        </w:rPr>
        <w:t xml:space="preserve"> </w:t>
      </w:r>
      <w:r>
        <w:t>(ответственность)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(несоблюдение)</w:t>
      </w:r>
      <w:r>
        <w:rPr>
          <w:spacing w:val="1"/>
        </w:rPr>
        <w:t xml:space="preserve"> </w:t>
      </w:r>
      <w:r>
        <w:t>методов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изотермических</w:t>
      </w:r>
      <w:r>
        <w:rPr>
          <w:spacing w:val="1"/>
        </w:rPr>
        <w:t xml:space="preserve"> </w:t>
      </w:r>
      <w:r>
        <w:t>свойств,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оборудования для охлаждения или для обогрева специальных транспортных средств,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перевозки</w:t>
      </w:r>
      <w:r>
        <w:rPr>
          <w:spacing w:val="1"/>
        </w:rPr>
        <w:t xml:space="preserve"> </w:t>
      </w:r>
      <w:r>
        <w:t>скоропортящихся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методика)</w:t>
      </w:r>
      <w:r>
        <w:rPr>
          <w:spacing w:val="-7"/>
        </w:rPr>
        <w:t xml:space="preserve"> </w:t>
      </w:r>
      <w:r>
        <w:t>отсутствуют.</w:t>
      </w:r>
    </w:p>
    <w:p w14:paraId="232B7977" w14:textId="77777777" w:rsidR="00C2129E" w:rsidRDefault="00C2129E" w:rsidP="00C41DA2">
      <w:pPr>
        <w:pStyle w:val="SingleTxtG"/>
        <w:rPr>
          <w:b/>
        </w:rPr>
      </w:pPr>
      <w:r>
        <w:t>6.</w:t>
      </w:r>
      <w:r>
        <w:tab/>
        <w:t>Отсутствие какого-либо контроля деятельности испытательных</w:t>
      </w:r>
      <w:r>
        <w:rPr>
          <w:spacing w:val="-57"/>
        </w:rPr>
        <w:t xml:space="preserve"> </w:t>
      </w:r>
      <w:r>
        <w:t>станций и экспертов может оказать отрицательное влияние</w:t>
      </w:r>
      <w:r>
        <w:rPr>
          <w:spacing w:val="1"/>
        </w:rPr>
        <w:t xml:space="preserve"> </w:t>
      </w:r>
      <w:r>
        <w:t>на качество и эффективность их работы, что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повлечь</w:t>
      </w:r>
      <w:r>
        <w:rPr>
          <w:spacing w:val="1"/>
        </w:rPr>
        <w:t xml:space="preserve"> </w:t>
      </w:r>
      <w:r>
        <w:t>ухудшение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скоропортящихся</w:t>
      </w:r>
      <w:r>
        <w:rPr>
          <w:spacing w:val="1"/>
        </w:rPr>
        <w:t xml:space="preserve"> </w:t>
      </w:r>
      <w:r>
        <w:t>пищевых</w:t>
      </w:r>
      <w:r>
        <w:rPr>
          <w:spacing w:val="-3"/>
        </w:rPr>
        <w:t xml:space="preserve"> </w:t>
      </w:r>
      <w:r>
        <w:t>продуктов</w:t>
      </w:r>
      <w:r>
        <w:rPr>
          <w:spacing w:val="2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перевозки.</w:t>
      </w:r>
    </w:p>
    <w:p w14:paraId="55DF8B7E" w14:textId="77777777" w:rsidR="00C2129E" w:rsidRDefault="00C2129E" w:rsidP="00C41DA2">
      <w:pPr>
        <w:pStyle w:val="SingleTxtG"/>
        <w:rPr>
          <w:b/>
        </w:rPr>
      </w:pPr>
      <w:r>
        <w:t>7.</w:t>
      </w:r>
      <w:r>
        <w:tab/>
        <w:t>Необходимо определить и закрепить в СПС список критериев, которым</w:t>
      </w:r>
      <w:r>
        <w:rPr>
          <w:spacing w:val="1"/>
        </w:rPr>
        <w:t xml:space="preserve"> </w:t>
      </w:r>
      <w:r>
        <w:t>должны соответствовать организации для назначения или уполномочивания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испытательных</w:t>
      </w:r>
      <w:r>
        <w:rPr>
          <w:spacing w:val="-3"/>
        </w:rPr>
        <w:t xml:space="preserve"> </w:t>
      </w:r>
      <w:r>
        <w:t>станций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экспертов.</w:t>
      </w:r>
    </w:p>
    <w:p w14:paraId="7BF742A0" w14:textId="77777777" w:rsidR="00C2129E" w:rsidRDefault="00C2129E" w:rsidP="00C41DA2">
      <w:pPr>
        <w:pStyle w:val="SingleTxtG"/>
        <w:rPr>
          <w:b/>
        </w:rPr>
      </w:pPr>
      <w:r>
        <w:t>8.</w:t>
      </w:r>
      <w:r>
        <w:tab/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гармонизации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испытательным</w:t>
      </w:r>
      <w:r>
        <w:rPr>
          <w:spacing w:val="1"/>
        </w:rPr>
        <w:t xml:space="preserve"> </w:t>
      </w:r>
      <w:r>
        <w:t>станциям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экспертам</w:t>
      </w:r>
      <w:r>
        <w:rPr>
          <w:spacing w:val="-57"/>
        </w:rPr>
        <w:t xml:space="preserve"> </w:t>
      </w:r>
      <w:r>
        <w:t>договаривающихся сторон Российская Федерация подготовила предложение</w:t>
      </w:r>
      <w:r>
        <w:rPr>
          <w:spacing w:val="1"/>
        </w:rPr>
        <w:t xml:space="preserve"> </w:t>
      </w:r>
      <w:r>
        <w:t>по внесению</w:t>
      </w:r>
      <w:r>
        <w:rPr>
          <w:spacing w:val="-7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СПС,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включения дополнительного приложения.</w:t>
      </w:r>
    </w:p>
    <w:p w14:paraId="14C8BD86" w14:textId="6F52B9CD" w:rsidR="00C2129E" w:rsidRDefault="007528EF" w:rsidP="007528EF">
      <w:pPr>
        <w:pStyle w:val="HChG"/>
      </w:pPr>
      <w:r>
        <w:tab/>
      </w:r>
      <w:r>
        <w:rPr>
          <w:lang w:val="en-US"/>
        </w:rPr>
        <w:t>I</w:t>
      </w:r>
      <w:r w:rsidRPr="00977A92">
        <w:t>.</w:t>
      </w:r>
      <w:r w:rsidRPr="00977A92">
        <w:tab/>
      </w:r>
      <w:r w:rsidR="00C2129E">
        <w:t>Предложения для</w:t>
      </w:r>
      <w:r w:rsidR="00C2129E">
        <w:rPr>
          <w:spacing w:val="-2"/>
        </w:rPr>
        <w:t xml:space="preserve"> </w:t>
      </w:r>
      <w:r w:rsidR="00C2129E">
        <w:t>голосования</w:t>
      </w:r>
    </w:p>
    <w:p w14:paraId="741B6E3B" w14:textId="0EF07DE8" w:rsidR="00C2129E" w:rsidRDefault="00EA3530" w:rsidP="00F33852">
      <w:pPr>
        <w:pStyle w:val="SingleTxtG"/>
      </w:pPr>
      <w:r w:rsidRPr="00977A92">
        <w:rPr>
          <w:spacing w:val="49"/>
        </w:rPr>
        <w:t>9.</w:t>
      </w:r>
      <w:r w:rsidRPr="00977A92">
        <w:rPr>
          <w:spacing w:val="49"/>
        </w:rPr>
        <w:tab/>
      </w:r>
      <w:r w:rsidR="00C2129E">
        <w:t>Включить в</w:t>
      </w:r>
      <w:r w:rsidR="00C2129E">
        <w:rPr>
          <w:spacing w:val="1"/>
        </w:rPr>
        <w:t xml:space="preserve"> </w:t>
      </w:r>
      <w:r w:rsidR="00C2129E">
        <w:t>СПС</w:t>
      </w:r>
      <w:r w:rsidR="00C2129E">
        <w:rPr>
          <w:spacing w:val="-4"/>
        </w:rPr>
        <w:t xml:space="preserve"> </w:t>
      </w:r>
      <w:r w:rsidR="00C2129E">
        <w:t>приложение</w:t>
      </w:r>
      <w:r w:rsidR="00C2129E">
        <w:rPr>
          <w:spacing w:val="-6"/>
        </w:rPr>
        <w:t xml:space="preserve"> </w:t>
      </w:r>
      <w:r w:rsidR="00C2129E">
        <w:t>4 следующего</w:t>
      </w:r>
      <w:r w:rsidR="00C2129E">
        <w:rPr>
          <w:spacing w:val="-1"/>
        </w:rPr>
        <w:t xml:space="preserve"> </w:t>
      </w:r>
      <w:r w:rsidR="00C2129E">
        <w:t>содержания:</w:t>
      </w:r>
    </w:p>
    <w:p w14:paraId="2A08CB9F" w14:textId="32655032" w:rsidR="00C2129E" w:rsidRPr="00977A92" w:rsidRDefault="00C2129E" w:rsidP="003C4B83">
      <w:pPr>
        <w:pStyle w:val="SingleTxtG"/>
      </w:pPr>
      <w:r w:rsidRPr="003C4B83">
        <w:t>«Положения, касающиеся уполномочивания или назначения испытательных станций</w:t>
      </w:r>
      <w:r w:rsidR="00123E32" w:rsidRPr="00977A92">
        <w:t xml:space="preserve"> </w:t>
      </w:r>
      <w:r w:rsidRPr="003C4B83">
        <w:t>и экспертных организаций (далее – эксперт), контроля за их деятельностью и ответственности за несоблюдение указанных положений</w:t>
      </w:r>
      <w:r w:rsidR="00BB418C" w:rsidRPr="00977A92">
        <w:t>:</w:t>
      </w:r>
    </w:p>
    <w:p w14:paraId="5A0862DA" w14:textId="46544970" w:rsidR="00C2129E" w:rsidRPr="003C4B83" w:rsidRDefault="00C2129E" w:rsidP="00F01D23">
      <w:pPr>
        <w:pStyle w:val="SingleTxtG"/>
        <w:numPr>
          <w:ilvl w:val="0"/>
          <w:numId w:val="29"/>
        </w:numPr>
        <w:tabs>
          <w:tab w:val="clear" w:pos="1701"/>
        </w:tabs>
      </w:pPr>
      <w:r w:rsidRPr="003C4B83">
        <w:t>Испытательная станция или эксперт уполномочиваются или назначаются компетентным органом страны по СПС, в случае соответствия требованиям, указанным в настоящем разделе, на срок не более 3 лет.</w:t>
      </w:r>
    </w:p>
    <w:p w14:paraId="0EC535E4" w14:textId="3AA09EE1" w:rsidR="00C2129E" w:rsidRPr="003C4B83" w:rsidRDefault="00C2129E" w:rsidP="00F01D23">
      <w:pPr>
        <w:pStyle w:val="SingleTxtG"/>
        <w:numPr>
          <w:ilvl w:val="0"/>
          <w:numId w:val="29"/>
        </w:numPr>
        <w:tabs>
          <w:tab w:val="clear" w:pos="1701"/>
        </w:tabs>
      </w:pPr>
      <w:r w:rsidRPr="003C4B83">
        <w:t>Испытательной станцией или экспертом может быть назначена организация,</w:t>
      </w:r>
      <w:r w:rsidRPr="003C4B83">
        <w:br/>
        <w:t>не имеющая какой-либо заинтересованности в результатах испытаний и заключениях экспертов. Отношения, которые угрожают беспристрастности испытательной станции или эксперта, могут основываться на праве собственности, управлении, руководстве, персонале, общих ресурсах, финансах, договорах, маркетинге (включая брэндинг) и комиссионных выплатах или на других видах стимулирования в отношении новых заказчиков.</w:t>
      </w:r>
    </w:p>
    <w:p w14:paraId="3EB1267F" w14:textId="7881E597" w:rsidR="00C2129E" w:rsidRPr="003C4B83" w:rsidRDefault="00C2129E" w:rsidP="00F01D23">
      <w:pPr>
        <w:pStyle w:val="SingleTxtG"/>
        <w:numPr>
          <w:ilvl w:val="0"/>
          <w:numId w:val="29"/>
        </w:numPr>
        <w:tabs>
          <w:tab w:val="clear" w:pos="1701"/>
        </w:tabs>
      </w:pPr>
      <w:r w:rsidRPr="003C4B83">
        <w:t>Испытательная станция должна располагать помещением изотермической</w:t>
      </w:r>
      <w:r w:rsidRPr="003C4B83">
        <w:br/>
        <w:t>и калориметрической камер, оборудованием и средствами измерения, отвечающим требованиям СПС, обеспечивающими выполнение работ со всеми типами транспортных средств, использующихся для перевозки скоропортящихся продуктов.</w:t>
      </w:r>
    </w:p>
    <w:p w14:paraId="33D7C8E5" w14:textId="56020181" w:rsidR="00A04E4F" w:rsidRPr="003C4B83" w:rsidRDefault="00C2129E" w:rsidP="00F01D23">
      <w:pPr>
        <w:pStyle w:val="SingleTxtG"/>
        <w:numPr>
          <w:ilvl w:val="0"/>
          <w:numId w:val="29"/>
        </w:numPr>
        <w:tabs>
          <w:tab w:val="clear" w:pos="1701"/>
        </w:tabs>
      </w:pPr>
      <w:r w:rsidRPr="003C4B83">
        <w:t>Испытательная станция или эксперт должны иметь в штате не менее двух работников,</w:t>
      </w:r>
      <w:r w:rsidR="00E62850" w:rsidRPr="003C4B83">
        <w:t xml:space="preserve"> </w:t>
      </w:r>
      <w:r w:rsidRPr="003C4B83">
        <w:t xml:space="preserve">в обязанности которых входит проведение работ по контролю </w:t>
      </w:r>
      <w:r w:rsidRPr="003C4B83">
        <w:lastRenderedPageBreak/>
        <w:t>соответствия транспортных средств требованиям СПС. Работники должны иметь образование и опыт работы в сфере холодильно-криогенной техники.</w:t>
      </w:r>
    </w:p>
    <w:p w14:paraId="424091EB" w14:textId="77777777" w:rsidR="00217851" w:rsidRPr="003C4B83" w:rsidRDefault="00217851" w:rsidP="00F01D23">
      <w:pPr>
        <w:pStyle w:val="SingleTxtG"/>
        <w:numPr>
          <w:ilvl w:val="0"/>
          <w:numId w:val="29"/>
        </w:numPr>
        <w:tabs>
          <w:tab w:val="clear" w:pos="1701"/>
        </w:tabs>
      </w:pPr>
      <w:r w:rsidRPr="003C4B83">
        <w:t>Испытательная станция или эксперт должны иметь руководство по менеджменту качества, разработанное в соответствии с ИСО 9001-2015.</w:t>
      </w:r>
    </w:p>
    <w:p w14:paraId="422AC7CD" w14:textId="0E5511C3" w:rsidR="00217851" w:rsidRPr="003C4B83" w:rsidRDefault="00217851" w:rsidP="00F01D23">
      <w:pPr>
        <w:pStyle w:val="SingleTxtG"/>
        <w:numPr>
          <w:ilvl w:val="0"/>
          <w:numId w:val="29"/>
        </w:numPr>
        <w:tabs>
          <w:tab w:val="clear" w:pos="1701"/>
        </w:tabs>
      </w:pPr>
      <w:r w:rsidRPr="003C4B83">
        <w:t>Эксперт должен располагать помещением для проведения контроля транспортных средств, в котором уровень искусственной освещенности должен составлять не менее2000 лк (ярко освещенная зона), измерительными приборами и оборудованием, которые должны применяться при проведении контроля транспортных средств в соответствии</w:t>
      </w:r>
      <w:r w:rsidR="00A416A3" w:rsidRPr="00977A92">
        <w:t xml:space="preserve"> </w:t>
      </w:r>
      <w:r w:rsidRPr="003C4B83">
        <w:t>с положениями СПС, а также оборудованием, обеспечивающим поддержание постоянной температуры воздуха в помещении от +15 до +30 градусов Цельсия в течении проведения мероприятий по контролю транспортных средств в соответствии с положениями СПС.</w:t>
      </w:r>
    </w:p>
    <w:p w14:paraId="7E3FDEBB" w14:textId="77777777" w:rsidR="00217851" w:rsidRPr="003C4B83" w:rsidRDefault="00217851" w:rsidP="00F01D23">
      <w:pPr>
        <w:pStyle w:val="SingleTxtG"/>
        <w:numPr>
          <w:ilvl w:val="0"/>
          <w:numId w:val="29"/>
        </w:numPr>
        <w:tabs>
          <w:tab w:val="clear" w:pos="1701"/>
        </w:tabs>
      </w:pPr>
      <w:r w:rsidRPr="003C4B83">
        <w:t>Порядок назначения и уполномочивания испытательной станции или эксперта, а также проведения мероприятий по контролю за деятельностью испытательной станции или эксперта определяется компетентным органом страны по СПС.</w:t>
      </w:r>
    </w:p>
    <w:p w14:paraId="7350B546" w14:textId="77777777" w:rsidR="00217851" w:rsidRPr="003C4B83" w:rsidRDefault="00217851" w:rsidP="00F01D23">
      <w:pPr>
        <w:pStyle w:val="SingleTxtG"/>
        <w:numPr>
          <w:ilvl w:val="0"/>
          <w:numId w:val="29"/>
        </w:numPr>
        <w:tabs>
          <w:tab w:val="clear" w:pos="1701"/>
        </w:tabs>
      </w:pPr>
      <w:r w:rsidRPr="003C4B83">
        <w:t>В случае выявления несоответствия положениям СПС деятельность испытательной станции или эксперта приостанавливается до устранения замечаний.</w:t>
      </w:r>
    </w:p>
    <w:p w14:paraId="7A473CAE" w14:textId="77777777" w:rsidR="00217851" w:rsidRPr="003C4B83" w:rsidRDefault="00217851" w:rsidP="00F01D23">
      <w:pPr>
        <w:pStyle w:val="SingleTxtG"/>
        <w:numPr>
          <w:ilvl w:val="0"/>
          <w:numId w:val="29"/>
        </w:numPr>
        <w:tabs>
          <w:tab w:val="clear" w:pos="1701"/>
        </w:tabs>
      </w:pPr>
      <w:r w:rsidRPr="003C4B83">
        <w:t>В случае повторного выявления в течение 1 года с момента предыдущего нарушения несоответствия положениям СПС деятельность испытательной станции или эксперта прекращается, при этом право на повторную подачу заявления об уполномочивании или назначении испытательной станции или эксперта возникнет у заявителя не менее, чем через 1 год после прекращения деятельности.</w:t>
      </w:r>
    </w:p>
    <w:p w14:paraId="19EFE1F7" w14:textId="77777777" w:rsidR="00217851" w:rsidRPr="003C4B83" w:rsidRDefault="00217851" w:rsidP="00F01D23">
      <w:pPr>
        <w:pStyle w:val="SingleTxtG"/>
        <w:numPr>
          <w:ilvl w:val="0"/>
          <w:numId w:val="29"/>
        </w:numPr>
        <w:tabs>
          <w:tab w:val="clear" w:pos="1701"/>
        </w:tabs>
      </w:pPr>
      <w:r w:rsidRPr="003C4B83">
        <w:t>Требования, указанные в настоящем положении, являются общеобязательными для всех договаривающихся сторон, при этом каждая договаривающаяся сторона может издавать локальные нормативные акты уточняющие и расширяющие данные требования».</w:t>
      </w:r>
    </w:p>
    <w:p w14:paraId="328F2941" w14:textId="2013F844" w:rsidR="00217851" w:rsidRDefault="003C4B83" w:rsidP="003C4B83">
      <w:pPr>
        <w:pStyle w:val="HChG"/>
      </w:pPr>
      <w:r>
        <w:tab/>
      </w:r>
      <w:r>
        <w:rPr>
          <w:lang w:val="en-US"/>
        </w:rPr>
        <w:t>II</w:t>
      </w:r>
      <w:r w:rsidRPr="00977A92">
        <w:t>.</w:t>
      </w:r>
      <w:r w:rsidRPr="00977A92">
        <w:tab/>
      </w:r>
      <w:r w:rsidR="00217851">
        <w:t>Издержки</w:t>
      </w:r>
    </w:p>
    <w:p w14:paraId="46F644FC" w14:textId="3B1AED92" w:rsidR="00217851" w:rsidRDefault="003C4B83" w:rsidP="003C4B83">
      <w:pPr>
        <w:pStyle w:val="SingleTxtG"/>
      </w:pPr>
      <w:r w:rsidRPr="00977A92">
        <w:t>10.</w:t>
      </w:r>
      <w:r w:rsidRPr="00977A92">
        <w:tab/>
      </w:r>
      <w:r w:rsidR="00217851">
        <w:t>Возможны</w:t>
      </w:r>
      <w:r w:rsidR="00217851">
        <w:rPr>
          <w:spacing w:val="-5"/>
        </w:rPr>
        <w:t xml:space="preserve"> </w:t>
      </w:r>
      <w:r w:rsidR="00217851">
        <w:t>дополнительные</w:t>
      </w:r>
      <w:r w:rsidR="00217851">
        <w:rPr>
          <w:spacing w:val="-3"/>
        </w:rPr>
        <w:t xml:space="preserve"> </w:t>
      </w:r>
      <w:r w:rsidR="00217851">
        <w:t>расходы</w:t>
      </w:r>
      <w:r w:rsidR="00217851">
        <w:rPr>
          <w:spacing w:val="-5"/>
        </w:rPr>
        <w:t xml:space="preserve"> </w:t>
      </w:r>
      <w:r w:rsidR="00217851">
        <w:t>для</w:t>
      </w:r>
      <w:r w:rsidR="00217851">
        <w:rPr>
          <w:spacing w:val="-2"/>
        </w:rPr>
        <w:t xml:space="preserve"> </w:t>
      </w:r>
      <w:r w:rsidR="00217851">
        <w:t>Компетентного</w:t>
      </w:r>
      <w:r w:rsidR="00217851">
        <w:rPr>
          <w:spacing w:val="-2"/>
        </w:rPr>
        <w:t xml:space="preserve"> </w:t>
      </w:r>
      <w:r w:rsidR="00217851">
        <w:t>органа.</w:t>
      </w:r>
    </w:p>
    <w:p w14:paraId="44FFC1C1" w14:textId="34D43B73" w:rsidR="00217851" w:rsidRDefault="00E378DB" w:rsidP="00E378DB">
      <w:pPr>
        <w:pStyle w:val="HChG"/>
      </w:pPr>
      <w:r>
        <w:tab/>
      </w:r>
      <w:r>
        <w:rPr>
          <w:lang w:val="en-US"/>
        </w:rPr>
        <w:t>III</w:t>
      </w:r>
      <w:r w:rsidRPr="00977A92">
        <w:t>.</w:t>
      </w:r>
      <w:r w:rsidRPr="00977A92">
        <w:tab/>
      </w:r>
      <w:r w:rsidR="00217851">
        <w:t>Возможность</w:t>
      </w:r>
      <w:r w:rsidR="00217851">
        <w:rPr>
          <w:spacing w:val="-2"/>
        </w:rPr>
        <w:t xml:space="preserve"> </w:t>
      </w:r>
      <w:r w:rsidR="00217851">
        <w:t>обеспечения</w:t>
      </w:r>
      <w:r w:rsidR="00217851">
        <w:rPr>
          <w:spacing w:val="-4"/>
        </w:rPr>
        <w:t xml:space="preserve"> </w:t>
      </w:r>
      <w:r w:rsidR="00217851">
        <w:t>применения</w:t>
      </w:r>
    </w:p>
    <w:p w14:paraId="22B8EEA5" w14:textId="7A67A9BA" w:rsidR="00217851" w:rsidRDefault="00E378DB" w:rsidP="00E378DB">
      <w:pPr>
        <w:pStyle w:val="SingleTxtG"/>
      </w:pPr>
      <w:r w:rsidRPr="00977A92">
        <w:t>11.</w:t>
      </w:r>
      <w:r w:rsidRPr="00977A92">
        <w:tab/>
      </w:r>
      <w:r w:rsidR="00217851">
        <w:t>Не</w:t>
      </w:r>
      <w:r w:rsidR="00217851">
        <w:rPr>
          <w:spacing w:val="-4"/>
        </w:rPr>
        <w:t xml:space="preserve"> </w:t>
      </w:r>
      <w:r w:rsidR="00217851">
        <w:t>предвидится</w:t>
      </w:r>
      <w:r w:rsidR="00217851">
        <w:rPr>
          <w:spacing w:val="-7"/>
        </w:rPr>
        <w:t xml:space="preserve"> </w:t>
      </w:r>
      <w:r w:rsidR="00217851">
        <w:t>проблем</w:t>
      </w:r>
      <w:r w:rsidR="00217851">
        <w:rPr>
          <w:spacing w:val="-5"/>
        </w:rPr>
        <w:t xml:space="preserve"> </w:t>
      </w:r>
      <w:r w:rsidR="00217851">
        <w:t>с</w:t>
      </w:r>
      <w:r w:rsidR="00217851">
        <w:rPr>
          <w:spacing w:val="-2"/>
        </w:rPr>
        <w:t xml:space="preserve"> </w:t>
      </w:r>
      <w:r w:rsidR="00217851">
        <w:t>реализацией</w:t>
      </w:r>
      <w:r w:rsidR="00217851">
        <w:rPr>
          <w:spacing w:val="-2"/>
        </w:rPr>
        <w:t xml:space="preserve"> </w:t>
      </w:r>
      <w:r w:rsidR="00217851">
        <w:t>предложений.</w:t>
      </w:r>
    </w:p>
    <w:p w14:paraId="6ABE574D" w14:textId="75E7485E" w:rsidR="00C2129E" w:rsidRPr="00977A92" w:rsidRDefault="00E378DB" w:rsidP="00E378DB">
      <w:pPr>
        <w:spacing w:before="240"/>
        <w:jc w:val="center"/>
        <w:rPr>
          <w:u w:val="single"/>
        </w:rPr>
      </w:pPr>
      <w:r w:rsidRPr="00977A92">
        <w:rPr>
          <w:u w:val="single"/>
        </w:rPr>
        <w:tab/>
      </w:r>
      <w:r w:rsidRPr="00977A92">
        <w:rPr>
          <w:u w:val="single"/>
        </w:rPr>
        <w:tab/>
      </w:r>
      <w:r w:rsidRPr="00977A92">
        <w:rPr>
          <w:u w:val="single"/>
        </w:rPr>
        <w:tab/>
      </w:r>
    </w:p>
    <w:sectPr w:rsidR="00C2129E" w:rsidRPr="00977A92" w:rsidSect="006133DA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EE99D" w14:textId="77777777" w:rsidR="00752CF8" w:rsidRPr="00A312BC" w:rsidRDefault="00752CF8" w:rsidP="00A312BC"/>
  </w:endnote>
  <w:endnote w:type="continuationSeparator" w:id="0">
    <w:p w14:paraId="19DB86EE" w14:textId="77777777" w:rsidR="00752CF8" w:rsidRPr="00A312BC" w:rsidRDefault="00752CF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9EF4A" w14:textId="77777777" w:rsidR="006133DA" w:rsidRPr="006133DA" w:rsidRDefault="006133DA">
    <w:pPr>
      <w:pStyle w:val="aa"/>
      <w:rPr>
        <w:sz w:val="18"/>
      </w:rPr>
    </w:pPr>
    <w:r w:rsidRPr="006133DA">
      <w:rPr>
        <w:b/>
        <w:sz w:val="18"/>
      </w:rPr>
      <w:fldChar w:fldCharType="begin"/>
    </w:r>
    <w:r w:rsidRPr="006133DA">
      <w:rPr>
        <w:b/>
        <w:sz w:val="18"/>
      </w:rPr>
      <w:instrText xml:space="preserve"> PAGE  \* MERGEFORMAT </w:instrText>
    </w:r>
    <w:r w:rsidRPr="006133DA">
      <w:rPr>
        <w:b/>
        <w:sz w:val="18"/>
      </w:rPr>
      <w:fldChar w:fldCharType="separate"/>
    </w:r>
    <w:r w:rsidRPr="006133DA">
      <w:rPr>
        <w:b/>
        <w:noProof/>
        <w:sz w:val="18"/>
      </w:rPr>
      <w:t>2</w:t>
    </w:r>
    <w:r w:rsidRPr="006133DA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BFC60" w14:textId="77777777" w:rsidR="006133DA" w:rsidRPr="006133DA" w:rsidRDefault="006133DA">
    <w:pPr>
      <w:pStyle w:val="aa"/>
      <w:rPr>
        <w:b/>
        <w:sz w:val="18"/>
      </w:rPr>
    </w:pPr>
    <w:r>
      <w:tab/>
    </w:r>
    <w:r w:rsidRPr="006133DA">
      <w:rPr>
        <w:b/>
        <w:sz w:val="18"/>
      </w:rPr>
      <w:fldChar w:fldCharType="begin"/>
    </w:r>
    <w:r w:rsidRPr="006133DA">
      <w:rPr>
        <w:b/>
        <w:sz w:val="18"/>
      </w:rPr>
      <w:instrText xml:space="preserve"> PAGE  \* MERGEFORMAT </w:instrText>
    </w:r>
    <w:r w:rsidRPr="006133DA">
      <w:rPr>
        <w:b/>
        <w:sz w:val="18"/>
      </w:rPr>
      <w:fldChar w:fldCharType="separate"/>
    </w:r>
    <w:r w:rsidRPr="006133DA">
      <w:rPr>
        <w:b/>
        <w:noProof/>
        <w:sz w:val="18"/>
      </w:rPr>
      <w:t>3</w:t>
    </w:r>
    <w:r w:rsidRPr="006133D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87104" w14:textId="0A8F16FA" w:rsidR="00042B72" w:rsidRPr="00755598" w:rsidRDefault="00755598" w:rsidP="00755598">
    <w:pPr>
      <w:pStyle w:val="aa"/>
      <w:tabs>
        <w:tab w:val="left" w:pos="3969"/>
      </w:tabs>
      <w:spacing w:before="120" w:line="240" w:lineRule="auto"/>
      <w:rPr>
        <w:sz w:val="20"/>
      </w:rPr>
    </w:pPr>
    <w:r>
      <w:rPr>
        <w:sz w:val="20"/>
      </w:rPr>
      <w:t>GE.22-01636  (R)</w:t>
    </w:r>
    <w:r>
      <w:rPr>
        <w:sz w:val="20"/>
      </w:rPr>
      <w:tab/>
    </w:r>
    <w:r w:rsidRPr="00755598">
      <w:rPr>
        <w:b/>
        <w:noProof/>
        <w:sz w:val="20"/>
        <w:lang w:val="fr-CH" w:eastAsia="fr-CH"/>
      </w:rPr>
      <w:drawing>
        <wp:inline distT="0" distB="0" distL="0" distR="0" wp14:anchorId="72256399" wp14:editId="1F6ADC2B">
          <wp:extent cx="2707200" cy="234000"/>
          <wp:effectExtent l="0" t="0" r="0" b="0"/>
          <wp:docPr id="1" name="Рисунок 1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Russia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7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noProof/>
        <w:sz w:val="20"/>
      </w:rPr>
      <w:drawing>
        <wp:inline distT="0" distB="0" distL="0" distR="0" wp14:anchorId="7863B434" wp14:editId="1E1FFDE7">
          <wp:extent cx="641350" cy="641350"/>
          <wp:effectExtent l="0" t="0" r="6350" b="635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179" w14:textId="77777777" w:rsidR="00752CF8" w:rsidRPr="001075E9" w:rsidRDefault="00752CF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3E60A7D" w14:textId="77777777" w:rsidR="00752CF8" w:rsidRDefault="00752CF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89612" w14:textId="1EC9402B" w:rsidR="006133DA" w:rsidRPr="006133DA" w:rsidRDefault="006D0D81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ECE/TRANS/WP.11/2022/1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2952A" w14:textId="4CD6D2F0" w:rsidR="006133DA" w:rsidRPr="006133DA" w:rsidRDefault="006D0D81" w:rsidP="006133DA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ECE/TRANS/WP.11/2022/1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C3C10"/>
    <w:multiLevelType w:val="multilevel"/>
    <w:tmpl w:val="DF681CFC"/>
    <w:lvl w:ilvl="0">
      <w:start w:val="1"/>
      <w:numFmt w:val="decimal"/>
      <w:lvlText w:val="%1."/>
      <w:lvlJc w:val="left"/>
      <w:pPr>
        <w:tabs>
          <w:tab w:val="left" w:pos="720"/>
        </w:tabs>
        <w:ind w:left="953" w:hanging="711"/>
      </w:pPr>
      <w:rPr>
        <w:rFonts w:ascii="Times New Roman" w:hAnsi="Times New Roman"/>
        <w:sz w:val="24"/>
      </w:rPr>
    </w:lvl>
    <w:lvl w:ilvl="1">
      <w:numFmt w:val="bullet"/>
      <w:lvlText w:val=""/>
      <w:lvlJc w:val="left"/>
      <w:pPr>
        <w:tabs>
          <w:tab w:val="left" w:pos="720"/>
        </w:tabs>
        <w:ind w:left="1948" w:hanging="711"/>
      </w:pPr>
      <w:rPr>
        <w:rFonts w:ascii="Symbol" w:hAnsi="Symbol"/>
      </w:rPr>
    </w:lvl>
    <w:lvl w:ilvl="2">
      <w:numFmt w:val="bullet"/>
      <w:lvlText w:val=""/>
      <w:lvlJc w:val="left"/>
      <w:pPr>
        <w:tabs>
          <w:tab w:val="left" w:pos="720"/>
        </w:tabs>
        <w:ind w:left="2936" w:hanging="711"/>
      </w:pPr>
      <w:rPr>
        <w:rFonts w:ascii="Symbol" w:hAnsi="Symbol"/>
      </w:rPr>
    </w:lvl>
    <w:lvl w:ilvl="3">
      <w:numFmt w:val="bullet"/>
      <w:lvlText w:val=""/>
      <w:lvlJc w:val="left"/>
      <w:pPr>
        <w:tabs>
          <w:tab w:val="left" w:pos="720"/>
        </w:tabs>
        <w:ind w:left="3925" w:hanging="711"/>
      </w:pPr>
      <w:rPr>
        <w:rFonts w:ascii="Symbol" w:hAnsi="Symbol"/>
      </w:rPr>
    </w:lvl>
    <w:lvl w:ilvl="4">
      <w:numFmt w:val="bullet"/>
      <w:lvlText w:val=""/>
      <w:lvlJc w:val="left"/>
      <w:pPr>
        <w:tabs>
          <w:tab w:val="left" w:pos="720"/>
        </w:tabs>
        <w:ind w:left="4913" w:hanging="711"/>
      </w:pPr>
      <w:rPr>
        <w:rFonts w:ascii="Symbol" w:hAnsi="Symbol"/>
      </w:rPr>
    </w:lvl>
    <w:lvl w:ilvl="5">
      <w:numFmt w:val="bullet"/>
      <w:lvlText w:val=""/>
      <w:lvlJc w:val="left"/>
      <w:pPr>
        <w:tabs>
          <w:tab w:val="left" w:pos="720"/>
        </w:tabs>
        <w:ind w:left="5902" w:hanging="711"/>
      </w:pPr>
      <w:rPr>
        <w:rFonts w:ascii="Symbol" w:hAnsi="Symbol"/>
      </w:rPr>
    </w:lvl>
    <w:lvl w:ilvl="6">
      <w:numFmt w:val="bullet"/>
      <w:lvlText w:val=""/>
      <w:lvlJc w:val="left"/>
      <w:pPr>
        <w:tabs>
          <w:tab w:val="left" w:pos="720"/>
        </w:tabs>
        <w:ind w:left="6890" w:hanging="711"/>
      </w:pPr>
      <w:rPr>
        <w:rFonts w:ascii="Symbol" w:hAnsi="Symbol"/>
      </w:rPr>
    </w:lvl>
    <w:lvl w:ilvl="7">
      <w:numFmt w:val="bullet"/>
      <w:lvlText w:val=""/>
      <w:lvlJc w:val="left"/>
      <w:pPr>
        <w:tabs>
          <w:tab w:val="left" w:pos="720"/>
        </w:tabs>
        <w:ind w:left="7878" w:hanging="711"/>
      </w:pPr>
      <w:rPr>
        <w:rFonts w:ascii="Symbol" w:hAnsi="Symbol"/>
      </w:rPr>
    </w:lvl>
    <w:lvl w:ilvl="8">
      <w:numFmt w:val="bullet"/>
      <w:lvlText w:val=""/>
      <w:lvlJc w:val="left"/>
      <w:pPr>
        <w:tabs>
          <w:tab w:val="left" w:pos="720"/>
        </w:tabs>
        <w:ind w:left="8867" w:hanging="711"/>
      </w:pPr>
      <w:rPr>
        <w:rFonts w:ascii="Symbol" w:hAnsi="Symbol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C7F0DBA"/>
    <w:multiLevelType w:val="hybridMultilevel"/>
    <w:tmpl w:val="9EE8BE8A"/>
    <w:lvl w:ilvl="0" w:tplc="0809001B">
      <w:start w:val="1"/>
      <w:numFmt w:val="lowerRoman"/>
      <w:lvlText w:val="%1."/>
      <w:lvlJc w:val="righ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6"/>
  </w:num>
  <w:num w:numId="23">
    <w:abstractNumId w:val="13"/>
  </w:num>
  <w:num w:numId="24">
    <w:abstractNumId w:val="15"/>
  </w:num>
  <w:num w:numId="25">
    <w:abstractNumId w:val="16"/>
  </w:num>
  <w:num w:numId="26">
    <w:abstractNumId w:val="13"/>
  </w:num>
  <w:num w:numId="27">
    <w:abstractNumId w:val="15"/>
  </w:num>
  <w:num w:numId="28">
    <w:abstractNumId w:val="12"/>
  </w:num>
  <w:num w:numId="29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3DA"/>
    <w:rsid w:val="00004EDD"/>
    <w:rsid w:val="000246CE"/>
    <w:rsid w:val="000273AD"/>
    <w:rsid w:val="00033EE1"/>
    <w:rsid w:val="00042B72"/>
    <w:rsid w:val="00042DA5"/>
    <w:rsid w:val="00043B08"/>
    <w:rsid w:val="000558BD"/>
    <w:rsid w:val="000857D2"/>
    <w:rsid w:val="000B57E7"/>
    <w:rsid w:val="000B6373"/>
    <w:rsid w:val="000D3F1A"/>
    <w:rsid w:val="000E5940"/>
    <w:rsid w:val="000F09DF"/>
    <w:rsid w:val="000F61B2"/>
    <w:rsid w:val="001075E9"/>
    <w:rsid w:val="00123E32"/>
    <w:rsid w:val="001253D8"/>
    <w:rsid w:val="001327B7"/>
    <w:rsid w:val="0014152F"/>
    <w:rsid w:val="00142F5E"/>
    <w:rsid w:val="00157121"/>
    <w:rsid w:val="00160C05"/>
    <w:rsid w:val="00180183"/>
    <w:rsid w:val="0018024D"/>
    <w:rsid w:val="0018649F"/>
    <w:rsid w:val="00196389"/>
    <w:rsid w:val="001B3EF6"/>
    <w:rsid w:val="001C2A6D"/>
    <w:rsid w:val="001C76F8"/>
    <w:rsid w:val="001C7A89"/>
    <w:rsid w:val="001D5C5A"/>
    <w:rsid w:val="001E049D"/>
    <w:rsid w:val="001F0A5D"/>
    <w:rsid w:val="00203065"/>
    <w:rsid w:val="00217851"/>
    <w:rsid w:val="002979E2"/>
    <w:rsid w:val="002A2EFC"/>
    <w:rsid w:val="002B5F3C"/>
    <w:rsid w:val="002B74B1"/>
    <w:rsid w:val="002C0E18"/>
    <w:rsid w:val="002D5AAC"/>
    <w:rsid w:val="002E5067"/>
    <w:rsid w:val="002F405F"/>
    <w:rsid w:val="002F4539"/>
    <w:rsid w:val="002F7011"/>
    <w:rsid w:val="002F7EEC"/>
    <w:rsid w:val="00301299"/>
    <w:rsid w:val="00305C08"/>
    <w:rsid w:val="00307FB6"/>
    <w:rsid w:val="00317339"/>
    <w:rsid w:val="00322004"/>
    <w:rsid w:val="0032429B"/>
    <w:rsid w:val="003402C2"/>
    <w:rsid w:val="00381C24"/>
    <w:rsid w:val="00386115"/>
    <w:rsid w:val="00386CCB"/>
    <w:rsid w:val="003958D0"/>
    <w:rsid w:val="003A0D43"/>
    <w:rsid w:val="003A382A"/>
    <w:rsid w:val="003B00E5"/>
    <w:rsid w:val="003B49EB"/>
    <w:rsid w:val="003C4A31"/>
    <w:rsid w:val="003C4B83"/>
    <w:rsid w:val="00407B78"/>
    <w:rsid w:val="00424203"/>
    <w:rsid w:val="0042551A"/>
    <w:rsid w:val="00441DA3"/>
    <w:rsid w:val="00452493"/>
    <w:rsid w:val="00453318"/>
    <w:rsid w:val="00454E07"/>
    <w:rsid w:val="00472C5C"/>
    <w:rsid w:val="004D34EB"/>
    <w:rsid w:val="004E7779"/>
    <w:rsid w:val="0050108D"/>
    <w:rsid w:val="00510255"/>
    <w:rsid w:val="00513081"/>
    <w:rsid w:val="00517901"/>
    <w:rsid w:val="00526683"/>
    <w:rsid w:val="00540972"/>
    <w:rsid w:val="00550DA5"/>
    <w:rsid w:val="00567148"/>
    <w:rsid w:val="005709E0"/>
    <w:rsid w:val="00572E19"/>
    <w:rsid w:val="00573153"/>
    <w:rsid w:val="005961C8"/>
    <w:rsid w:val="005966F1"/>
    <w:rsid w:val="005A1331"/>
    <w:rsid w:val="005A1570"/>
    <w:rsid w:val="005A4F92"/>
    <w:rsid w:val="005B2F86"/>
    <w:rsid w:val="005D7914"/>
    <w:rsid w:val="005E2B41"/>
    <w:rsid w:val="005F0B42"/>
    <w:rsid w:val="005F1707"/>
    <w:rsid w:val="006133DA"/>
    <w:rsid w:val="00614C08"/>
    <w:rsid w:val="00621A10"/>
    <w:rsid w:val="00640F49"/>
    <w:rsid w:val="0067719A"/>
    <w:rsid w:val="00681A10"/>
    <w:rsid w:val="006A16E3"/>
    <w:rsid w:val="006A1ED8"/>
    <w:rsid w:val="006C2031"/>
    <w:rsid w:val="006D0D81"/>
    <w:rsid w:val="006D461A"/>
    <w:rsid w:val="006F089C"/>
    <w:rsid w:val="006F35EE"/>
    <w:rsid w:val="006F6F90"/>
    <w:rsid w:val="007021FF"/>
    <w:rsid w:val="00712895"/>
    <w:rsid w:val="00730906"/>
    <w:rsid w:val="00734ACB"/>
    <w:rsid w:val="007528EF"/>
    <w:rsid w:val="00752CF8"/>
    <w:rsid w:val="00755598"/>
    <w:rsid w:val="00757357"/>
    <w:rsid w:val="00792497"/>
    <w:rsid w:val="007C05C5"/>
    <w:rsid w:val="00806737"/>
    <w:rsid w:val="00811570"/>
    <w:rsid w:val="008223F6"/>
    <w:rsid w:val="00825F8D"/>
    <w:rsid w:val="00834B71"/>
    <w:rsid w:val="0086445C"/>
    <w:rsid w:val="00881771"/>
    <w:rsid w:val="00894693"/>
    <w:rsid w:val="008A08D7"/>
    <w:rsid w:val="008B6909"/>
    <w:rsid w:val="008C30BC"/>
    <w:rsid w:val="008C7F74"/>
    <w:rsid w:val="008E2FAD"/>
    <w:rsid w:val="00906890"/>
    <w:rsid w:val="00911BE4"/>
    <w:rsid w:val="0093301D"/>
    <w:rsid w:val="00951972"/>
    <w:rsid w:val="009608F3"/>
    <w:rsid w:val="00977A92"/>
    <w:rsid w:val="009A24AC"/>
    <w:rsid w:val="009C3015"/>
    <w:rsid w:val="009E68F7"/>
    <w:rsid w:val="00A04E4F"/>
    <w:rsid w:val="00A14DA8"/>
    <w:rsid w:val="00A21F00"/>
    <w:rsid w:val="00A312BC"/>
    <w:rsid w:val="00A37D7A"/>
    <w:rsid w:val="00A416A3"/>
    <w:rsid w:val="00A62EBB"/>
    <w:rsid w:val="00A84021"/>
    <w:rsid w:val="00A84D35"/>
    <w:rsid w:val="00A917B3"/>
    <w:rsid w:val="00AA124F"/>
    <w:rsid w:val="00AB2DBD"/>
    <w:rsid w:val="00AB4B51"/>
    <w:rsid w:val="00AB6EED"/>
    <w:rsid w:val="00AC3430"/>
    <w:rsid w:val="00B10CC7"/>
    <w:rsid w:val="00B2555C"/>
    <w:rsid w:val="00B36DF7"/>
    <w:rsid w:val="00B539E7"/>
    <w:rsid w:val="00B62458"/>
    <w:rsid w:val="00BB418C"/>
    <w:rsid w:val="00BC18B2"/>
    <w:rsid w:val="00BD33EE"/>
    <w:rsid w:val="00BF21E1"/>
    <w:rsid w:val="00C106D6"/>
    <w:rsid w:val="00C106E6"/>
    <w:rsid w:val="00C2129E"/>
    <w:rsid w:val="00C347AF"/>
    <w:rsid w:val="00C41DA2"/>
    <w:rsid w:val="00C51B70"/>
    <w:rsid w:val="00C60F0C"/>
    <w:rsid w:val="00C6710D"/>
    <w:rsid w:val="00C70272"/>
    <w:rsid w:val="00C805C9"/>
    <w:rsid w:val="00C92939"/>
    <w:rsid w:val="00C96CEB"/>
    <w:rsid w:val="00CA1679"/>
    <w:rsid w:val="00CB151C"/>
    <w:rsid w:val="00CD5441"/>
    <w:rsid w:val="00CE5A1A"/>
    <w:rsid w:val="00CF3DA9"/>
    <w:rsid w:val="00CF55F6"/>
    <w:rsid w:val="00D202AE"/>
    <w:rsid w:val="00D33D63"/>
    <w:rsid w:val="00D34308"/>
    <w:rsid w:val="00D5253A"/>
    <w:rsid w:val="00D62A45"/>
    <w:rsid w:val="00D85E1B"/>
    <w:rsid w:val="00D90028"/>
    <w:rsid w:val="00D90138"/>
    <w:rsid w:val="00D9051D"/>
    <w:rsid w:val="00DD44B1"/>
    <w:rsid w:val="00DD78D1"/>
    <w:rsid w:val="00DE32CD"/>
    <w:rsid w:val="00DF71B9"/>
    <w:rsid w:val="00E07ABC"/>
    <w:rsid w:val="00E335C3"/>
    <w:rsid w:val="00E378DB"/>
    <w:rsid w:val="00E40F48"/>
    <w:rsid w:val="00E52E28"/>
    <w:rsid w:val="00E62850"/>
    <w:rsid w:val="00E73F76"/>
    <w:rsid w:val="00E90403"/>
    <w:rsid w:val="00EA2C9F"/>
    <w:rsid w:val="00EA3530"/>
    <w:rsid w:val="00EA420E"/>
    <w:rsid w:val="00EB46B2"/>
    <w:rsid w:val="00ED0BDA"/>
    <w:rsid w:val="00EE142A"/>
    <w:rsid w:val="00EF0907"/>
    <w:rsid w:val="00EF1360"/>
    <w:rsid w:val="00EF3220"/>
    <w:rsid w:val="00EF606E"/>
    <w:rsid w:val="00F01D23"/>
    <w:rsid w:val="00F06483"/>
    <w:rsid w:val="00F33852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0E6506"/>
  <w15:docId w15:val="{A65C36FB-2793-4A54-96A6-25B11D8C2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theme="minorBidi"/>
        <w:szCs w:val="22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0F48"/>
    <w:pPr>
      <w:suppressAutoHyphens/>
      <w:spacing w:line="240" w:lineRule="atLeast"/>
    </w:pPr>
    <w:rPr>
      <w:lang w:val="ru-RU"/>
    </w:rPr>
  </w:style>
  <w:style w:type="paragraph" w:styleId="1">
    <w:name w:val="heading 1"/>
    <w:aliases w:val="Table_G"/>
    <w:basedOn w:val="a"/>
    <w:next w:val="a"/>
    <w:link w:val="10"/>
    <w:uiPriority w:val="9"/>
    <w:qFormat/>
    <w:rsid w:val="001253D8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1253D8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1253D8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1253D8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881771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cs="Times New Roman"/>
      <w:szCs w:val="20"/>
    </w:rPr>
  </w:style>
  <w:style w:type="paragraph" w:customStyle="1" w:styleId="SLG">
    <w:name w:val="__S_L_G"/>
    <w:basedOn w:val="a"/>
    <w:next w:val="a"/>
    <w:qFormat/>
    <w:rsid w:val="001253D8"/>
    <w:pPr>
      <w:keepNext/>
      <w:keepLines/>
      <w:spacing w:before="240" w:after="240" w:line="580" w:lineRule="exact"/>
      <w:ind w:left="1134" w:right="1134"/>
    </w:pPr>
    <w:rPr>
      <w:rFonts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1253D8"/>
    <w:pPr>
      <w:keepNext/>
      <w:keepLines/>
      <w:spacing w:before="240" w:after="240" w:line="300" w:lineRule="exact"/>
      <w:ind w:left="1134" w:right="1134"/>
    </w:pPr>
    <w:rPr>
      <w:rFonts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1253D8"/>
    <w:pPr>
      <w:numPr>
        <w:numId w:val="25"/>
      </w:numPr>
      <w:spacing w:after="120"/>
      <w:ind w:right="1134"/>
      <w:jc w:val="both"/>
    </w:pPr>
    <w:rPr>
      <w:rFonts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1253D8"/>
    <w:pPr>
      <w:numPr>
        <w:numId w:val="26"/>
      </w:numPr>
      <w:spacing w:after="120"/>
      <w:ind w:right="1134"/>
      <w:jc w:val="both"/>
    </w:pPr>
    <w:rPr>
      <w:rFonts w:cs="Times New Roman"/>
      <w:szCs w:val="20"/>
      <w:lang w:eastAsia="ru-RU"/>
    </w:rPr>
  </w:style>
  <w:style w:type="paragraph" w:customStyle="1" w:styleId="ParaNoG">
    <w:name w:val="_ParaNo._G"/>
    <w:basedOn w:val="a"/>
    <w:qFormat/>
    <w:rsid w:val="00881771"/>
    <w:pPr>
      <w:numPr>
        <w:numId w:val="27"/>
      </w:numPr>
      <w:tabs>
        <w:tab w:val="clear" w:pos="1491"/>
        <w:tab w:val="left" w:pos="1701"/>
        <w:tab w:val="left" w:pos="2268"/>
        <w:tab w:val="left" w:pos="2835"/>
      </w:tabs>
      <w:spacing w:after="120"/>
      <w:ind w:right="1134"/>
      <w:jc w:val="both"/>
      <w:outlineLvl w:val="0"/>
    </w:pPr>
    <w:rPr>
      <w:rFonts w:cs="Times New Roman"/>
      <w:szCs w:val="20"/>
      <w:lang w:eastAsia="ru-RU"/>
    </w:rPr>
  </w:style>
  <w:style w:type="table" w:customStyle="1" w:styleId="TabNum">
    <w:name w:val="_TabNum"/>
    <w:basedOn w:val="a1"/>
    <w:rsid w:val="001253D8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1253D8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1253D8"/>
    <w:pPr>
      <w:pBdr>
        <w:bottom w:val="single" w:sz="4" w:space="4" w:color="auto"/>
      </w:pBdr>
      <w:tabs>
        <w:tab w:val="right" w:pos="9639"/>
      </w:tabs>
    </w:pPr>
    <w:rPr>
      <w:rFonts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1253D8"/>
    <w:rPr>
      <w:b/>
      <w:sz w:val="18"/>
      <w:lang w:val="en-GB" w:eastAsia="ru-RU"/>
    </w:rPr>
  </w:style>
  <w:style w:type="character" w:styleId="a7">
    <w:name w:val="Hyperlink"/>
    <w:basedOn w:val="a0"/>
    <w:rsid w:val="001253D8"/>
    <w:rPr>
      <w:color w:val="0000FF" w:themeColor="hyperlink"/>
      <w:u w:val="none"/>
    </w:rPr>
  </w:style>
  <w:style w:type="character" w:styleId="a8">
    <w:name w:val="footnote reference"/>
    <w:aliases w:val="4_G"/>
    <w:basedOn w:val="a0"/>
    <w:qFormat/>
    <w:rsid w:val="001253D8"/>
    <w:rPr>
      <w:rFonts w:ascii="Times New Roman" w:hAnsi="Times New Roman"/>
      <w:dstrike w:val="0"/>
      <w:sz w:val="18"/>
      <w:vertAlign w:val="superscript"/>
    </w:rPr>
  </w:style>
  <w:style w:type="character" w:styleId="a9">
    <w:name w:val="endnote reference"/>
    <w:aliases w:val="1_G"/>
    <w:basedOn w:val="a8"/>
    <w:qFormat/>
    <w:rsid w:val="001253D8"/>
    <w:rPr>
      <w:rFonts w:ascii="Times New Roman" w:hAnsi="Times New Roman"/>
      <w:dstrike w:val="0"/>
      <w:sz w:val="18"/>
      <w:vertAlign w:val="superscript"/>
    </w:rPr>
  </w:style>
  <w:style w:type="paragraph" w:styleId="aa">
    <w:name w:val="footer"/>
    <w:aliases w:val="3_G"/>
    <w:basedOn w:val="a"/>
    <w:link w:val="ab"/>
    <w:qFormat/>
    <w:rsid w:val="001253D8"/>
    <w:pPr>
      <w:tabs>
        <w:tab w:val="right" w:pos="9639"/>
      </w:tabs>
    </w:pPr>
    <w:rPr>
      <w:rFonts w:cs="Times New Roman"/>
      <w:sz w:val="16"/>
      <w:szCs w:val="20"/>
      <w:lang w:val="en-GB" w:eastAsia="ru-RU"/>
    </w:rPr>
  </w:style>
  <w:style w:type="character" w:customStyle="1" w:styleId="ab">
    <w:name w:val="Нижний колонтитул Знак"/>
    <w:aliases w:val="3_G Знак"/>
    <w:basedOn w:val="a0"/>
    <w:link w:val="aa"/>
    <w:rsid w:val="001253D8"/>
    <w:rPr>
      <w:sz w:val="16"/>
      <w:lang w:val="en-GB" w:eastAsia="ru-RU"/>
    </w:rPr>
  </w:style>
  <w:style w:type="character" w:styleId="ac">
    <w:name w:val="page number"/>
    <w:aliases w:val="7_G"/>
    <w:basedOn w:val="a0"/>
    <w:qFormat/>
    <w:rsid w:val="001253D8"/>
    <w:rPr>
      <w:rFonts w:ascii="Times New Roman" w:hAnsi="Times New Roman"/>
      <w:b/>
      <w:sz w:val="18"/>
    </w:rPr>
  </w:style>
  <w:style w:type="character" w:styleId="ad">
    <w:name w:val="FollowedHyperlink"/>
    <w:basedOn w:val="a0"/>
    <w:rsid w:val="00AB6EED"/>
    <w:rPr>
      <w:color w:val="0000FF"/>
      <w:u w:val="none"/>
    </w:rPr>
  </w:style>
  <w:style w:type="table" w:styleId="ae">
    <w:name w:val="Table Grid"/>
    <w:basedOn w:val="a1"/>
    <w:rsid w:val="00E40F48"/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f">
    <w:name w:val="footnote text"/>
    <w:aliases w:val="5_G"/>
    <w:basedOn w:val="a"/>
    <w:link w:val="af0"/>
    <w:qFormat/>
    <w:rsid w:val="001253D8"/>
    <w:pPr>
      <w:tabs>
        <w:tab w:val="right" w:pos="1021"/>
      </w:tabs>
      <w:spacing w:line="220" w:lineRule="exact"/>
      <w:ind w:left="1134" w:right="1134" w:hanging="1134"/>
    </w:pPr>
    <w:rPr>
      <w:rFonts w:cs="Times New Roman"/>
      <w:sz w:val="18"/>
      <w:szCs w:val="20"/>
      <w:lang w:eastAsia="ru-RU"/>
    </w:rPr>
  </w:style>
  <w:style w:type="character" w:customStyle="1" w:styleId="af0">
    <w:name w:val="Текст сноски Знак"/>
    <w:aliases w:val="5_G Знак"/>
    <w:basedOn w:val="a0"/>
    <w:link w:val="af"/>
    <w:rsid w:val="001253D8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1253D8"/>
    <w:rPr>
      <w:rFonts w:cs="Arial"/>
      <w:b/>
      <w:bCs/>
      <w:szCs w:val="32"/>
      <w:lang w:val="ru-RU" w:eastAsia="ru-RU"/>
    </w:rPr>
  </w:style>
  <w:style w:type="paragraph" w:styleId="af1">
    <w:name w:val="endnote text"/>
    <w:aliases w:val="2_G"/>
    <w:basedOn w:val="af"/>
    <w:link w:val="af2"/>
    <w:qFormat/>
    <w:rsid w:val="001253D8"/>
  </w:style>
  <w:style w:type="character" w:customStyle="1" w:styleId="af2">
    <w:name w:val="Текст концевой сноски Знак"/>
    <w:aliases w:val="2_G Знак"/>
    <w:basedOn w:val="a0"/>
    <w:link w:val="af1"/>
    <w:rsid w:val="001253D8"/>
    <w:rPr>
      <w:sz w:val="18"/>
      <w:lang w:val="ru-RU" w:eastAsia="ru-RU"/>
    </w:rPr>
  </w:style>
  <w:style w:type="character" w:customStyle="1" w:styleId="SingleTxtGChar">
    <w:name w:val="_ Single Txt_G Char"/>
    <w:link w:val="SingleTxtG"/>
    <w:rsid w:val="00E40F48"/>
    <w:rPr>
      <w:rFonts w:cs="Times New Roman"/>
      <w:szCs w:val="20"/>
      <w:lang w:val="ru-RU"/>
    </w:rPr>
  </w:style>
  <w:style w:type="paragraph" w:styleId="af3">
    <w:name w:val="Body Text"/>
    <w:basedOn w:val="a"/>
    <w:link w:val="af4"/>
    <w:rsid w:val="00CD5441"/>
    <w:pPr>
      <w:widowControl w:val="0"/>
      <w:suppressAutoHyphens w:val="0"/>
      <w:spacing w:line="240" w:lineRule="auto"/>
      <w:ind w:left="233"/>
      <w:jc w:val="both"/>
    </w:pPr>
    <w:rPr>
      <w:rFonts w:cs="Times New Roman"/>
      <w:color w:val="000000"/>
      <w:sz w:val="24"/>
      <w:szCs w:val="20"/>
      <w:lang w:val="en-GB" w:eastAsia="zh-CN"/>
    </w:rPr>
  </w:style>
  <w:style w:type="character" w:customStyle="1" w:styleId="af4">
    <w:name w:val="Основной текст Знак"/>
    <w:basedOn w:val="a0"/>
    <w:link w:val="af3"/>
    <w:rsid w:val="00CD5441"/>
    <w:rPr>
      <w:rFonts w:cs="Times New Roman"/>
      <w:color w:val="000000"/>
      <w:sz w:val="24"/>
      <w:szCs w:val="20"/>
      <w:lang w:val="en-GB" w:eastAsia="zh-CN"/>
    </w:rPr>
  </w:style>
  <w:style w:type="paragraph" w:styleId="af5">
    <w:name w:val="Title"/>
    <w:basedOn w:val="a"/>
    <w:link w:val="af6"/>
    <w:uiPriority w:val="10"/>
    <w:qFormat/>
    <w:rsid w:val="00CD5441"/>
    <w:pPr>
      <w:widowControl w:val="0"/>
      <w:suppressAutoHyphens w:val="0"/>
      <w:spacing w:line="240" w:lineRule="auto"/>
      <w:ind w:left="336" w:right="362"/>
      <w:jc w:val="center"/>
    </w:pPr>
    <w:rPr>
      <w:rFonts w:cs="Times New Roman"/>
      <w:b/>
      <w:color w:val="000000"/>
      <w:sz w:val="28"/>
      <w:szCs w:val="20"/>
      <w:lang w:val="en-GB" w:eastAsia="zh-CN"/>
    </w:rPr>
  </w:style>
  <w:style w:type="character" w:customStyle="1" w:styleId="af6">
    <w:name w:val="Заголовок Знак"/>
    <w:basedOn w:val="a0"/>
    <w:link w:val="af5"/>
    <w:uiPriority w:val="10"/>
    <w:rsid w:val="00CD5441"/>
    <w:rPr>
      <w:rFonts w:cs="Times New Roman"/>
      <w:b/>
      <w:color w:val="000000"/>
      <w:sz w:val="28"/>
      <w:szCs w:val="20"/>
      <w:lang w:val="en-GB" w:eastAsia="zh-CN"/>
    </w:rPr>
  </w:style>
  <w:style w:type="paragraph" w:customStyle="1" w:styleId="TableParagraph">
    <w:name w:val="Table Paragraph"/>
    <w:basedOn w:val="a"/>
    <w:rsid w:val="00573153"/>
    <w:pPr>
      <w:widowControl w:val="0"/>
      <w:suppressAutoHyphens w:val="0"/>
      <w:spacing w:line="240" w:lineRule="auto"/>
      <w:ind w:left="165"/>
    </w:pPr>
    <w:rPr>
      <w:rFonts w:cs="Times New Roman"/>
      <w:color w:val="000000"/>
      <w:sz w:val="22"/>
      <w:szCs w:val="20"/>
      <w:lang w:val="en-GB" w:eastAsia="zh-CN"/>
    </w:rPr>
  </w:style>
  <w:style w:type="paragraph" w:styleId="af7">
    <w:name w:val="List Paragraph"/>
    <w:basedOn w:val="a"/>
    <w:link w:val="af8"/>
    <w:rsid w:val="00C2129E"/>
    <w:pPr>
      <w:widowControl w:val="0"/>
      <w:suppressAutoHyphens w:val="0"/>
      <w:spacing w:line="240" w:lineRule="auto"/>
      <w:ind w:left="233"/>
      <w:jc w:val="both"/>
    </w:pPr>
    <w:rPr>
      <w:rFonts w:cs="Times New Roman"/>
      <w:color w:val="000000"/>
      <w:sz w:val="22"/>
      <w:szCs w:val="20"/>
      <w:lang w:val="en-GB" w:eastAsia="zh-CN"/>
    </w:rPr>
  </w:style>
  <w:style w:type="character" w:customStyle="1" w:styleId="af8">
    <w:name w:val="Абзац списка Знак"/>
    <w:basedOn w:val="a0"/>
    <w:link w:val="af7"/>
    <w:rsid w:val="00C2129E"/>
    <w:rPr>
      <w:rFonts w:cs="Times New Roman"/>
      <w:color w:val="000000"/>
      <w:sz w:val="22"/>
      <w:szCs w:val="20"/>
      <w:lang w:val="en-GB" w:eastAsia="zh-CN"/>
    </w:rPr>
  </w:style>
  <w:style w:type="character" w:styleId="af9">
    <w:name w:val="annotation reference"/>
    <w:basedOn w:val="a0"/>
    <w:semiHidden/>
    <w:unhideWhenUsed/>
    <w:rsid w:val="005A1570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5A1570"/>
    <w:pPr>
      <w:spacing w:line="240" w:lineRule="auto"/>
    </w:pPr>
    <w:rPr>
      <w:szCs w:val="20"/>
    </w:rPr>
  </w:style>
  <w:style w:type="character" w:customStyle="1" w:styleId="afb">
    <w:name w:val="Текст примечания Знак"/>
    <w:basedOn w:val="a0"/>
    <w:link w:val="afa"/>
    <w:semiHidden/>
    <w:rsid w:val="005A1570"/>
    <w:rPr>
      <w:szCs w:val="20"/>
      <w:lang w:val="ru-RU"/>
    </w:rPr>
  </w:style>
  <w:style w:type="paragraph" w:styleId="afc">
    <w:name w:val="annotation subject"/>
    <w:basedOn w:val="afa"/>
    <w:next w:val="afa"/>
    <w:link w:val="afd"/>
    <w:semiHidden/>
    <w:unhideWhenUsed/>
    <w:rsid w:val="005A1570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5A1570"/>
    <w:rPr>
      <w:b/>
      <w:bCs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4a1c0d-4a69-4996-a84a-fc699b9f49de">
      <UserInfo>
        <DisplayName>Alibech Mireles Diaz</DisplayName>
        <AccountId>46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BE0643-CAE1-4BC3-BFE1-45D9DE8CD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A0FF33-D53B-4DC3-A0B6-C50A480BEE68}">
  <ds:schemaRefs>
    <ds:schemaRef ds:uri="http://schemas.microsoft.com/office/2006/metadata/properties"/>
    <ds:schemaRef ds:uri="http://schemas.microsoft.com/office/infopath/2007/PartnerControls"/>
    <ds:schemaRef ds:uri="4b4a1c0d-4a69-4996-a84a-fc699b9f49de"/>
  </ds:schemaRefs>
</ds:datastoreItem>
</file>

<file path=customXml/itemProps3.xml><?xml version="1.0" encoding="utf-8"?>
<ds:datastoreItem xmlns:ds="http://schemas.openxmlformats.org/officeDocument/2006/customXml" ds:itemID="{3CE03F28-2A38-4B35-8934-AD150BC47D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946</Words>
  <Characters>5397</Characters>
  <Application>Microsoft Office Word</Application>
  <DocSecurity>0</DocSecurity>
  <Lines>44</Lines>
  <Paragraphs>12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A/</vt:lpstr>
      <vt:lpstr>A/</vt:lpstr>
      <vt:lpstr>A/</vt:lpstr>
      <vt:lpstr>A/</vt:lpstr>
    </vt:vector>
  </TitlesOfParts>
  <Company>DCM</Company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ECE/TRANS/WP.11/2022/1</dc:title>
  <dc:subject/>
  <dc:creator>2022/R.2/Add.3</dc:creator>
  <cp:keywords/>
  <cp:lastModifiedBy>Ioulia Goussarova</cp:lastModifiedBy>
  <cp:revision>3</cp:revision>
  <cp:lastPrinted>2022-02-08T17:11:00Z</cp:lastPrinted>
  <dcterms:created xsi:type="dcterms:W3CDTF">2022-02-08T17:11:00Z</dcterms:created>
  <dcterms:modified xsi:type="dcterms:W3CDTF">2022-02-08T17:11:00Z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