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4B1A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393AFC7D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26F50B4C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0A1F9902" w14:textId="76E2DA4E" w:rsidR="00711C0E" w:rsidRDefault="00711C0E" w:rsidP="00711C0E">
      <w:pPr>
        <w:spacing w:before="120"/>
        <w:rPr>
          <w:b/>
          <w:lang w:eastAsia="fr-FR"/>
        </w:rPr>
      </w:pPr>
      <w:r>
        <w:rPr>
          <w:b/>
        </w:rPr>
        <w:t>1</w:t>
      </w:r>
      <w:r w:rsidR="00DB3518">
        <w:rPr>
          <w:b/>
        </w:rPr>
        <w:t>10</w:t>
      </w:r>
      <w:r>
        <w:rPr>
          <w:b/>
        </w:rPr>
        <w:t>th session</w:t>
      </w:r>
    </w:p>
    <w:p w14:paraId="21BF2BD1" w14:textId="0462DC96" w:rsidR="00982036" w:rsidRPr="00267B69" w:rsidRDefault="00711C0E" w:rsidP="00711C0E">
      <w:pPr>
        <w:rPr>
          <w:b/>
        </w:rPr>
      </w:pPr>
      <w:r>
        <w:t xml:space="preserve">Geneva, </w:t>
      </w:r>
      <w:r w:rsidR="00DB3518">
        <w:t>08</w:t>
      </w:r>
      <w:r w:rsidR="002C4503" w:rsidRPr="002C4503">
        <w:t xml:space="preserve"> - </w:t>
      </w:r>
      <w:r w:rsidR="00DB3518">
        <w:t>12</w:t>
      </w:r>
      <w:r w:rsidR="002C4503" w:rsidRPr="002C4503">
        <w:t xml:space="preserve"> </w:t>
      </w:r>
      <w:r w:rsidR="00DB3518">
        <w:t>Novem</w:t>
      </w:r>
      <w:r w:rsidR="00861A49">
        <w:t>b</w:t>
      </w:r>
      <w:r w:rsidR="00DB3518">
        <w:t>er</w:t>
      </w:r>
      <w:r w:rsidR="002C4503" w:rsidRPr="002C4503">
        <w:t xml:space="preserve"> 2021</w:t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13D3B" w:rsidRPr="00267B6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17A2">
        <w:rPr>
          <w:b/>
        </w:rPr>
        <w:tab/>
      </w:r>
      <w:r w:rsidR="00800E7D">
        <w:rPr>
          <w:b/>
        </w:rPr>
        <w:t>15</w:t>
      </w:r>
      <w:r>
        <w:rPr>
          <w:b/>
        </w:rPr>
        <w:t xml:space="preserve"> </w:t>
      </w:r>
      <w:r w:rsidR="00861A49">
        <w:rPr>
          <w:b/>
        </w:rPr>
        <w:t xml:space="preserve">October </w:t>
      </w:r>
      <w:r w:rsidR="0090465E">
        <w:rPr>
          <w:b/>
        </w:rPr>
        <w:t>202</w:t>
      </w:r>
      <w:r w:rsidR="002A34C6">
        <w:rPr>
          <w:b/>
        </w:rPr>
        <w:t>1</w:t>
      </w:r>
    </w:p>
    <w:p w14:paraId="3C591671" w14:textId="49160312" w:rsidR="0090465E" w:rsidRPr="00982178" w:rsidRDefault="0090465E" w:rsidP="0090465E">
      <w:r w:rsidRPr="00982178">
        <w:t xml:space="preserve">Item </w:t>
      </w:r>
      <w:r>
        <w:t>5 (</w:t>
      </w:r>
      <w:r w:rsidR="00711C0E">
        <w:t>a</w:t>
      </w:r>
      <w:r>
        <w:t>)</w:t>
      </w:r>
      <w:r w:rsidRPr="00982178">
        <w:t xml:space="preserve"> of the provisional agenda</w:t>
      </w:r>
    </w:p>
    <w:p w14:paraId="40BEB4D5" w14:textId="38B39D1F" w:rsidR="0090465E" w:rsidRPr="00982178" w:rsidRDefault="0090465E" w:rsidP="0090465E">
      <w:pPr>
        <w:rPr>
          <w:b/>
        </w:rPr>
      </w:pPr>
      <w:r w:rsidRPr="009F293C">
        <w:rPr>
          <w:b/>
        </w:rPr>
        <w:t>Proposals for amendments to annexes A and B of ADR</w:t>
      </w:r>
      <w:r>
        <w:rPr>
          <w:b/>
        </w:rPr>
        <w:t>:</w:t>
      </w:r>
      <w:r>
        <w:rPr>
          <w:b/>
        </w:rPr>
        <w:br/>
      </w:r>
      <w:r w:rsidR="00711C0E">
        <w:rPr>
          <w:b/>
        </w:rPr>
        <w:t>c</w:t>
      </w:r>
      <w:r w:rsidR="00711C0E" w:rsidRPr="00711C0E">
        <w:rPr>
          <w:b/>
        </w:rPr>
        <w:t>onstruction and approval of vehicles</w:t>
      </w:r>
    </w:p>
    <w:p w14:paraId="6F2C29AA" w14:textId="5C175059" w:rsidR="0090465E" w:rsidRDefault="0078681D" w:rsidP="0078681D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35758">
        <w:rPr>
          <w:lang w:val="en-US"/>
        </w:rPr>
        <w:t>R</w:t>
      </w:r>
      <w:r w:rsidR="002C4503">
        <w:rPr>
          <w:lang w:val="en-US"/>
        </w:rPr>
        <w:t>eport of the</w:t>
      </w:r>
      <w:r w:rsidR="00B34076">
        <w:rPr>
          <w:lang w:val="en-US"/>
        </w:rPr>
        <w:t xml:space="preserve"> </w:t>
      </w:r>
      <w:r w:rsidR="00F35758">
        <w:rPr>
          <w:lang w:val="en-US"/>
        </w:rPr>
        <w:t>Informal W</w:t>
      </w:r>
      <w:r w:rsidR="00B34076">
        <w:rPr>
          <w:lang w:val="en-US"/>
        </w:rPr>
        <w:t xml:space="preserve">orking </w:t>
      </w:r>
      <w:r w:rsidR="00F35758">
        <w:rPr>
          <w:lang w:val="en-US"/>
        </w:rPr>
        <w:t>G</w:t>
      </w:r>
      <w:r w:rsidR="00B34076">
        <w:rPr>
          <w:lang w:val="en-US"/>
        </w:rPr>
        <w:t>roup</w:t>
      </w:r>
      <w:r w:rsidR="00F35758" w:rsidRPr="00F35758">
        <w:rPr>
          <w:lang w:val="en-US"/>
        </w:rPr>
        <w:t xml:space="preserve"> </w:t>
      </w:r>
      <w:r w:rsidR="00F35758">
        <w:rPr>
          <w:lang w:val="en-US"/>
        </w:rPr>
        <w:t>on section 9.7.5 of ADR</w:t>
      </w:r>
    </w:p>
    <w:p w14:paraId="5B634E94" w14:textId="0BE7234D" w:rsidR="00BF5179" w:rsidRPr="00711C0E" w:rsidRDefault="0078681D" w:rsidP="0078681D">
      <w:pPr>
        <w:pStyle w:val="H1G"/>
      </w:pPr>
      <w:r>
        <w:tab/>
      </w:r>
      <w:r w:rsidR="004407EC">
        <w:tab/>
      </w:r>
      <w:r w:rsidR="00F35758">
        <w:t>T</w:t>
      </w:r>
      <w:proofErr w:type="spellStart"/>
      <w:r w:rsidR="00BF5179" w:rsidRPr="00AE400B">
        <w:rPr>
          <w:lang w:val="en-US"/>
        </w:rPr>
        <w:t>ransmitted</w:t>
      </w:r>
      <w:proofErr w:type="spellEnd"/>
      <w:r w:rsidR="00BF5179" w:rsidRPr="00AE400B">
        <w:rPr>
          <w:lang w:val="en-US"/>
        </w:rPr>
        <w:t xml:space="preserve"> by </w:t>
      </w:r>
      <w:r w:rsidR="009A55EA">
        <w:rPr>
          <w:lang w:val="en-US"/>
        </w:rPr>
        <w:t xml:space="preserve">the chair of the </w:t>
      </w:r>
      <w:r w:rsidR="003422CA">
        <w:rPr>
          <w:lang w:val="en-US"/>
        </w:rPr>
        <w:t xml:space="preserve">Informal </w:t>
      </w:r>
      <w:r w:rsidR="009A55EA">
        <w:rPr>
          <w:lang w:val="en-US"/>
        </w:rPr>
        <w:t>Working Group</w:t>
      </w:r>
    </w:p>
    <w:p w14:paraId="18CFB1CA" w14:textId="77777777" w:rsidR="007F3F1D" w:rsidRPr="00B57BEB" w:rsidRDefault="007F3F1D" w:rsidP="007F3F1D"/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29"/>
      </w:tblGrid>
      <w:tr w:rsidR="00711C0E" w14:paraId="428452BE" w14:textId="77777777" w:rsidTr="00FA14C5">
        <w:trPr>
          <w:jc w:val="center"/>
        </w:trPr>
        <w:tc>
          <w:tcPr>
            <w:tcW w:w="9629" w:type="dxa"/>
            <w:tcBorders>
              <w:bottom w:val="nil"/>
            </w:tcBorders>
          </w:tcPr>
          <w:p w14:paraId="2316F366" w14:textId="77777777" w:rsidR="00711C0E" w:rsidRPr="00CD0A92" w:rsidRDefault="00711C0E" w:rsidP="00FA14C5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711C0E" w14:paraId="31D6F276" w14:textId="77777777" w:rsidTr="00FA14C5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69670FD3" w14:textId="5BD8873E" w:rsidR="00B34076" w:rsidRPr="005D11A0" w:rsidRDefault="00711C0E" w:rsidP="00861A49">
            <w:pPr>
              <w:pStyle w:val="SingleTxtG"/>
              <w:tabs>
                <w:tab w:val="left" w:pos="3260"/>
              </w:tabs>
              <w:ind w:left="3260" w:hanging="2126"/>
              <w:rPr>
                <w:szCs w:val="22"/>
              </w:rPr>
            </w:pPr>
            <w:r w:rsidRPr="005D11A0">
              <w:rPr>
                <w:b/>
                <w:szCs w:val="22"/>
              </w:rPr>
              <w:t>Executive summary</w:t>
            </w:r>
            <w:r w:rsidRPr="005D11A0">
              <w:rPr>
                <w:szCs w:val="22"/>
              </w:rPr>
              <w:t>:</w:t>
            </w:r>
            <w:r w:rsidRPr="005D11A0">
              <w:rPr>
                <w:szCs w:val="22"/>
              </w:rPr>
              <w:tab/>
            </w:r>
            <w:r w:rsidR="00DB3518" w:rsidRPr="005D11A0">
              <w:rPr>
                <w:szCs w:val="22"/>
              </w:rPr>
              <w:t>F</w:t>
            </w:r>
            <w:r w:rsidR="00DB3518" w:rsidRPr="005D11A0">
              <w:rPr>
                <w:szCs w:val="22"/>
                <w:lang w:val="en-US"/>
              </w:rPr>
              <w:t xml:space="preserve">inal </w:t>
            </w:r>
            <w:r w:rsidR="00111257" w:rsidRPr="005D11A0">
              <w:rPr>
                <w:szCs w:val="22"/>
                <w:lang w:val="en-US"/>
              </w:rPr>
              <w:t xml:space="preserve">report of the working group </w:t>
            </w:r>
            <w:r w:rsidR="002801EE" w:rsidRPr="005D11A0">
              <w:rPr>
                <w:szCs w:val="22"/>
                <w:lang w:val="en-US"/>
              </w:rPr>
              <w:t xml:space="preserve">convened </w:t>
            </w:r>
            <w:r w:rsidR="00111257" w:rsidRPr="005D11A0">
              <w:rPr>
                <w:szCs w:val="22"/>
                <w:lang w:val="en-US"/>
              </w:rPr>
              <w:t>to d</w:t>
            </w:r>
            <w:r w:rsidR="00111257" w:rsidRPr="005D11A0">
              <w:rPr>
                <w:lang w:val="en-US"/>
              </w:rPr>
              <w:t>iscuss</w:t>
            </w:r>
            <w:r w:rsidR="00211C35" w:rsidRPr="005D11A0">
              <w:rPr>
                <w:lang w:val="en-US"/>
              </w:rPr>
              <w:t xml:space="preserve"> possible amendments to</w:t>
            </w:r>
            <w:r w:rsidR="00111257" w:rsidRPr="005D11A0">
              <w:rPr>
                <w:lang w:val="en-US"/>
              </w:rPr>
              <w:t xml:space="preserve"> 9.7.5.1 and 9.7.5.2</w:t>
            </w:r>
            <w:r w:rsidR="00F35758" w:rsidRPr="005D11A0">
              <w:rPr>
                <w:lang w:val="en-US"/>
              </w:rPr>
              <w:t xml:space="preserve"> of ADR</w:t>
            </w:r>
            <w:r w:rsidRPr="005D11A0">
              <w:rPr>
                <w:szCs w:val="22"/>
              </w:rPr>
              <w:t>.</w:t>
            </w:r>
          </w:p>
        </w:tc>
      </w:tr>
      <w:tr w:rsidR="00B34076" w:rsidRPr="00FC2A99" w14:paraId="001D36B6" w14:textId="77777777" w:rsidTr="00FA14C5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1FC77F27" w14:textId="42EF12E8" w:rsidR="00B34076" w:rsidRPr="005D11A0" w:rsidRDefault="00B34076" w:rsidP="0078681D">
            <w:pPr>
              <w:pStyle w:val="SingleTxtG"/>
              <w:tabs>
                <w:tab w:val="left" w:pos="2010"/>
              </w:tabs>
              <w:spacing w:after="0"/>
              <w:ind w:left="3260" w:hanging="2126"/>
              <w:rPr>
                <w:bCs/>
                <w:szCs w:val="22"/>
              </w:rPr>
            </w:pPr>
            <w:r w:rsidRPr="005D11A0">
              <w:rPr>
                <w:b/>
                <w:szCs w:val="22"/>
                <w:lang w:val="en-US"/>
              </w:rPr>
              <w:t>Related documents</w:t>
            </w:r>
            <w:r w:rsidRPr="005D11A0">
              <w:rPr>
                <w:bCs/>
                <w:lang w:val="en-US"/>
              </w:rPr>
              <w:t>:</w:t>
            </w:r>
            <w:r w:rsidRPr="005D11A0">
              <w:rPr>
                <w:b/>
                <w:szCs w:val="22"/>
              </w:rPr>
              <w:tab/>
            </w:r>
            <w:hyperlink r:id="rId11" w:history="1">
              <w:r w:rsidR="00EE3DC9" w:rsidRPr="005D11A0">
                <w:rPr>
                  <w:rStyle w:val="Hyperlink"/>
                  <w:bCs/>
                  <w:szCs w:val="22"/>
                  <w:lang w:val="en-US"/>
                </w:rPr>
                <w:t>ECE-TRANS-WP15-108-GE-</w:t>
              </w:r>
              <w:r w:rsidR="00FC2A99" w:rsidRPr="005D11A0">
                <w:rPr>
                  <w:rStyle w:val="Hyperlink"/>
                  <w:bCs/>
                  <w:szCs w:val="22"/>
                  <w:lang w:val="en-US"/>
                </w:rPr>
                <w:t>INF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.</w:t>
              </w:r>
              <w:r w:rsidR="00EE3DC9" w:rsidRPr="005D11A0">
                <w:rPr>
                  <w:rStyle w:val="Hyperlink"/>
                  <w:bCs/>
                  <w:szCs w:val="22"/>
                  <w:lang w:val="en-US"/>
                </w:rPr>
                <w:t>5</w:t>
              </w:r>
            </w:hyperlink>
          </w:p>
          <w:p w14:paraId="718ED69C" w14:textId="09F07201" w:rsidR="00FC2A99" w:rsidRPr="005D11A0" w:rsidRDefault="00FC2A99" w:rsidP="0078681D">
            <w:pPr>
              <w:pStyle w:val="SingleTxtG"/>
              <w:tabs>
                <w:tab w:val="left" w:pos="2010"/>
              </w:tabs>
              <w:spacing w:after="0"/>
              <w:ind w:left="3260" w:hanging="2126"/>
              <w:rPr>
                <w:rStyle w:val="Hyperlink"/>
                <w:lang w:val="en-US"/>
              </w:rPr>
            </w:pPr>
            <w:r w:rsidRPr="005D11A0">
              <w:rPr>
                <w:bCs/>
                <w:szCs w:val="22"/>
                <w:lang w:val="en-GB"/>
              </w:rPr>
              <w:t xml:space="preserve">                                          </w:t>
            </w:r>
            <w:hyperlink r:id="rId12" w:history="1">
              <w:r w:rsidRPr="005D11A0">
                <w:rPr>
                  <w:rStyle w:val="Hyperlink"/>
                  <w:bCs/>
                  <w:szCs w:val="22"/>
                  <w:lang w:val="en-US"/>
                </w:rPr>
                <w:t>ECE-TRANS-WP15-108-GE-INF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.</w:t>
              </w:r>
              <w:r w:rsidRPr="005D11A0">
                <w:rPr>
                  <w:rStyle w:val="Hyperlink"/>
                  <w:bCs/>
                  <w:szCs w:val="22"/>
                  <w:lang w:val="en-US"/>
                </w:rPr>
                <w:t>25</w:t>
              </w:r>
            </w:hyperlink>
          </w:p>
          <w:p w14:paraId="262029A7" w14:textId="386B907C" w:rsidR="00DB3518" w:rsidRPr="005D11A0" w:rsidRDefault="00DB3518" w:rsidP="0078681D">
            <w:pPr>
              <w:pStyle w:val="SingleTxtG"/>
              <w:tabs>
                <w:tab w:val="left" w:pos="2010"/>
              </w:tabs>
              <w:spacing w:after="0"/>
              <w:ind w:left="3260" w:hanging="2126"/>
              <w:rPr>
                <w:rStyle w:val="Hyperlink"/>
              </w:rPr>
            </w:pPr>
            <w:r w:rsidRPr="005D11A0">
              <w:rPr>
                <w:rStyle w:val="Hyperlink"/>
              </w:rPr>
              <w:t xml:space="preserve">                                          </w:t>
            </w:r>
            <w:hyperlink r:id="rId13" w:history="1">
              <w:r w:rsidRPr="005D11A0">
                <w:rPr>
                  <w:rStyle w:val="Hyperlink"/>
                  <w:bCs/>
                  <w:szCs w:val="22"/>
                  <w:lang w:val="en-US"/>
                </w:rPr>
                <w:t>ECE-TRANS-WP15-109-GE-INF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.</w:t>
              </w:r>
              <w:r w:rsidRPr="005D11A0">
                <w:rPr>
                  <w:rStyle w:val="Hyperlink"/>
                  <w:bCs/>
                  <w:szCs w:val="22"/>
                  <w:lang w:val="en-US"/>
                </w:rPr>
                <w:t>12</w:t>
              </w:r>
            </w:hyperlink>
          </w:p>
          <w:p w14:paraId="1DBA60FA" w14:textId="473CC08F" w:rsidR="00DB3518" w:rsidRPr="005D11A0" w:rsidRDefault="00DB3518" w:rsidP="0078681D">
            <w:pPr>
              <w:pStyle w:val="SingleTxtG"/>
              <w:tabs>
                <w:tab w:val="left" w:pos="2010"/>
              </w:tabs>
              <w:spacing w:after="0"/>
              <w:ind w:left="3260" w:hanging="2126"/>
              <w:rPr>
                <w:bCs/>
                <w:szCs w:val="22"/>
                <w:lang w:val="en-US"/>
              </w:rPr>
            </w:pPr>
            <w:r w:rsidRPr="005D11A0">
              <w:rPr>
                <w:bCs/>
                <w:szCs w:val="22"/>
                <w:lang w:val="en-US"/>
              </w:rPr>
              <w:t xml:space="preserve">                                          </w:t>
            </w:r>
            <w:hyperlink r:id="rId14" w:history="1">
              <w:r w:rsidRPr="005D11A0">
                <w:rPr>
                  <w:rStyle w:val="Hyperlink"/>
                  <w:bCs/>
                  <w:szCs w:val="22"/>
                  <w:lang w:val="en-US"/>
                </w:rPr>
                <w:t>ECE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-</w:t>
              </w:r>
              <w:r w:rsidRPr="005D11A0">
                <w:rPr>
                  <w:rStyle w:val="Hyperlink"/>
                  <w:bCs/>
                  <w:szCs w:val="22"/>
                  <w:lang w:val="en-US"/>
                </w:rPr>
                <w:t>TRANS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-</w:t>
              </w:r>
              <w:r w:rsidRPr="005D11A0">
                <w:rPr>
                  <w:rStyle w:val="Hyperlink"/>
                  <w:bCs/>
                  <w:szCs w:val="22"/>
                  <w:lang w:val="en-US"/>
                </w:rPr>
                <w:t>WP.15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-</w:t>
              </w:r>
              <w:r w:rsidRPr="005D11A0">
                <w:rPr>
                  <w:rStyle w:val="Hyperlink"/>
                  <w:bCs/>
                  <w:szCs w:val="22"/>
                  <w:lang w:val="en-US"/>
                </w:rPr>
                <w:t>2021</w:t>
              </w:r>
              <w:r w:rsidR="00C32512">
                <w:rPr>
                  <w:rStyle w:val="Hyperlink"/>
                  <w:bCs/>
                  <w:szCs w:val="22"/>
                  <w:lang w:val="en-US"/>
                </w:rPr>
                <w:t>-</w:t>
              </w:r>
              <w:r w:rsidRPr="005D11A0">
                <w:rPr>
                  <w:rStyle w:val="Hyperlink"/>
                  <w:bCs/>
                  <w:szCs w:val="22"/>
                  <w:lang w:val="en-US"/>
                </w:rPr>
                <w:t>10</w:t>
              </w:r>
            </w:hyperlink>
          </w:p>
          <w:p w14:paraId="7BBE3EC2" w14:textId="77777777" w:rsidR="00FC2A99" w:rsidRPr="005D11A0" w:rsidRDefault="00FC2A99" w:rsidP="0078681D">
            <w:pPr>
              <w:pStyle w:val="SingleTxtG"/>
              <w:tabs>
                <w:tab w:val="left" w:pos="2010"/>
              </w:tabs>
              <w:spacing w:after="0"/>
              <w:ind w:left="3260" w:hanging="2126"/>
              <w:rPr>
                <w:bCs/>
                <w:szCs w:val="22"/>
                <w:lang w:val="en-US"/>
              </w:rPr>
            </w:pPr>
            <w:r w:rsidRPr="005D11A0">
              <w:rPr>
                <w:bCs/>
                <w:szCs w:val="22"/>
                <w:lang w:val="en-US"/>
              </w:rPr>
              <w:t xml:space="preserve">                                          TRANS/WP.15/153</w:t>
            </w:r>
            <w:r w:rsidR="00F35758" w:rsidRPr="005D11A0">
              <w:rPr>
                <w:bCs/>
                <w:szCs w:val="22"/>
                <w:lang w:val="en-US"/>
              </w:rPr>
              <w:t xml:space="preserve"> </w:t>
            </w:r>
          </w:p>
          <w:p w14:paraId="43AA8781" w14:textId="60F8EB3B" w:rsidR="006E200F" w:rsidRPr="005D11A0" w:rsidRDefault="006E200F" w:rsidP="0078681D">
            <w:pPr>
              <w:pStyle w:val="SingleTxtG"/>
              <w:tabs>
                <w:tab w:val="left" w:pos="2010"/>
              </w:tabs>
              <w:spacing w:after="0"/>
              <w:ind w:left="3260" w:hanging="2126"/>
              <w:rPr>
                <w:bCs/>
                <w:szCs w:val="22"/>
                <w:lang w:val="en-US"/>
              </w:rPr>
            </w:pPr>
            <w:r w:rsidRPr="005D11A0">
              <w:rPr>
                <w:bCs/>
                <w:szCs w:val="22"/>
                <w:lang w:val="en-US"/>
              </w:rPr>
              <w:t xml:space="preserve">                                          </w:t>
            </w:r>
            <w:r w:rsidRPr="005D11A0">
              <w:rPr>
                <w:lang w:val="en-US"/>
              </w:rPr>
              <w:t>E/ECE/TRANS/503</w:t>
            </w:r>
            <w:r w:rsidR="009A55EA" w:rsidRPr="005D11A0">
              <w:rPr>
                <w:lang w:val="en-US"/>
              </w:rPr>
              <w:t xml:space="preserve"> [ADR 1978]</w:t>
            </w:r>
          </w:p>
        </w:tc>
      </w:tr>
      <w:tr w:rsidR="00711C0E" w14:paraId="5C05F0A2" w14:textId="77777777" w:rsidTr="00FA14C5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  <w:shd w:val="clear" w:color="auto" w:fill="auto"/>
          </w:tcPr>
          <w:p w14:paraId="1E20666C" w14:textId="178FF3B6" w:rsidR="00711C0E" w:rsidRPr="00084034" w:rsidRDefault="00711C0E" w:rsidP="00FA14C5">
            <w:pPr>
              <w:pStyle w:val="SingleTxtG"/>
              <w:tabs>
                <w:tab w:val="left" w:pos="3260"/>
              </w:tabs>
              <w:ind w:left="3260" w:hanging="2126"/>
              <w:rPr>
                <w:color w:val="6699FF"/>
                <w:szCs w:val="22"/>
              </w:rPr>
            </w:pPr>
            <w:r w:rsidRPr="004F0D24">
              <w:rPr>
                <w:b/>
                <w:szCs w:val="22"/>
              </w:rPr>
              <w:t>Action to be taken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tab/>
            </w:r>
            <w:r w:rsidR="00111257">
              <w:rPr>
                <w:szCs w:val="22"/>
                <w:lang w:val="en-US"/>
              </w:rPr>
              <w:t>None</w:t>
            </w:r>
            <w:r>
              <w:t>.</w:t>
            </w:r>
          </w:p>
        </w:tc>
      </w:tr>
      <w:tr w:rsidR="00711C0E" w14:paraId="30B87FE2" w14:textId="77777777" w:rsidTr="00FA14C5">
        <w:trPr>
          <w:jc w:val="center"/>
        </w:trPr>
        <w:tc>
          <w:tcPr>
            <w:tcW w:w="9629" w:type="dxa"/>
            <w:tcBorders>
              <w:top w:val="nil"/>
            </w:tcBorders>
          </w:tcPr>
          <w:p w14:paraId="6AED67EB" w14:textId="77777777" w:rsidR="00711C0E" w:rsidRDefault="00711C0E" w:rsidP="00FA14C5">
            <w:pPr>
              <w:suppressAutoHyphens w:val="0"/>
            </w:pPr>
          </w:p>
        </w:tc>
      </w:tr>
    </w:tbl>
    <w:p w14:paraId="202635EB" w14:textId="77777777" w:rsidR="00711C0E" w:rsidRDefault="00711C0E" w:rsidP="00711C0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D0A90">
        <w:rPr>
          <w:lang w:val="en-US"/>
        </w:rPr>
        <w:t>Introduction</w:t>
      </w:r>
    </w:p>
    <w:p w14:paraId="74EF3296" w14:textId="53DC2D77" w:rsidR="00711C0E" w:rsidRDefault="00711C0E" w:rsidP="00711C0E">
      <w:pPr>
        <w:pStyle w:val="SingleTxtG"/>
        <w:rPr>
          <w:lang w:val="en-US"/>
        </w:rPr>
      </w:pPr>
      <w:r>
        <w:t xml:space="preserve">Concerns </w:t>
      </w:r>
      <w:r w:rsidR="00EE3DC9">
        <w:rPr>
          <w:lang w:val="en-US"/>
        </w:rPr>
        <w:t>from</w:t>
      </w:r>
      <w:r>
        <w:t xml:space="preserve"> the industry on how ADR defines the requirement</w:t>
      </w:r>
      <w:r w:rsidR="00F35758">
        <w:rPr>
          <w:lang w:val="fr-FR"/>
        </w:rPr>
        <w:t>s</w:t>
      </w:r>
      <w:r>
        <w:t xml:space="preserve"> for</w:t>
      </w:r>
      <w:r w:rsidR="00EE3DC9">
        <w:rPr>
          <w:lang w:val="en-US"/>
        </w:rPr>
        <w:t xml:space="preserve"> the stability of</w:t>
      </w:r>
      <w:r>
        <w:t xml:space="preserve"> </w:t>
      </w:r>
      <w:r w:rsidR="002A5C1D">
        <w:rPr>
          <w:lang w:val="fr-FR"/>
        </w:rPr>
        <w:t>tank-</w:t>
      </w:r>
      <w:r w:rsidR="002A5C1D" w:rsidRPr="00813BB6">
        <w:rPr>
          <w:lang w:val="en-GB"/>
        </w:rPr>
        <w:t>vehicles carrying</w:t>
      </w:r>
      <w:r w:rsidR="002A5C1D">
        <w:rPr>
          <w:lang w:val="fr-FR"/>
        </w:rPr>
        <w:t xml:space="preserve"> </w:t>
      </w:r>
      <w:r>
        <w:t>liquid</w:t>
      </w:r>
      <w:r w:rsidR="002A5C1D">
        <w:rPr>
          <w:lang w:val="fr-FR"/>
        </w:rPr>
        <w:t>s</w:t>
      </w:r>
      <w:r>
        <w:t xml:space="preserve"> </w:t>
      </w:r>
      <w:r w:rsidR="00EE3DC9">
        <w:rPr>
          <w:lang w:val="en-US"/>
        </w:rPr>
        <w:t>have been reported during the 108</w:t>
      </w:r>
      <w:r w:rsidR="00EE3DC9" w:rsidRPr="00EE3DC9">
        <w:rPr>
          <w:vertAlign w:val="superscript"/>
          <w:lang w:val="en-US"/>
        </w:rPr>
        <w:t>th</w:t>
      </w:r>
      <w:r w:rsidR="00EE3DC9">
        <w:rPr>
          <w:lang w:val="en-US"/>
        </w:rPr>
        <w:t xml:space="preserve"> session of the </w:t>
      </w:r>
      <w:r w:rsidR="00EE3DC9" w:rsidRPr="00EE3DC9">
        <w:rPr>
          <w:lang w:val="en-US"/>
        </w:rPr>
        <w:t>Working Party on the Transport of Dangerous Goods</w:t>
      </w:r>
      <w:r w:rsidR="00EE3DC9">
        <w:rPr>
          <w:lang w:val="en-US"/>
        </w:rPr>
        <w:t xml:space="preserve"> (WP</w:t>
      </w:r>
      <w:r w:rsidR="002A5C1D">
        <w:rPr>
          <w:lang w:val="en-US"/>
        </w:rPr>
        <w:t>.</w:t>
      </w:r>
      <w:r w:rsidR="00EE3DC9">
        <w:rPr>
          <w:lang w:val="en-US"/>
        </w:rPr>
        <w:t>15), through INF</w:t>
      </w:r>
      <w:r w:rsidR="002A5C1D">
        <w:rPr>
          <w:lang w:val="en-US"/>
        </w:rPr>
        <w:t>.</w:t>
      </w:r>
      <w:r w:rsidR="00EE3DC9">
        <w:rPr>
          <w:lang w:val="en-US"/>
        </w:rPr>
        <w:t xml:space="preserve">5 submitted by CEFIC. </w:t>
      </w:r>
    </w:p>
    <w:p w14:paraId="10AFB0DB" w14:textId="62FA492E" w:rsidR="00EE3DC9" w:rsidRPr="005E1EBD" w:rsidRDefault="002C4503" w:rsidP="005A454F">
      <w:pPr>
        <w:pStyle w:val="SingleTxtG"/>
        <w:tabs>
          <w:tab w:val="left" w:pos="2010"/>
        </w:tabs>
        <w:rPr>
          <w:color w:val="1F497D" w:themeColor="text2"/>
          <w:u w:val="single"/>
          <w:lang w:val="en-US"/>
        </w:rPr>
      </w:pPr>
      <w:r w:rsidRPr="005A454F">
        <w:rPr>
          <w:lang w:val="en-US"/>
        </w:rPr>
        <w:t>A</w:t>
      </w:r>
      <w:r w:rsidR="00EE3DC9" w:rsidRPr="005A454F">
        <w:rPr>
          <w:lang w:val="en-US"/>
        </w:rPr>
        <w:t>n informal working group</w:t>
      </w:r>
      <w:r w:rsidRPr="005A454F">
        <w:rPr>
          <w:lang w:val="en-US"/>
        </w:rPr>
        <w:t xml:space="preserve"> has been convened</w:t>
      </w:r>
      <w:r w:rsidR="00DB3518" w:rsidRPr="005A454F">
        <w:rPr>
          <w:lang w:val="en-US"/>
        </w:rPr>
        <w:t xml:space="preserve"> with the following mandate </w:t>
      </w:r>
      <w:r w:rsidR="005A454F">
        <w:rPr>
          <w:lang w:val="en-US"/>
        </w:rPr>
        <w:br/>
      </w:r>
      <w:r w:rsidR="00DB3518" w:rsidRPr="005A454F">
        <w:rPr>
          <w:lang w:val="en-US"/>
        </w:rPr>
        <w:t xml:space="preserve">(see </w:t>
      </w:r>
      <w:hyperlink r:id="rId15" w:history="1">
        <w:r w:rsidR="005E1EBD" w:rsidRPr="002D1E8B">
          <w:rPr>
            <w:rStyle w:val="Hyperlink"/>
            <w:bCs/>
            <w:szCs w:val="22"/>
            <w:lang w:val="en-US"/>
          </w:rPr>
          <w:t>ECE</w:t>
        </w:r>
        <w:r w:rsidR="005A454F" w:rsidRPr="002D1E8B">
          <w:rPr>
            <w:rStyle w:val="Hyperlink"/>
            <w:bCs/>
            <w:szCs w:val="22"/>
            <w:lang w:val="en-US"/>
          </w:rPr>
          <w:t>-</w:t>
        </w:r>
        <w:r w:rsidR="005E1EBD" w:rsidRPr="002D1E8B">
          <w:rPr>
            <w:rStyle w:val="Hyperlink"/>
            <w:bCs/>
            <w:szCs w:val="22"/>
            <w:lang w:val="en-US"/>
          </w:rPr>
          <w:t>TRANS-WP</w:t>
        </w:r>
        <w:r w:rsidR="002D1E8B">
          <w:rPr>
            <w:rStyle w:val="Hyperlink"/>
            <w:bCs/>
            <w:szCs w:val="22"/>
            <w:lang w:val="en-US"/>
          </w:rPr>
          <w:t>.</w:t>
        </w:r>
        <w:r w:rsidR="005E1EBD" w:rsidRPr="002D1E8B">
          <w:rPr>
            <w:rStyle w:val="Hyperlink"/>
            <w:bCs/>
            <w:szCs w:val="22"/>
            <w:lang w:val="en-US"/>
          </w:rPr>
          <w:t>15-108-GE-INF</w:t>
        </w:r>
        <w:r w:rsidR="005A454F" w:rsidRPr="002D1E8B">
          <w:rPr>
            <w:rStyle w:val="Hyperlink"/>
            <w:bCs/>
            <w:szCs w:val="22"/>
            <w:lang w:val="en-US"/>
          </w:rPr>
          <w:t>.</w:t>
        </w:r>
        <w:r w:rsidR="005E1EBD" w:rsidRPr="002D1E8B">
          <w:rPr>
            <w:rStyle w:val="Hyperlink"/>
            <w:bCs/>
            <w:szCs w:val="22"/>
            <w:lang w:val="en-US"/>
          </w:rPr>
          <w:t>25</w:t>
        </w:r>
      </w:hyperlink>
      <w:r w:rsidR="00DB3518" w:rsidRPr="002D1E8B">
        <w:rPr>
          <w:lang w:val="en-US"/>
        </w:rPr>
        <w:t>):</w:t>
      </w:r>
    </w:p>
    <w:p w14:paraId="20280E69" w14:textId="77777777" w:rsidR="00DB3518" w:rsidRDefault="00DB3518" w:rsidP="00FA14C5">
      <w:pPr>
        <w:pStyle w:val="SingleTxtG"/>
        <w:numPr>
          <w:ilvl w:val="0"/>
          <w:numId w:val="25"/>
        </w:numPr>
        <w:rPr>
          <w:lang w:val="en-US"/>
        </w:rPr>
      </w:pPr>
      <w:r w:rsidRPr="00DB3518">
        <w:rPr>
          <w:lang w:val="en-US"/>
        </w:rPr>
        <w:t>Analyze the correctness of the calculation of the maximum height of the center of gravity of tanks, as stated in 9.7.5.1.</w:t>
      </w:r>
    </w:p>
    <w:p w14:paraId="200490DD" w14:textId="77777777" w:rsidR="00DB3518" w:rsidRDefault="00DB3518" w:rsidP="00FA14C5">
      <w:pPr>
        <w:pStyle w:val="SingleTxtG"/>
        <w:numPr>
          <w:ilvl w:val="0"/>
          <w:numId w:val="25"/>
        </w:numPr>
        <w:rPr>
          <w:lang w:val="en-US"/>
        </w:rPr>
      </w:pPr>
      <w:r w:rsidRPr="00DB3518">
        <w:rPr>
          <w:lang w:val="en-US"/>
        </w:rPr>
        <w:t>Verify if the reference to UN Regulation No. 111 contained in 9.7.5.2 is sufficient to set the minimum requirements for the stability of road tanks.</w:t>
      </w:r>
    </w:p>
    <w:p w14:paraId="1B64B5D4" w14:textId="77777777" w:rsidR="00DB3518" w:rsidRDefault="00DB3518" w:rsidP="00FA14C5">
      <w:pPr>
        <w:pStyle w:val="SingleTxtG"/>
        <w:numPr>
          <w:ilvl w:val="0"/>
          <w:numId w:val="25"/>
        </w:numPr>
        <w:rPr>
          <w:lang w:val="en-US"/>
        </w:rPr>
      </w:pPr>
      <w:r w:rsidRPr="00DB3518">
        <w:rPr>
          <w:lang w:val="en-US"/>
        </w:rPr>
        <w:t>Analyze if the application of UN Regulation No. 111 only to tank-vehicles with fixed tanks with a capacity of more than 3 m³ intended for the carriage of dangerous goods in the liquid or molten state tested with a pressure of less than 4 bar, is appropriate.</w:t>
      </w:r>
    </w:p>
    <w:p w14:paraId="2F713D19" w14:textId="22C930E0" w:rsidR="00DB3518" w:rsidRPr="00DB3518" w:rsidRDefault="00DB3518" w:rsidP="00FA14C5">
      <w:pPr>
        <w:pStyle w:val="SingleTxtG"/>
        <w:numPr>
          <w:ilvl w:val="0"/>
          <w:numId w:val="25"/>
        </w:numPr>
        <w:rPr>
          <w:lang w:val="en-US"/>
        </w:rPr>
      </w:pPr>
      <w:r w:rsidRPr="00DB3518">
        <w:rPr>
          <w:lang w:val="en-US"/>
        </w:rPr>
        <w:t>Verify the impact the possible amendment of ADR 9.7.5 deriving from points 1, 2 and 3 above would have.</w:t>
      </w:r>
    </w:p>
    <w:p w14:paraId="52EB5523" w14:textId="64C5447E" w:rsidR="00FC2A99" w:rsidRDefault="00D85CDA" w:rsidP="00711C0E">
      <w:pPr>
        <w:pStyle w:val="SingleTxtG"/>
        <w:rPr>
          <w:lang w:val="en-US"/>
        </w:rPr>
      </w:pPr>
      <w:r>
        <w:rPr>
          <w:lang w:val="en-US"/>
        </w:rPr>
        <w:t>The w</w:t>
      </w:r>
      <w:r w:rsidR="00FC2A99">
        <w:rPr>
          <w:lang w:val="en-US"/>
        </w:rPr>
        <w:t>orking group</w:t>
      </w:r>
      <w:r>
        <w:rPr>
          <w:lang w:val="en-US"/>
        </w:rPr>
        <w:t>, which</w:t>
      </w:r>
      <w:r w:rsidR="00FC2A99">
        <w:rPr>
          <w:lang w:val="en-US"/>
        </w:rPr>
        <w:t xml:space="preserve"> comprise</w:t>
      </w:r>
      <w:r w:rsidR="008721AC">
        <w:rPr>
          <w:lang w:val="en-US"/>
        </w:rPr>
        <w:t>d</w:t>
      </w:r>
      <w:r w:rsidR="00FC2A99">
        <w:rPr>
          <w:lang w:val="en-US"/>
        </w:rPr>
        <w:t xml:space="preserve"> members of industry, </w:t>
      </w:r>
      <w:r w:rsidR="005E1EBD">
        <w:rPr>
          <w:lang w:val="en-US"/>
        </w:rPr>
        <w:t>vehicle,</w:t>
      </w:r>
      <w:r w:rsidR="00FC2A99">
        <w:rPr>
          <w:lang w:val="en-US"/>
        </w:rPr>
        <w:t xml:space="preserve"> and tank builder associations, as well as country delegates</w:t>
      </w:r>
      <w:r>
        <w:rPr>
          <w:lang w:val="en-US"/>
        </w:rPr>
        <w:t xml:space="preserve">, met </w:t>
      </w:r>
      <w:r w:rsidR="005E1EBD">
        <w:rPr>
          <w:lang w:val="en-US"/>
        </w:rPr>
        <w:t xml:space="preserve">virtually </w:t>
      </w:r>
      <w:r w:rsidR="00E03893">
        <w:rPr>
          <w:lang w:val="en-US"/>
        </w:rPr>
        <w:t>five</w:t>
      </w:r>
      <w:r w:rsidR="00DB3518">
        <w:rPr>
          <w:lang w:val="en-US"/>
        </w:rPr>
        <w:t xml:space="preserve"> times </w:t>
      </w:r>
      <w:r>
        <w:rPr>
          <w:lang w:val="en-US"/>
        </w:rPr>
        <w:t>in 2021.</w:t>
      </w:r>
      <w:r w:rsidR="003B244E">
        <w:rPr>
          <w:lang w:val="en-US"/>
        </w:rPr>
        <w:t xml:space="preserve"> An overview of the discussion</w:t>
      </w:r>
      <w:r w:rsidR="00DB3518">
        <w:rPr>
          <w:lang w:val="en-US"/>
        </w:rPr>
        <w:t>s and conclusions</w:t>
      </w:r>
      <w:r w:rsidR="003B244E">
        <w:rPr>
          <w:lang w:val="en-US"/>
        </w:rPr>
        <w:t xml:space="preserve"> of the group is </w:t>
      </w:r>
      <w:r w:rsidR="002A5C1D">
        <w:rPr>
          <w:lang w:val="en-US"/>
        </w:rPr>
        <w:t>below</w:t>
      </w:r>
      <w:r w:rsidR="003B244E">
        <w:rPr>
          <w:lang w:val="en-US"/>
        </w:rPr>
        <w:t>.</w:t>
      </w:r>
    </w:p>
    <w:p w14:paraId="6A73E3D1" w14:textId="62CC6306" w:rsidR="00EE3DC9" w:rsidRDefault="00EE3DC9" w:rsidP="00EE3DC9">
      <w:pPr>
        <w:pStyle w:val="HChG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 w:rsidR="002C4503">
        <w:rPr>
          <w:lang w:val="en-US"/>
        </w:rPr>
        <w:t>Summary of discussion</w:t>
      </w:r>
    </w:p>
    <w:p w14:paraId="5ED67C56" w14:textId="5A0BEECB" w:rsidR="00FC2A99" w:rsidRPr="002D1E8B" w:rsidRDefault="004026E1" w:rsidP="004026E1">
      <w:pPr>
        <w:pStyle w:val="SingleTxtG"/>
        <w:rPr>
          <w:color w:val="1F497D" w:themeColor="text2"/>
        </w:rPr>
      </w:pPr>
      <w:r w:rsidRPr="005A454F">
        <w:rPr>
          <w:lang w:val="en-US"/>
        </w:rPr>
        <w:t>1.</w:t>
      </w:r>
      <w:r w:rsidRPr="005A454F">
        <w:rPr>
          <w:lang w:val="en-US"/>
        </w:rPr>
        <w:tab/>
      </w:r>
      <w:r w:rsidR="003D69FE" w:rsidRPr="005A454F">
        <w:rPr>
          <w:lang w:val="en-US"/>
        </w:rPr>
        <w:t>For the discussion during the first</w:t>
      </w:r>
      <w:r w:rsidR="00E81B69" w:rsidRPr="005A454F">
        <w:rPr>
          <w:lang w:val="en-US"/>
        </w:rPr>
        <w:t xml:space="preserve"> and </w:t>
      </w:r>
      <w:r w:rsidR="003D69FE" w:rsidRPr="005A454F">
        <w:rPr>
          <w:lang w:val="en-US"/>
        </w:rPr>
        <w:t xml:space="preserve">the second meeting, please refer to </w:t>
      </w:r>
      <w:r w:rsidR="002D1E8B">
        <w:rPr>
          <w:lang w:val="en-US"/>
        </w:rPr>
        <w:br/>
      </w:r>
      <w:hyperlink r:id="rId16" w:history="1">
        <w:r w:rsidR="005E1EBD" w:rsidRPr="002D1E8B">
          <w:rPr>
            <w:rStyle w:val="Hyperlink"/>
            <w:bCs/>
            <w:szCs w:val="22"/>
            <w:lang w:val="en-US"/>
          </w:rPr>
          <w:t>ECE-TRANS-WP</w:t>
        </w:r>
        <w:r w:rsidR="002D1E8B">
          <w:rPr>
            <w:rStyle w:val="Hyperlink"/>
            <w:bCs/>
            <w:szCs w:val="22"/>
            <w:lang w:val="en-US"/>
          </w:rPr>
          <w:t>.</w:t>
        </w:r>
        <w:r w:rsidR="005E1EBD" w:rsidRPr="002D1E8B">
          <w:rPr>
            <w:rStyle w:val="Hyperlink"/>
            <w:bCs/>
            <w:szCs w:val="22"/>
            <w:lang w:val="en-US"/>
          </w:rPr>
          <w:t>15-109-GE-INF</w:t>
        </w:r>
        <w:r w:rsidR="005A454F" w:rsidRPr="002D1E8B">
          <w:rPr>
            <w:rStyle w:val="Hyperlink"/>
            <w:bCs/>
            <w:szCs w:val="22"/>
            <w:lang w:val="en-US"/>
          </w:rPr>
          <w:t>.</w:t>
        </w:r>
        <w:r w:rsidR="005E1EBD" w:rsidRPr="002D1E8B">
          <w:rPr>
            <w:rStyle w:val="Hyperlink"/>
            <w:bCs/>
            <w:szCs w:val="22"/>
            <w:lang w:val="en-US"/>
          </w:rPr>
          <w:t>12</w:t>
        </w:r>
      </w:hyperlink>
      <w:r w:rsidR="003D69FE" w:rsidRPr="002D1E8B">
        <w:rPr>
          <w:lang w:val="en-US"/>
        </w:rPr>
        <w:t>.</w:t>
      </w:r>
    </w:p>
    <w:p w14:paraId="516E8EAE" w14:textId="378CFE3D" w:rsidR="00F35130" w:rsidRPr="0063586A" w:rsidRDefault="00DE06E3" w:rsidP="004026E1">
      <w:pPr>
        <w:pStyle w:val="SingleTxtG"/>
      </w:pPr>
      <w:r>
        <w:rPr>
          <w:lang w:val="fr-CH"/>
        </w:rPr>
        <w:t>2.</w:t>
      </w:r>
      <w:r>
        <w:rPr>
          <w:lang w:val="fr-CH"/>
        </w:rPr>
        <w:tab/>
      </w:r>
      <w:r w:rsidR="001937E5">
        <w:t>D</w:t>
      </w:r>
      <w:r w:rsidR="00F35130" w:rsidRPr="0063586A">
        <w:t>iscussion</w:t>
      </w:r>
      <w:r w:rsidR="008721AC">
        <w:t>s</w:t>
      </w:r>
      <w:r w:rsidR="00F35130" w:rsidRPr="0063586A">
        <w:t xml:space="preserve"> during the last </w:t>
      </w:r>
      <w:r w:rsidR="001C04F9">
        <w:t xml:space="preserve">three </w:t>
      </w:r>
      <w:r w:rsidR="00F35130" w:rsidRPr="0063586A">
        <w:t xml:space="preserve">meetings </w:t>
      </w:r>
      <w:r w:rsidR="001937E5">
        <w:t xml:space="preserve">related primarily to </w:t>
      </w:r>
      <w:r w:rsidR="00EE28EE">
        <w:t xml:space="preserve">the </w:t>
      </w:r>
      <w:r w:rsidR="00F35130" w:rsidRPr="0063586A">
        <w:t xml:space="preserve">interpretation of </w:t>
      </w:r>
      <w:r w:rsidR="00E81B69" w:rsidRPr="0063586A">
        <w:t xml:space="preserve">data </w:t>
      </w:r>
      <w:r w:rsidR="003E7620">
        <w:t xml:space="preserve">that was generated </w:t>
      </w:r>
      <w:r w:rsidR="007E598F">
        <w:t xml:space="preserve">by </w:t>
      </w:r>
      <w:r w:rsidR="00E81B69" w:rsidRPr="0063586A">
        <w:t xml:space="preserve">an extensive survey </w:t>
      </w:r>
      <w:r w:rsidR="00C851E1">
        <w:t xml:space="preserve">conducted </w:t>
      </w:r>
      <w:r w:rsidR="00E81B69" w:rsidRPr="0063586A">
        <w:t>by tank builders</w:t>
      </w:r>
      <w:r w:rsidR="00046ABB">
        <w:t>. This was</w:t>
      </w:r>
      <w:r w:rsidR="00F35130" w:rsidRPr="0063586A">
        <w:t xml:space="preserve"> in </w:t>
      </w:r>
      <w:r w:rsidR="00D9672F">
        <w:t xml:space="preserve">relation to </w:t>
      </w:r>
      <w:r w:rsidR="00F35130" w:rsidRPr="0063586A">
        <w:t xml:space="preserve">the mandate of the working group </w:t>
      </w:r>
      <w:r w:rsidR="00FE0808" w:rsidRPr="0063586A">
        <w:t>and the</w:t>
      </w:r>
      <w:r w:rsidR="004D6F26" w:rsidRPr="0063586A">
        <w:t xml:space="preserve"> interpretation of the requirements set in 9.7.5.1</w:t>
      </w:r>
      <w:r w:rsidR="009A55EA">
        <w:t xml:space="preserve"> and 9.7.5.2</w:t>
      </w:r>
    </w:p>
    <w:p w14:paraId="0A3489E8" w14:textId="39072340" w:rsidR="00AC4B9C" w:rsidRPr="0063586A" w:rsidRDefault="00DE06E3" w:rsidP="00DE06E3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AC4B9C" w:rsidRPr="0063586A">
        <w:rPr>
          <w:lang w:val="en-US"/>
        </w:rPr>
        <w:t>Mandate 2 and 3</w:t>
      </w:r>
    </w:p>
    <w:p w14:paraId="52FE6094" w14:textId="13B86F3E" w:rsidR="00AC4B9C" w:rsidRDefault="00AC4B9C" w:rsidP="0063586A">
      <w:pPr>
        <w:ind w:left="1701" w:right="1179"/>
        <w:jc w:val="both"/>
        <w:rPr>
          <w:i/>
          <w:iCs/>
          <w:lang w:val="en-US"/>
        </w:rPr>
      </w:pPr>
      <w:r w:rsidRPr="0063586A">
        <w:rPr>
          <w:i/>
          <w:iCs/>
          <w:lang w:val="en-US"/>
        </w:rPr>
        <w:t>Verify if the reference to UN Regulation No. 111 contained in 9.7.5.2 is sufficient to set the minimum requirements for the stability of road tanks.</w:t>
      </w:r>
    </w:p>
    <w:p w14:paraId="19648FB7" w14:textId="2263D01F" w:rsidR="00F35130" w:rsidRDefault="00F35130" w:rsidP="00B368E3">
      <w:pPr>
        <w:pStyle w:val="ListParagraph"/>
        <w:spacing w:before="120" w:after="120"/>
        <w:ind w:left="1701" w:right="1179"/>
        <w:jc w:val="both"/>
        <w:rPr>
          <w:i/>
          <w:iCs/>
          <w:lang w:val="en-US"/>
        </w:rPr>
      </w:pPr>
      <w:r w:rsidRPr="00AC4B9C">
        <w:rPr>
          <w:i/>
          <w:iCs/>
          <w:lang w:val="en-US"/>
        </w:rPr>
        <w:t>Analyze if the application of UN Regulation No. 111 only to tank-vehicles with fixed tanks with a capacity of more than 3 m³ intended for the carriage of dangerous goods in the liquid or molten state tested with a pressure of less than 4 bar, is appropriate.</w:t>
      </w:r>
    </w:p>
    <w:p w14:paraId="30594F2B" w14:textId="6BFCEC98" w:rsidR="00932F16" w:rsidRPr="0063586A" w:rsidRDefault="00DE06E3" w:rsidP="00B368E3">
      <w:pPr>
        <w:pStyle w:val="SingleTxtG"/>
        <w:spacing w:before="120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 w:rsidR="00A946B9" w:rsidRPr="0063586A">
        <w:rPr>
          <w:lang w:val="en-US"/>
        </w:rPr>
        <w:t xml:space="preserve">As a follow up from previous meetings (see </w:t>
      </w:r>
      <w:hyperlink r:id="rId17" w:history="1">
        <w:r w:rsidR="00A946B9" w:rsidRPr="0063586A">
          <w:rPr>
            <w:rStyle w:val="Hyperlink"/>
            <w:bCs/>
            <w:color w:val="1F497D" w:themeColor="text2"/>
            <w:szCs w:val="22"/>
            <w:u w:val="single"/>
            <w:lang w:val="en-US"/>
          </w:rPr>
          <w:t>ECE-TRANS-WP15-109-GE-INF 12</w:t>
        </w:r>
      </w:hyperlink>
      <w:r w:rsidR="00A946B9" w:rsidRPr="0063586A">
        <w:rPr>
          <w:rStyle w:val="Hyperlink"/>
          <w:color w:val="1F497D" w:themeColor="text2"/>
          <w:u w:val="single"/>
        </w:rPr>
        <w:t>,</w:t>
      </w:r>
      <w:r w:rsidR="00A946B9" w:rsidRPr="0063586A">
        <w:rPr>
          <w:rStyle w:val="Hyperlink"/>
          <w:color w:val="1F497D" w:themeColor="text2"/>
        </w:rPr>
        <w:t xml:space="preserve"> </w:t>
      </w:r>
      <w:r w:rsidR="00A946B9" w:rsidRPr="0063586A">
        <w:rPr>
          <w:lang w:val="en-US"/>
        </w:rPr>
        <w:t xml:space="preserve">point 5) the data from the survey </w:t>
      </w:r>
      <w:r w:rsidR="002C473F">
        <w:rPr>
          <w:lang w:val="en-US"/>
        </w:rPr>
        <w:t>has</w:t>
      </w:r>
      <w:r w:rsidR="00A946B9" w:rsidRPr="0063586A">
        <w:rPr>
          <w:lang w:val="en-US"/>
        </w:rPr>
        <w:t xml:space="preserve"> been analyzed and </w:t>
      </w:r>
      <w:r w:rsidR="004670A3">
        <w:rPr>
          <w:lang w:val="en-US"/>
        </w:rPr>
        <w:t xml:space="preserve">it has been </w:t>
      </w:r>
      <w:r w:rsidR="0069094D">
        <w:rPr>
          <w:lang w:val="en-US"/>
        </w:rPr>
        <w:t xml:space="preserve">confirmed </w:t>
      </w:r>
      <w:r w:rsidR="00A946B9" w:rsidRPr="0063586A">
        <w:rPr>
          <w:lang w:val="en-US"/>
        </w:rPr>
        <w:t xml:space="preserve">that </w:t>
      </w:r>
      <w:r w:rsidR="00F35130" w:rsidRPr="0063586A">
        <w:rPr>
          <w:lang w:val="en-US"/>
        </w:rPr>
        <w:t>R111</w:t>
      </w:r>
      <w:r w:rsidR="00A946B9">
        <w:rPr>
          <w:rStyle w:val="FootnoteReference"/>
          <w:lang w:val="en-US"/>
        </w:rPr>
        <w:footnoteReference w:id="2"/>
      </w:r>
      <w:r w:rsidR="00A946B9" w:rsidRPr="0063586A">
        <w:rPr>
          <w:lang w:val="en-US"/>
        </w:rPr>
        <w:t xml:space="preserve"> </w:t>
      </w:r>
      <w:r w:rsidR="00F35130" w:rsidRPr="0063586A">
        <w:rPr>
          <w:lang w:val="en-US"/>
        </w:rPr>
        <w:t xml:space="preserve"> is </w:t>
      </w:r>
      <w:r w:rsidR="00932F16">
        <w:rPr>
          <w:lang w:val="en-US"/>
        </w:rPr>
        <w:t xml:space="preserve">applied </w:t>
      </w:r>
      <w:r w:rsidR="00792537">
        <w:rPr>
          <w:lang w:val="en-US"/>
        </w:rPr>
        <w:t xml:space="preserve">only </w:t>
      </w:r>
      <w:r w:rsidR="00932F16">
        <w:rPr>
          <w:lang w:val="en-US"/>
        </w:rPr>
        <w:t xml:space="preserve">to low pressure tanks and </w:t>
      </w:r>
      <w:r w:rsidR="00F35130" w:rsidRPr="0063586A">
        <w:rPr>
          <w:lang w:val="en-US"/>
        </w:rPr>
        <w:t>not high pressure tanks</w:t>
      </w:r>
      <w:r w:rsidR="00A946B9" w:rsidRPr="0063586A">
        <w:rPr>
          <w:lang w:val="en-US"/>
        </w:rPr>
        <w:t xml:space="preserve">. Discussions with body builders has also confirmed that </w:t>
      </w:r>
      <w:r w:rsidR="00F35130" w:rsidRPr="0063586A">
        <w:rPr>
          <w:lang w:val="en-US"/>
        </w:rPr>
        <w:t xml:space="preserve">its extension to </w:t>
      </w:r>
      <w:r w:rsidR="00A946B9" w:rsidRPr="0063586A">
        <w:rPr>
          <w:lang w:val="en-US"/>
        </w:rPr>
        <w:t>all</w:t>
      </w:r>
      <w:r w:rsidR="00F35130" w:rsidRPr="0063586A">
        <w:rPr>
          <w:lang w:val="en-US"/>
        </w:rPr>
        <w:t xml:space="preserve"> tanks</w:t>
      </w:r>
      <w:r w:rsidR="00A946B9" w:rsidRPr="0063586A">
        <w:rPr>
          <w:lang w:val="en-US"/>
        </w:rPr>
        <w:t xml:space="preserve"> (i.e. not only low pressure but also </w:t>
      </w:r>
      <w:r w:rsidR="00A466D3">
        <w:rPr>
          <w:lang w:val="en-US"/>
        </w:rPr>
        <w:t xml:space="preserve">all </w:t>
      </w:r>
      <w:r w:rsidR="00A946B9" w:rsidRPr="0063586A">
        <w:rPr>
          <w:lang w:val="en-US"/>
        </w:rPr>
        <w:t>high pressure</w:t>
      </w:r>
      <w:r w:rsidR="00F35758">
        <w:rPr>
          <w:lang w:val="en-US"/>
        </w:rPr>
        <w:t>)</w:t>
      </w:r>
      <w:r w:rsidR="00F35130" w:rsidRPr="0063586A">
        <w:rPr>
          <w:lang w:val="en-US"/>
        </w:rPr>
        <w:t xml:space="preserve"> would not be </w:t>
      </w:r>
      <w:r w:rsidR="009A55EA">
        <w:rPr>
          <w:lang w:val="en-US"/>
        </w:rPr>
        <w:t>feasible</w:t>
      </w:r>
      <w:r w:rsidR="00AC4B9C" w:rsidRPr="0063586A">
        <w:rPr>
          <w:lang w:val="en-US"/>
        </w:rPr>
        <w:t>.</w:t>
      </w:r>
    </w:p>
    <w:p w14:paraId="1FDFE2F3" w14:textId="4CA0EC67" w:rsidR="00AC4B9C" w:rsidRPr="0063586A" w:rsidRDefault="00DE06E3" w:rsidP="00DE06E3">
      <w:pPr>
        <w:pStyle w:val="SingleTxtG"/>
      </w:pPr>
      <w:r>
        <w:rPr>
          <w:lang w:val="fr-CH"/>
        </w:rPr>
        <w:t>5.</w:t>
      </w:r>
      <w:r>
        <w:rPr>
          <w:lang w:val="fr-CH"/>
        </w:rPr>
        <w:tab/>
      </w:r>
      <w:r w:rsidR="00AC4B9C" w:rsidRPr="0063586A">
        <w:t>Mandate 1</w:t>
      </w:r>
    </w:p>
    <w:p w14:paraId="4EAEF29A" w14:textId="05D2B0F9" w:rsidR="00F35130" w:rsidRDefault="00F35130" w:rsidP="0063586A">
      <w:pPr>
        <w:ind w:left="1170" w:right="1179" w:firstLine="531"/>
        <w:jc w:val="both"/>
        <w:rPr>
          <w:i/>
          <w:iCs/>
          <w:lang w:val="en-US"/>
        </w:rPr>
      </w:pPr>
      <w:r w:rsidRPr="0063586A">
        <w:rPr>
          <w:i/>
          <w:iCs/>
          <w:lang w:val="en-US"/>
        </w:rPr>
        <w:t xml:space="preserve">Analyze the correctness of the calculation of the maximum height of the center of </w:t>
      </w:r>
      <w:r w:rsidR="0063586A">
        <w:rPr>
          <w:i/>
          <w:iCs/>
          <w:lang w:val="en-US"/>
        </w:rPr>
        <w:tab/>
      </w:r>
      <w:r w:rsidR="0063586A">
        <w:rPr>
          <w:i/>
          <w:iCs/>
          <w:lang w:val="en-US"/>
        </w:rPr>
        <w:tab/>
      </w:r>
      <w:r w:rsidRPr="0063586A">
        <w:rPr>
          <w:i/>
          <w:iCs/>
          <w:lang w:val="en-US"/>
        </w:rPr>
        <w:t>gravity of tanks, as stated in 9.7.5.1.</w:t>
      </w:r>
    </w:p>
    <w:p w14:paraId="289DE520" w14:textId="2E65F345" w:rsidR="00F35130" w:rsidRDefault="00DE06E3" w:rsidP="00DE06E3">
      <w:pPr>
        <w:pStyle w:val="SingleTxtG"/>
        <w:spacing w:before="120"/>
      </w:pPr>
      <w:r>
        <w:rPr>
          <w:lang w:val="fr-CH"/>
        </w:rPr>
        <w:t>6.</w:t>
      </w:r>
      <w:r>
        <w:rPr>
          <w:lang w:val="fr-CH"/>
        </w:rPr>
        <w:tab/>
      </w:r>
      <w:r w:rsidR="00F35130" w:rsidRPr="0063586A">
        <w:t xml:space="preserve">The formula in </w:t>
      </w:r>
      <w:r w:rsidR="00A968C1">
        <w:t xml:space="preserve">ADR </w:t>
      </w:r>
      <w:r w:rsidR="00F35130" w:rsidRPr="0063586A">
        <w:t xml:space="preserve">9.7.5.1 </w:t>
      </w:r>
      <w:r w:rsidR="001531F7">
        <w:t xml:space="preserve">was </w:t>
      </w:r>
      <w:r w:rsidR="00F35130" w:rsidRPr="0063586A">
        <w:t xml:space="preserve">introduced in 1978 </w:t>
      </w:r>
      <w:r w:rsidR="001531F7">
        <w:t xml:space="preserve">in its current </w:t>
      </w:r>
      <w:r w:rsidR="00F35130" w:rsidRPr="0063586A">
        <w:t>form</w:t>
      </w:r>
      <w:r w:rsidR="007550EC">
        <w:t xml:space="preserve"> (</w:t>
      </w:r>
      <w:r w:rsidR="007550EC" w:rsidRPr="0063586A">
        <w:t xml:space="preserve">i.e. it </w:t>
      </w:r>
      <w:r w:rsidR="007550EC">
        <w:t xml:space="preserve">has </w:t>
      </w:r>
      <w:r w:rsidR="007550EC" w:rsidRPr="0063586A">
        <w:t xml:space="preserve">not </w:t>
      </w:r>
      <w:r w:rsidR="007550EC">
        <w:t>been amended</w:t>
      </w:r>
      <w:r w:rsidR="00800E7D">
        <w:t xml:space="preserve"> since then</w:t>
      </w:r>
      <w:r w:rsidR="007550EC">
        <w:t xml:space="preserve">) </w:t>
      </w:r>
      <w:r w:rsidR="00A946B9" w:rsidRPr="0063586A">
        <w:t xml:space="preserve">see </w:t>
      </w:r>
      <w:r w:rsidR="00F35758" w:rsidRPr="00861A49">
        <w:t>E/</w:t>
      </w:r>
      <w:r w:rsidR="004D6F26" w:rsidRPr="00615BAD">
        <w:t>ECE</w:t>
      </w:r>
      <w:r w:rsidR="00F35758" w:rsidRPr="00615BAD">
        <w:t>/TRANS/503</w:t>
      </w:r>
      <w:r w:rsidR="00F35130" w:rsidRPr="0063586A">
        <w:t xml:space="preserve">. The survey </w:t>
      </w:r>
      <w:r w:rsidR="00D249D3">
        <w:t>showed</w:t>
      </w:r>
      <w:r w:rsidR="00BE6A9A">
        <w:t xml:space="preserve"> </w:t>
      </w:r>
      <w:r w:rsidR="00F35130" w:rsidRPr="0063586A">
        <w:t xml:space="preserve">the highest </w:t>
      </w:r>
      <w:r w:rsidR="00E04D2A">
        <w:t xml:space="preserve">permitted </w:t>
      </w:r>
      <w:proofErr w:type="spellStart"/>
      <w:r w:rsidR="004D6F26" w:rsidRPr="0063586A">
        <w:t>center</w:t>
      </w:r>
      <w:proofErr w:type="spellEnd"/>
      <w:r w:rsidR="004D6F26" w:rsidRPr="0063586A">
        <w:t xml:space="preserve"> of gravity</w:t>
      </w:r>
      <w:r w:rsidR="00F35130" w:rsidRPr="0063586A">
        <w:t xml:space="preserve"> </w:t>
      </w:r>
      <w:r w:rsidR="00B82DBC">
        <w:t xml:space="preserve">of </w:t>
      </w:r>
      <w:r w:rsidR="00167B69">
        <w:t xml:space="preserve">9.7.5.1 </w:t>
      </w:r>
      <w:r w:rsidR="00F35130" w:rsidRPr="0063586A">
        <w:t xml:space="preserve">is </w:t>
      </w:r>
      <w:r w:rsidR="00F055EF">
        <w:t xml:space="preserve">not an issue for </w:t>
      </w:r>
      <w:r w:rsidR="00F35130" w:rsidRPr="0063586A">
        <w:t>low pressure tanks</w:t>
      </w:r>
      <w:r w:rsidR="00167B69">
        <w:t>,</w:t>
      </w:r>
      <w:r w:rsidR="00F35130" w:rsidRPr="0063586A">
        <w:t xml:space="preserve"> </w:t>
      </w:r>
      <w:r w:rsidR="003733AC">
        <w:t xml:space="preserve">given that </w:t>
      </w:r>
      <w:r w:rsidR="00F35130" w:rsidRPr="0063586A">
        <w:t xml:space="preserve">R111 is </w:t>
      </w:r>
      <w:r w:rsidR="003733AC">
        <w:t xml:space="preserve">also </w:t>
      </w:r>
      <w:r w:rsidR="00F35130" w:rsidRPr="0063586A">
        <w:t xml:space="preserve">applied </w:t>
      </w:r>
      <w:r w:rsidR="003733AC">
        <w:t xml:space="preserve">to these tanks and </w:t>
      </w:r>
      <w:r w:rsidR="00F35130" w:rsidRPr="0063586A">
        <w:t>is more stringent</w:t>
      </w:r>
      <w:r w:rsidR="003733AC">
        <w:t xml:space="preserve">. </w:t>
      </w:r>
      <w:r w:rsidR="00BE2723">
        <w:t>However, the survey</w:t>
      </w:r>
      <w:r w:rsidR="00C100FC">
        <w:t xml:space="preserve"> </w:t>
      </w:r>
      <w:r w:rsidR="00F35130" w:rsidRPr="0063586A">
        <w:t>also</w:t>
      </w:r>
      <w:r w:rsidR="00167B69">
        <w:t xml:space="preserve"> </w:t>
      </w:r>
      <w:r w:rsidR="00471279">
        <w:t>showed</w:t>
      </w:r>
      <w:r w:rsidR="00F35130" w:rsidRPr="0063586A">
        <w:t xml:space="preserve"> that </w:t>
      </w:r>
      <w:r w:rsidR="00471279">
        <w:t xml:space="preserve">some </w:t>
      </w:r>
      <w:r w:rsidR="00F35130" w:rsidRPr="0063586A">
        <w:t>high pressure tanks</w:t>
      </w:r>
      <w:r w:rsidR="00C100FC">
        <w:t xml:space="preserve"> </w:t>
      </w:r>
      <w:r w:rsidR="00F35130" w:rsidRPr="0063586A">
        <w:t xml:space="preserve">(typically liquefied gases) </w:t>
      </w:r>
      <w:r w:rsidR="00471279">
        <w:t xml:space="preserve">have a </w:t>
      </w:r>
      <w:r w:rsidR="00F35130" w:rsidRPr="0063586A">
        <w:t xml:space="preserve">relatively high </w:t>
      </w:r>
      <w:r w:rsidR="00C100FC">
        <w:t xml:space="preserve">centre of gravity </w:t>
      </w:r>
      <w:r w:rsidR="00F35130" w:rsidRPr="0063586A">
        <w:t>which in some cases can reach the limit set by 9.7.5.1 (~ 2.8 m).</w:t>
      </w:r>
    </w:p>
    <w:p w14:paraId="4C6BB4AC" w14:textId="49D356A5" w:rsidR="00F35130" w:rsidRPr="00F35130" w:rsidRDefault="00DE06E3" w:rsidP="00DE06E3">
      <w:pPr>
        <w:pStyle w:val="SingleTxtG"/>
        <w:spacing w:before="120"/>
        <w:rPr>
          <w:lang w:val="en-US"/>
        </w:rPr>
      </w:pPr>
      <w:r>
        <w:rPr>
          <w:lang w:val="en-US"/>
        </w:rPr>
        <w:tab/>
      </w:r>
      <w:r w:rsidR="004D6F26">
        <w:rPr>
          <w:lang w:val="en-US"/>
        </w:rPr>
        <w:t xml:space="preserve">The possibility of </w:t>
      </w:r>
      <w:r w:rsidR="00F35130" w:rsidRPr="00F35130">
        <w:rPr>
          <w:lang w:val="en-US"/>
        </w:rPr>
        <w:t>splitting the requirement of 9.7.5.1 for high pressure tanks and 9.7.5.2 for low pressure tanks</w:t>
      </w:r>
      <w:r w:rsidR="00FB6D29">
        <w:rPr>
          <w:lang w:val="en-US"/>
        </w:rPr>
        <w:t xml:space="preserve"> was discussed</w:t>
      </w:r>
      <w:r w:rsidR="00444C42">
        <w:rPr>
          <w:lang w:val="en-US"/>
        </w:rPr>
        <w:t xml:space="preserve">. However, </w:t>
      </w:r>
      <w:r w:rsidR="00774FD5">
        <w:rPr>
          <w:lang w:val="en-US"/>
        </w:rPr>
        <w:t xml:space="preserve">conceptually </w:t>
      </w:r>
      <w:r w:rsidR="00FB6D29">
        <w:rPr>
          <w:lang w:val="en-US"/>
        </w:rPr>
        <w:t>this was</w:t>
      </w:r>
      <w:r w:rsidR="00F35130" w:rsidRPr="00F35130">
        <w:rPr>
          <w:lang w:val="en-US"/>
        </w:rPr>
        <w:t xml:space="preserve"> </w:t>
      </w:r>
      <w:r w:rsidR="00774FD5">
        <w:rPr>
          <w:lang w:val="en-US"/>
        </w:rPr>
        <w:t xml:space="preserve">not </w:t>
      </w:r>
      <w:r w:rsidR="004D6F26">
        <w:rPr>
          <w:lang w:val="en-US"/>
        </w:rPr>
        <w:t xml:space="preserve">considered </w:t>
      </w:r>
      <w:r w:rsidR="00126DE2">
        <w:rPr>
          <w:lang w:val="en-US"/>
        </w:rPr>
        <w:t>appropriate</w:t>
      </w:r>
      <w:r w:rsidR="004D6F26">
        <w:rPr>
          <w:lang w:val="en-US"/>
        </w:rPr>
        <w:t>:</w:t>
      </w:r>
      <w:r w:rsidR="00F35130" w:rsidRPr="00F35130">
        <w:rPr>
          <w:lang w:val="en-US"/>
        </w:rPr>
        <w:t xml:space="preserve"> although 9.7.5.2 is more stringent, 9.7.5.1 must be applicable to all tanks.</w:t>
      </w:r>
    </w:p>
    <w:p w14:paraId="2328121F" w14:textId="55CF70B3" w:rsidR="004D6F26" w:rsidRDefault="00D156F3" w:rsidP="008F5446">
      <w:pPr>
        <w:pStyle w:val="SingleTxtG"/>
        <w:rPr>
          <w:lang w:val="en-US"/>
        </w:rPr>
      </w:pPr>
      <w:r>
        <w:rPr>
          <w:lang w:val="en-US"/>
        </w:rPr>
        <w:t>Specifying a</w:t>
      </w:r>
      <w:r w:rsidR="000C6606">
        <w:rPr>
          <w:lang w:val="en-US"/>
        </w:rPr>
        <w:t xml:space="preserve"> </w:t>
      </w:r>
      <w:r w:rsidR="00F35130" w:rsidRPr="00F35130">
        <w:rPr>
          <w:lang w:val="en-US"/>
        </w:rPr>
        <w:t xml:space="preserve">lower </w:t>
      </w:r>
      <w:proofErr w:type="spellStart"/>
      <w:r w:rsidR="00126DE2">
        <w:rPr>
          <w:lang w:val="en-US"/>
        </w:rPr>
        <w:t>centre</w:t>
      </w:r>
      <w:proofErr w:type="spellEnd"/>
      <w:r w:rsidR="00126DE2">
        <w:rPr>
          <w:lang w:val="en-US"/>
        </w:rPr>
        <w:t xml:space="preserve"> of gravity </w:t>
      </w:r>
      <w:r w:rsidR="00F35130" w:rsidRPr="00F35130">
        <w:rPr>
          <w:lang w:val="en-US"/>
        </w:rPr>
        <w:t xml:space="preserve">in 9.7.5.1 might in principle be </w:t>
      </w:r>
      <w:r w:rsidR="00800E7D" w:rsidRPr="00F35130">
        <w:rPr>
          <w:lang w:val="en-US"/>
        </w:rPr>
        <w:t>possible</w:t>
      </w:r>
      <w:r w:rsidR="00800E7D">
        <w:rPr>
          <w:lang w:val="en-US"/>
        </w:rPr>
        <w:t xml:space="preserve"> and</w:t>
      </w:r>
      <w:r w:rsidR="00F35130" w:rsidRPr="00F35130">
        <w:rPr>
          <w:lang w:val="en-US"/>
        </w:rPr>
        <w:t xml:space="preserve"> </w:t>
      </w:r>
      <w:r w:rsidR="00B131A6">
        <w:rPr>
          <w:lang w:val="en-US"/>
        </w:rPr>
        <w:t xml:space="preserve">could be seen to </w:t>
      </w:r>
      <w:r w:rsidR="00F35130" w:rsidRPr="00F35130">
        <w:rPr>
          <w:lang w:val="en-US"/>
        </w:rPr>
        <w:t xml:space="preserve">proactively improve </w:t>
      </w:r>
      <w:r w:rsidR="00344017">
        <w:rPr>
          <w:lang w:val="en-US"/>
        </w:rPr>
        <w:t>tank-vehicle</w:t>
      </w:r>
      <w:r w:rsidR="00923EBD">
        <w:rPr>
          <w:lang w:val="en-US"/>
        </w:rPr>
        <w:t xml:space="preserve"> </w:t>
      </w:r>
      <w:r w:rsidR="00F35130" w:rsidRPr="00F35130">
        <w:rPr>
          <w:lang w:val="en-US"/>
        </w:rPr>
        <w:t xml:space="preserve">safety, but </w:t>
      </w:r>
      <w:r w:rsidR="00630E43">
        <w:rPr>
          <w:lang w:val="en-US"/>
        </w:rPr>
        <w:t xml:space="preserve">no </w:t>
      </w:r>
      <w:r w:rsidR="00F35130" w:rsidRPr="00F35130">
        <w:rPr>
          <w:lang w:val="en-US"/>
        </w:rPr>
        <w:t xml:space="preserve">justification for </w:t>
      </w:r>
      <w:r w:rsidR="00FC2F97">
        <w:rPr>
          <w:lang w:val="en-US"/>
        </w:rPr>
        <w:t>such a</w:t>
      </w:r>
      <w:r w:rsidR="00F35130" w:rsidRPr="00F35130">
        <w:rPr>
          <w:lang w:val="en-US"/>
        </w:rPr>
        <w:t xml:space="preserve"> change </w:t>
      </w:r>
      <w:r w:rsidR="00537E79">
        <w:rPr>
          <w:lang w:val="en-US"/>
        </w:rPr>
        <w:t>could be</w:t>
      </w:r>
      <w:r w:rsidR="00B6032E">
        <w:rPr>
          <w:lang w:val="en-US"/>
        </w:rPr>
        <w:t xml:space="preserve"> </w:t>
      </w:r>
      <w:r w:rsidR="00DF0998">
        <w:rPr>
          <w:lang w:val="en-US"/>
        </w:rPr>
        <w:t xml:space="preserve">identified </w:t>
      </w:r>
      <w:r w:rsidR="005E1EBD">
        <w:rPr>
          <w:lang w:val="en-US"/>
        </w:rPr>
        <w:t>in ADR countries.</w:t>
      </w:r>
    </w:p>
    <w:p w14:paraId="5AFEFF3A" w14:textId="7F06F483" w:rsidR="00F35130" w:rsidRPr="00F35130" w:rsidRDefault="00F01912" w:rsidP="008F5446">
      <w:pPr>
        <w:pStyle w:val="SingleTxtG"/>
        <w:spacing w:before="120"/>
        <w:rPr>
          <w:lang w:val="en-US"/>
        </w:rPr>
      </w:pPr>
      <w:r>
        <w:rPr>
          <w:lang w:val="en-US"/>
        </w:rPr>
        <w:t>The possibility that regulations of some</w:t>
      </w:r>
      <w:r w:rsidR="00F35130" w:rsidRPr="00F35130">
        <w:rPr>
          <w:lang w:val="en-US"/>
        </w:rPr>
        <w:t xml:space="preserve"> non-ADR countries </w:t>
      </w:r>
      <w:r>
        <w:rPr>
          <w:lang w:val="en-US"/>
        </w:rPr>
        <w:t xml:space="preserve">refer to </w:t>
      </w:r>
      <w:r w:rsidR="00F35130" w:rsidRPr="00F35130">
        <w:rPr>
          <w:lang w:val="en-US"/>
        </w:rPr>
        <w:t>9.7.5.1</w:t>
      </w:r>
      <w:r>
        <w:rPr>
          <w:lang w:val="en-US"/>
        </w:rPr>
        <w:t xml:space="preserve"> for all type</w:t>
      </w:r>
      <w:r w:rsidR="00907350">
        <w:rPr>
          <w:lang w:val="en-US"/>
        </w:rPr>
        <w:t>s</w:t>
      </w:r>
      <w:r>
        <w:rPr>
          <w:lang w:val="en-US"/>
        </w:rPr>
        <w:t xml:space="preserve"> of vehicles, omitting the reference to</w:t>
      </w:r>
      <w:r w:rsidR="00F35130" w:rsidRPr="00F35130">
        <w:rPr>
          <w:lang w:val="en-US"/>
        </w:rPr>
        <w:t xml:space="preserve"> 9.7.5.2 for low pressure tanks, </w:t>
      </w:r>
      <w:r>
        <w:rPr>
          <w:lang w:val="en-US"/>
        </w:rPr>
        <w:t xml:space="preserve">cannot be overruled. </w:t>
      </w:r>
      <w:r w:rsidR="00FE0808">
        <w:rPr>
          <w:lang w:val="en-US"/>
        </w:rPr>
        <w:t>However,</w:t>
      </w:r>
      <w:r>
        <w:rPr>
          <w:lang w:val="en-US"/>
        </w:rPr>
        <w:t xml:space="preserve"> it is believed that preventing this from happening is not </w:t>
      </w:r>
      <w:r w:rsidR="00440BE8">
        <w:rPr>
          <w:lang w:val="en-US"/>
        </w:rPr>
        <w:t>with</w:t>
      </w:r>
      <w:r>
        <w:rPr>
          <w:lang w:val="en-US"/>
        </w:rPr>
        <w:t xml:space="preserve">in </w:t>
      </w:r>
      <w:r w:rsidR="007B292B">
        <w:rPr>
          <w:lang w:val="en-US"/>
        </w:rPr>
        <w:t xml:space="preserve">the </w:t>
      </w:r>
      <w:r>
        <w:rPr>
          <w:lang w:val="en-US"/>
        </w:rPr>
        <w:t>scope of this working group</w:t>
      </w:r>
      <w:r w:rsidR="00F35130" w:rsidRPr="00F35130">
        <w:rPr>
          <w:lang w:val="en-US"/>
        </w:rPr>
        <w:t>.</w:t>
      </w:r>
    </w:p>
    <w:p w14:paraId="6CACDB6E" w14:textId="16D4B79E" w:rsidR="00F35130" w:rsidRPr="0063586A" w:rsidRDefault="008F5446" w:rsidP="008F5446">
      <w:pPr>
        <w:pStyle w:val="SingleTxtG"/>
      </w:pPr>
      <w:r>
        <w:rPr>
          <w:lang w:val="fr-CH"/>
        </w:rPr>
        <w:t>7.</w:t>
      </w:r>
      <w:r>
        <w:rPr>
          <w:lang w:val="fr-CH"/>
        </w:rPr>
        <w:tab/>
      </w:r>
      <w:r w:rsidR="002D1E8B">
        <w:rPr>
          <w:lang w:val="fr-CH"/>
        </w:rPr>
        <w:t>T</w:t>
      </w:r>
      <w:r w:rsidR="004D6F26" w:rsidRPr="0063586A">
        <w:t xml:space="preserve">he working group </w:t>
      </w:r>
      <w:r w:rsidR="0087461F">
        <w:t xml:space="preserve">noted however </w:t>
      </w:r>
      <w:r w:rsidR="004D6F26" w:rsidRPr="0063586A">
        <w:t>that</w:t>
      </w:r>
      <w:r w:rsidR="00F35130" w:rsidRPr="0063586A">
        <w:t xml:space="preserve"> </w:t>
      </w:r>
      <w:r w:rsidR="00EC0F6D" w:rsidRPr="0063586A">
        <w:t xml:space="preserve">clarification </w:t>
      </w:r>
      <w:r w:rsidR="00944DC0">
        <w:t xml:space="preserve">of </w:t>
      </w:r>
      <w:r w:rsidR="009F3DEC" w:rsidRPr="0063586A">
        <w:t>the meaning of “The overall width of the ground-level bearing surface (distance between the outer points of contact with the ground of the right-hand tyre and the left-hand tyre of the same axle)”</w:t>
      </w:r>
      <w:r w:rsidR="00F35130" w:rsidRPr="0063586A">
        <w:t xml:space="preserve"> </w:t>
      </w:r>
      <w:r w:rsidR="001A2EF9">
        <w:t>is needed. This</w:t>
      </w:r>
      <w:r w:rsidR="00F35130" w:rsidRPr="0063586A">
        <w:t xml:space="preserve"> is used in the calculation of 9.7.5.1, </w:t>
      </w:r>
      <w:r w:rsidR="001A2EF9">
        <w:t>and</w:t>
      </w:r>
      <w:r w:rsidR="000B0203">
        <w:t xml:space="preserve"> </w:t>
      </w:r>
      <w:r w:rsidR="00BB6C83">
        <w:t>it is not clear which axle should be used for th</w:t>
      </w:r>
      <w:r w:rsidR="00B97FAC">
        <w:t>e calculation</w:t>
      </w:r>
      <w:r w:rsidR="0063586A" w:rsidRPr="0063586A">
        <w:t>.</w:t>
      </w:r>
    </w:p>
    <w:p w14:paraId="0AC75E58" w14:textId="2CAA79EA" w:rsidR="00EC0F6D" w:rsidRDefault="00B13AAB" w:rsidP="008F5446">
      <w:pPr>
        <w:pStyle w:val="SingleTxtG"/>
        <w:spacing w:before="120"/>
        <w:rPr>
          <w:lang w:val="en-US"/>
        </w:rPr>
      </w:pPr>
      <w:r>
        <w:rPr>
          <w:lang w:val="en-US"/>
        </w:rPr>
        <w:t>D</w:t>
      </w:r>
      <w:r w:rsidR="00EC0F6D">
        <w:rPr>
          <w:lang w:val="en-US"/>
        </w:rPr>
        <w:t xml:space="preserve">ata </w:t>
      </w:r>
      <w:r w:rsidR="00EC0F6D" w:rsidRPr="00EC0F6D">
        <w:rPr>
          <w:lang w:val="en-US"/>
        </w:rPr>
        <w:t>from vehicle manufacturers</w:t>
      </w:r>
      <w:r w:rsidR="00EC0F6D">
        <w:rPr>
          <w:lang w:val="en-US"/>
        </w:rPr>
        <w:t xml:space="preserve"> collected and discussed showed </w:t>
      </w:r>
      <w:r w:rsidR="00CF4164">
        <w:rPr>
          <w:lang w:val="en-US"/>
        </w:rPr>
        <w:t xml:space="preserve">that the </w:t>
      </w:r>
      <w:r w:rsidR="00EC0F6D">
        <w:rPr>
          <w:lang w:val="en-US"/>
        </w:rPr>
        <w:t>d</w:t>
      </w:r>
      <w:r w:rsidR="00EC0F6D" w:rsidRPr="00EC0F6D">
        <w:rPr>
          <w:lang w:val="en-US"/>
        </w:rPr>
        <w:t xml:space="preserve">ifference in </w:t>
      </w:r>
      <w:r w:rsidR="004F780D">
        <w:rPr>
          <w:lang w:val="en-US"/>
        </w:rPr>
        <w:t xml:space="preserve">the </w:t>
      </w:r>
      <w:r w:rsidR="00EC0F6D" w:rsidRPr="00EC0F6D">
        <w:rPr>
          <w:lang w:val="en-US"/>
        </w:rPr>
        <w:t xml:space="preserve">axle </w:t>
      </w:r>
      <w:r w:rsidR="00CF4164">
        <w:rPr>
          <w:lang w:val="en-US"/>
        </w:rPr>
        <w:t>widt</w:t>
      </w:r>
      <w:r w:rsidR="004F780D">
        <w:rPr>
          <w:lang w:val="en-US"/>
        </w:rPr>
        <w:t xml:space="preserve">hs </w:t>
      </w:r>
      <w:r w:rsidR="00EC0F6D" w:rsidRPr="00EC0F6D">
        <w:rPr>
          <w:lang w:val="en-US"/>
        </w:rPr>
        <w:t>for rigid trucks can lead to significant difference</w:t>
      </w:r>
      <w:r w:rsidR="00EC0F6D">
        <w:rPr>
          <w:lang w:val="en-US"/>
        </w:rPr>
        <w:t xml:space="preserve">s </w:t>
      </w:r>
      <w:r w:rsidR="0063586A">
        <w:rPr>
          <w:lang w:val="en-US"/>
        </w:rPr>
        <w:t>(</w:t>
      </w:r>
      <w:r w:rsidR="00EC0F6D">
        <w:rPr>
          <w:lang w:val="en-US"/>
        </w:rPr>
        <w:t xml:space="preserve">up to </w:t>
      </w:r>
      <w:r w:rsidR="00EC0F6D" w:rsidRPr="00EC0F6D">
        <w:rPr>
          <w:lang w:val="en-US"/>
        </w:rPr>
        <w:t xml:space="preserve">~ 100 mm) in the </w:t>
      </w:r>
      <w:r w:rsidR="001B0BEA">
        <w:rPr>
          <w:lang w:val="en-US"/>
        </w:rPr>
        <w:t xml:space="preserve">value used </w:t>
      </w:r>
      <w:r w:rsidR="00DC1BB3">
        <w:rPr>
          <w:lang w:val="en-US"/>
        </w:rPr>
        <w:t xml:space="preserve">when </w:t>
      </w:r>
      <w:r w:rsidR="00EC0F6D" w:rsidRPr="00EC0F6D">
        <w:rPr>
          <w:lang w:val="en-US"/>
        </w:rPr>
        <w:t>calculati</w:t>
      </w:r>
      <w:r w:rsidR="001B0BEA">
        <w:rPr>
          <w:lang w:val="en-US"/>
        </w:rPr>
        <w:t>ng</w:t>
      </w:r>
      <w:r w:rsidR="00EC0F6D" w:rsidRPr="00EC0F6D">
        <w:rPr>
          <w:lang w:val="en-US"/>
        </w:rPr>
        <w:t xml:space="preserve"> the maximum </w:t>
      </w:r>
      <w:r w:rsidR="009332EC">
        <w:rPr>
          <w:lang w:val="en-US"/>
        </w:rPr>
        <w:t xml:space="preserve">permitted </w:t>
      </w:r>
      <w:proofErr w:type="spellStart"/>
      <w:r w:rsidR="00F65B0C">
        <w:rPr>
          <w:lang w:val="en-US"/>
        </w:rPr>
        <w:t>centre</w:t>
      </w:r>
      <w:proofErr w:type="spellEnd"/>
      <w:r w:rsidR="00F65B0C">
        <w:rPr>
          <w:lang w:val="en-US"/>
        </w:rPr>
        <w:t xml:space="preserve"> </w:t>
      </w:r>
      <w:r w:rsidR="009332EC">
        <w:rPr>
          <w:lang w:val="en-US"/>
        </w:rPr>
        <w:t>of gravity</w:t>
      </w:r>
      <w:r w:rsidR="0063586A">
        <w:rPr>
          <w:lang w:val="en-US"/>
        </w:rPr>
        <w:t>.</w:t>
      </w:r>
    </w:p>
    <w:p w14:paraId="497A841E" w14:textId="77777777" w:rsidR="00DC1BB3" w:rsidRPr="00EC0F6D" w:rsidRDefault="00DC1BB3" w:rsidP="0063586A">
      <w:pPr>
        <w:ind w:left="1530" w:right="1179"/>
        <w:jc w:val="both"/>
        <w:rPr>
          <w:lang w:val="en-US"/>
        </w:rPr>
      </w:pPr>
    </w:p>
    <w:p w14:paraId="1D7B1510" w14:textId="0F63B578" w:rsidR="00EC0F6D" w:rsidRDefault="003D4672" w:rsidP="008F5446">
      <w:pPr>
        <w:pStyle w:val="SingleTxtG"/>
        <w:spacing w:before="120"/>
        <w:rPr>
          <w:lang w:val="en-US"/>
        </w:rPr>
      </w:pPr>
      <w:r>
        <w:rPr>
          <w:lang w:val="en-US"/>
        </w:rPr>
        <w:lastRenderedPageBreak/>
        <w:t>In the opinion of the</w:t>
      </w:r>
      <w:r w:rsidR="00EC0F6D" w:rsidRPr="00EC0F6D">
        <w:rPr>
          <w:lang w:val="en-US"/>
        </w:rPr>
        <w:t xml:space="preserve"> vehicle manufacturers</w:t>
      </w:r>
      <w:r>
        <w:rPr>
          <w:lang w:val="en-US"/>
        </w:rPr>
        <w:t xml:space="preserve">, </w:t>
      </w:r>
      <w:r w:rsidR="00EC0F6D" w:rsidRPr="00EC0F6D">
        <w:rPr>
          <w:lang w:val="en-US"/>
        </w:rPr>
        <w:t>“width”</w:t>
      </w:r>
      <w:r w:rsidR="00823053">
        <w:rPr>
          <w:lang w:val="en-US"/>
        </w:rPr>
        <w:t xml:space="preserve"> should be interpreted</w:t>
      </w:r>
      <w:r w:rsidR="00253408">
        <w:rPr>
          <w:lang w:val="en-US"/>
        </w:rPr>
        <w:t xml:space="preserve"> as meaning </w:t>
      </w:r>
      <w:r w:rsidR="00EC0F6D" w:rsidRPr="00EC0F6D">
        <w:rPr>
          <w:lang w:val="en-US"/>
        </w:rPr>
        <w:t>the widest value of the axle/</w:t>
      </w:r>
      <w:proofErr w:type="spellStart"/>
      <w:r w:rsidR="00EC0F6D" w:rsidRPr="00EC0F6D">
        <w:rPr>
          <w:lang w:val="en-US"/>
        </w:rPr>
        <w:t>tyre</w:t>
      </w:r>
      <w:proofErr w:type="spellEnd"/>
      <w:r w:rsidR="00253408">
        <w:rPr>
          <w:lang w:val="en-US"/>
        </w:rPr>
        <w:t>.</w:t>
      </w:r>
      <w:r w:rsidR="00EC0F6D" w:rsidRPr="00EC0F6D">
        <w:rPr>
          <w:lang w:val="en-US"/>
        </w:rPr>
        <w:t xml:space="preserve"> </w:t>
      </w:r>
      <w:r w:rsidR="00253408" w:rsidRPr="00E352DB">
        <w:rPr>
          <w:lang w:val="en-US"/>
        </w:rPr>
        <w:t xml:space="preserve">This is </w:t>
      </w:r>
      <w:r w:rsidR="00EC0F6D" w:rsidRPr="00E352DB">
        <w:rPr>
          <w:lang w:val="en-US"/>
        </w:rPr>
        <w:t xml:space="preserve">because </w:t>
      </w:r>
      <w:r w:rsidR="00C96632" w:rsidRPr="00E352DB">
        <w:rPr>
          <w:lang w:val="en-US"/>
        </w:rPr>
        <w:t xml:space="preserve">it is </w:t>
      </w:r>
      <w:r w:rsidR="00EC0F6D" w:rsidRPr="00E352DB">
        <w:rPr>
          <w:lang w:val="en-US"/>
        </w:rPr>
        <w:t xml:space="preserve">the widest axle </w:t>
      </w:r>
      <w:r w:rsidR="001D0A6E" w:rsidRPr="00E352DB">
        <w:rPr>
          <w:lang w:val="en-US"/>
        </w:rPr>
        <w:t xml:space="preserve">that </w:t>
      </w:r>
      <w:r w:rsidR="003548A8" w:rsidRPr="00E352DB">
        <w:rPr>
          <w:lang w:val="en-US"/>
        </w:rPr>
        <w:t xml:space="preserve">will determine </w:t>
      </w:r>
      <w:r w:rsidR="00EC0F6D" w:rsidRPr="00E352DB">
        <w:rPr>
          <w:lang w:val="en-US"/>
        </w:rPr>
        <w:t>stability to the vehicle.</w:t>
      </w:r>
    </w:p>
    <w:p w14:paraId="15E3B80B" w14:textId="613F83F0" w:rsidR="00EC0F6D" w:rsidRDefault="00EC0F6D" w:rsidP="008F5446">
      <w:pPr>
        <w:pStyle w:val="SingleTxtG"/>
        <w:spacing w:before="120"/>
        <w:rPr>
          <w:lang w:val="en-US"/>
        </w:rPr>
      </w:pPr>
      <w:r w:rsidRPr="00EC0F6D">
        <w:rPr>
          <w:lang w:val="en-US"/>
        </w:rPr>
        <w:t xml:space="preserve">Also, their view on </w:t>
      </w:r>
      <w:r w:rsidR="00F52CA2">
        <w:rPr>
          <w:lang w:val="en-US"/>
        </w:rPr>
        <w:t xml:space="preserve">an amendment to </w:t>
      </w:r>
      <w:r w:rsidRPr="00EC0F6D">
        <w:rPr>
          <w:lang w:val="en-US"/>
        </w:rPr>
        <w:t xml:space="preserve">9.7.5.1 is that – although there might be some margin </w:t>
      </w:r>
      <w:r w:rsidR="00377F4A">
        <w:rPr>
          <w:lang w:val="en-US"/>
        </w:rPr>
        <w:t xml:space="preserve">for </w:t>
      </w:r>
      <w:r w:rsidRPr="00EC0F6D">
        <w:rPr>
          <w:lang w:val="en-US"/>
        </w:rPr>
        <w:t xml:space="preserve">reducing the </w:t>
      </w:r>
      <w:proofErr w:type="spellStart"/>
      <w:r w:rsidR="00F52CA2">
        <w:rPr>
          <w:lang w:val="en-US"/>
        </w:rPr>
        <w:t>centre</w:t>
      </w:r>
      <w:proofErr w:type="spellEnd"/>
      <w:r w:rsidR="00F52CA2">
        <w:rPr>
          <w:lang w:val="en-US"/>
        </w:rPr>
        <w:t xml:space="preserve"> of gravity </w:t>
      </w:r>
      <w:r w:rsidR="00377F4A">
        <w:rPr>
          <w:lang w:val="en-US"/>
        </w:rPr>
        <w:t xml:space="preserve">height </w:t>
      </w:r>
      <w:r w:rsidRPr="00EC0F6D">
        <w:rPr>
          <w:lang w:val="en-US"/>
        </w:rPr>
        <w:t>for high pressure tanks to a ratio width/</w:t>
      </w:r>
      <w:proofErr w:type="spellStart"/>
      <w:r w:rsidR="000B5067">
        <w:rPr>
          <w:lang w:val="en-US"/>
        </w:rPr>
        <w:t>centre</w:t>
      </w:r>
      <w:proofErr w:type="spellEnd"/>
      <w:r w:rsidR="000B5067">
        <w:rPr>
          <w:lang w:val="en-US"/>
        </w:rPr>
        <w:t xml:space="preserve"> of gravity</w:t>
      </w:r>
      <w:r w:rsidRPr="00EC0F6D">
        <w:rPr>
          <w:lang w:val="en-US"/>
        </w:rPr>
        <w:t xml:space="preserve"> higher than 0.9, this would not be advisable</w:t>
      </w:r>
      <w:r w:rsidR="00377F4A">
        <w:rPr>
          <w:lang w:val="en-US"/>
        </w:rPr>
        <w:t>. This is</w:t>
      </w:r>
      <w:r w:rsidRPr="00EC0F6D">
        <w:rPr>
          <w:lang w:val="en-US"/>
        </w:rPr>
        <w:t xml:space="preserve"> </w:t>
      </w:r>
      <w:r w:rsidR="00FE0808" w:rsidRPr="00EC0F6D">
        <w:rPr>
          <w:lang w:val="en-US"/>
        </w:rPr>
        <w:t>because this</w:t>
      </w:r>
      <w:r w:rsidR="0063586A">
        <w:rPr>
          <w:lang w:val="en-US"/>
        </w:rPr>
        <w:t xml:space="preserve"> might have an </w:t>
      </w:r>
      <w:r w:rsidR="00432035">
        <w:rPr>
          <w:lang w:val="en-US"/>
        </w:rPr>
        <w:t>adverse effect</w:t>
      </w:r>
      <w:r w:rsidR="0063586A">
        <w:rPr>
          <w:lang w:val="en-US"/>
        </w:rPr>
        <w:t xml:space="preserve"> on </w:t>
      </w:r>
      <w:r w:rsidR="003D3243">
        <w:rPr>
          <w:lang w:val="en-US"/>
        </w:rPr>
        <w:t xml:space="preserve">existing designs and </w:t>
      </w:r>
      <w:r w:rsidR="0063586A">
        <w:rPr>
          <w:lang w:val="en-US"/>
        </w:rPr>
        <w:t>possibl</w:t>
      </w:r>
      <w:r w:rsidR="003D3243">
        <w:rPr>
          <w:lang w:val="en-US"/>
        </w:rPr>
        <w:t xml:space="preserve">y </w:t>
      </w:r>
      <w:r w:rsidR="00B203D8">
        <w:rPr>
          <w:lang w:val="en-US"/>
        </w:rPr>
        <w:t>limit</w:t>
      </w:r>
      <w:r w:rsidR="008A55D0">
        <w:rPr>
          <w:lang w:val="en-US"/>
        </w:rPr>
        <w:t xml:space="preserve"> the</w:t>
      </w:r>
      <w:r w:rsidRPr="00EC0F6D">
        <w:rPr>
          <w:lang w:val="en-US"/>
        </w:rPr>
        <w:t xml:space="preserve"> development </w:t>
      </w:r>
      <w:r w:rsidR="008A55D0">
        <w:rPr>
          <w:lang w:val="en-US"/>
        </w:rPr>
        <w:t>of</w:t>
      </w:r>
      <w:r w:rsidR="0063586A">
        <w:rPr>
          <w:lang w:val="en-US"/>
        </w:rPr>
        <w:t xml:space="preserve"> vehicle</w:t>
      </w:r>
      <w:r w:rsidR="008A55D0">
        <w:rPr>
          <w:lang w:val="en-US"/>
        </w:rPr>
        <w:t>s</w:t>
      </w:r>
      <w:r w:rsidR="0063586A">
        <w:rPr>
          <w:lang w:val="en-US"/>
        </w:rPr>
        <w:t xml:space="preserve"> for </w:t>
      </w:r>
      <w:r w:rsidRPr="00EC0F6D">
        <w:rPr>
          <w:lang w:val="en-US"/>
        </w:rPr>
        <w:t xml:space="preserve">the carriage of liquid gases (for </w:t>
      </w:r>
      <w:r w:rsidR="003D6C85">
        <w:rPr>
          <w:lang w:val="en-US"/>
        </w:rPr>
        <w:t>example</w:t>
      </w:r>
      <w:r>
        <w:rPr>
          <w:lang w:val="en-US"/>
        </w:rPr>
        <w:t xml:space="preserve"> liquid</w:t>
      </w:r>
      <w:r w:rsidRPr="00EC0F6D">
        <w:rPr>
          <w:lang w:val="en-US"/>
        </w:rPr>
        <w:t xml:space="preserve"> H</w:t>
      </w:r>
      <w:r w:rsidRPr="00EC0F6D">
        <w:rPr>
          <w:vertAlign w:val="subscript"/>
          <w:lang w:val="en-US"/>
        </w:rPr>
        <w:t>2</w:t>
      </w:r>
      <w:r w:rsidRPr="00EC0F6D">
        <w:rPr>
          <w:lang w:val="en-US"/>
        </w:rPr>
        <w:t>).</w:t>
      </w:r>
    </w:p>
    <w:p w14:paraId="45E8D200" w14:textId="29343174" w:rsidR="00EC0F6D" w:rsidRDefault="0069788C" w:rsidP="008F5446">
      <w:pPr>
        <w:pStyle w:val="SingleTxtG"/>
      </w:pPr>
      <w:r>
        <w:rPr>
          <w:lang w:val="fr-CH"/>
        </w:rPr>
        <w:t>8.</w:t>
      </w:r>
      <w:r>
        <w:rPr>
          <w:lang w:val="fr-CH"/>
        </w:rPr>
        <w:tab/>
      </w:r>
      <w:r w:rsidR="00EC0F6D" w:rsidRPr="0063586A">
        <w:t xml:space="preserve">If </w:t>
      </w:r>
      <w:r w:rsidR="00F01912">
        <w:t xml:space="preserve">a lower </w:t>
      </w:r>
      <w:r w:rsidR="00E352DB">
        <w:t>centre of gravity</w:t>
      </w:r>
      <w:r w:rsidR="00F01912">
        <w:t xml:space="preserve"> is to be required in 9.7.5.1</w:t>
      </w:r>
      <w:r w:rsidR="00812691">
        <w:t xml:space="preserve"> </w:t>
      </w:r>
      <w:r w:rsidR="00F01912">
        <w:t xml:space="preserve">work must be done to identify a higher value of the ratio </w:t>
      </w:r>
      <w:r w:rsidR="00F01912" w:rsidRPr="00EC0F6D">
        <w:t>width/</w:t>
      </w:r>
      <w:proofErr w:type="spellStart"/>
      <w:r w:rsidR="00F01912" w:rsidRPr="00EC0F6D">
        <w:t>CoG</w:t>
      </w:r>
      <w:proofErr w:type="spellEnd"/>
      <w:r w:rsidR="00F01912">
        <w:t>, which would be feasible</w:t>
      </w:r>
      <w:r w:rsidR="0063586A" w:rsidRPr="0063586A">
        <w:t>.</w:t>
      </w:r>
      <w:r w:rsidR="00F01912">
        <w:t xml:space="preserve"> At </w:t>
      </w:r>
      <w:r w:rsidR="00812691">
        <w:t xml:space="preserve">present </w:t>
      </w:r>
      <w:r w:rsidR="00F01912">
        <w:t xml:space="preserve">the working group doesn’t see a reason to do so (see also point 6), but </w:t>
      </w:r>
      <w:r w:rsidR="00374A54">
        <w:t xml:space="preserve">notes that this </w:t>
      </w:r>
      <w:r w:rsidR="0027401A">
        <w:t xml:space="preserve">work </w:t>
      </w:r>
      <w:r w:rsidR="00374A54">
        <w:t xml:space="preserve">could be done </w:t>
      </w:r>
      <w:r w:rsidR="00F01912">
        <w:t>in the future.</w:t>
      </w:r>
    </w:p>
    <w:p w14:paraId="1E417069" w14:textId="4C5D9E09" w:rsidR="00F35130" w:rsidRPr="0063586A" w:rsidRDefault="0069788C" w:rsidP="0069788C">
      <w:pPr>
        <w:pStyle w:val="SingleTxtG"/>
        <w:rPr>
          <w:lang w:val="en-US"/>
        </w:rPr>
      </w:pPr>
      <w:r>
        <w:rPr>
          <w:lang w:val="fr-CH"/>
        </w:rPr>
        <w:t>9.</w:t>
      </w:r>
      <w:r>
        <w:rPr>
          <w:lang w:val="fr-CH"/>
        </w:rPr>
        <w:tab/>
      </w:r>
      <w:r w:rsidR="00EC0F6D" w:rsidRPr="0069788C">
        <w:rPr>
          <w:lang w:val="fr-CH"/>
        </w:rPr>
        <w:t>Mandate</w:t>
      </w:r>
      <w:r w:rsidR="00EC0F6D" w:rsidRPr="0063586A">
        <w:rPr>
          <w:lang w:val="en-US"/>
        </w:rPr>
        <w:t xml:space="preserve"> 4</w:t>
      </w:r>
    </w:p>
    <w:p w14:paraId="48E2EF51" w14:textId="5C43CFFE" w:rsidR="00F35130" w:rsidRDefault="00F35130" w:rsidP="0063586A">
      <w:pPr>
        <w:ind w:left="1701" w:right="1179"/>
        <w:jc w:val="both"/>
        <w:rPr>
          <w:i/>
          <w:iCs/>
          <w:lang w:val="en-US"/>
        </w:rPr>
      </w:pPr>
      <w:r w:rsidRPr="0063586A">
        <w:rPr>
          <w:i/>
          <w:iCs/>
          <w:lang w:val="en-US"/>
        </w:rPr>
        <w:t>Verify the impact the possible amendment of ADR 9.7.5 deriving from points 1, 2 and 3 above would have.</w:t>
      </w:r>
    </w:p>
    <w:p w14:paraId="656CE69A" w14:textId="07916EF6" w:rsidR="00FC2A99" w:rsidRDefault="0069788C" w:rsidP="0069788C">
      <w:pPr>
        <w:pStyle w:val="SingleTxtG"/>
        <w:spacing w:before="120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F35130" w:rsidRPr="0063586A">
        <w:rPr>
          <w:lang w:val="en-US"/>
        </w:rPr>
        <w:t xml:space="preserve">In practice the correctness of section 9.7.5 is </w:t>
      </w:r>
      <w:r w:rsidR="007D4273">
        <w:rPr>
          <w:lang w:val="en-US"/>
        </w:rPr>
        <w:t xml:space="preserve">thought to be </w:t>
      </w:r>
      <w:r w:rsidR="00F35130" w:rsidRPr="0063586A">
        <w:rPr>
          <w:lang w:val="en-US"/>
        </w:rPr>
        <w:t>confirmed simply by the fact that</w:t>
      </w:r>
      <w:r w:rsidR="0027401A">
        <w:rPr>
          <w:lang w:val="en-US"/>
        </w:rPr>
        <w:t xml:space="preserve"> throughout</w:t>
      </w:r>
      <w:r w:rsidR="00F35130" w:rsidRPr="0063586A">
        <w:rPr>
          <w:lang w:val="en-US"/>
        </w:rPr>
        <w:t xml:space="preserve"> Europe high pressure tanks </w:t>
      </w:r>
      <w:r w:rsidR="00800E7D" w:rsidRPr="0063586A">
        <w:rPr>
          <w:lang w:val="en-US"/>
        </w:rPr>
        <w:t xml:space="preserve">are </w:t>
      </w:r>
      <w:r w:rsidR="00800E7D">
        <w:rPr>
          <w:lang w:val="en-US"/>
        </w:rPr>
        <w:t>operating</w:t>
      </w:r>
      <w:r w:rsidR="00F35130" w:rsidRPr="0063586A">
        <w:rPr>
          <w:lang w:val="en-US"/>
        </w:rPr>
        <w:t xml:space="preserve"> with a </w:t>
      </w:r>
      <w:proofErr w:type="spellStart"/>
      <w:r w:rsidR="005C0744">
        <w:rPr>
          <w:lang w:val="en-US"/>
        </w:rPr>
        <w:t>centre</w:t>
      </w:r>
      <w:proofErr w:type="spellEnd"/>
      <w:r w:rsidR="005C0744">
        <w:rPr>
          <w:lang w:val="en-US"/>
        </w:rPr>
        <w:t xml:space="preserve"> of gravity </w:t>
      </w:r>
      <w:r w:rsidR="00F35130" w:rsidRPr="0063586A">
        <w:rPr>
          <w:lang w:val="en-US"/>
        </w:rPr>
        <w:t xml:space="preserve">at </w:t>
      </w:r>
      <w:r w:rsidR="0090552E">
        <w:rPr>
          <w:lang w:val="en-US"/>
        </w:rPr>
        <w:t xml:space="preserve">or </w:t>
      </w:r>
      <w:r w:rsidR="00602BBA">
        <w:rPr>
          <w:lang w:val="en-US"/>
        </w:rPr>
        <w:t xml:space="preserve">close to </w:t>
      </w:r>
      <w:r w:rsidR="00F35130" w:rsidRPr="0063586A">
        <w:rPr>
          <w:lang w:val="en-US"/>
        </w:rPr>
        <w:t xml:space="preserve">the limit </w:t>
      </w:r>
      <w:r w:rsidR="00584116">
        <w:rPr>
          <w:lang w:val="en-US"/>
        </w:rPr>
        <w:t>specified in</w:t>
      </w:r>
      <w:r w:rsidR="00F35130" w:rsidRPr="0063586A">
        <w:rPr>
          <w:lang w:val="en-US"/>
        </w:rPr>
        <w:t xml:space="preserve"> 9.5.7.1</w:t>
      </w:r>
      <w:r w:rsidR="00120B83">
        <w:rPr>
          <w:lang w:val="en-US"/>
        </w:rPr>
        <w:t xml:space="preserve"> and </w:t>
      </w:r>
      <w:r w:rsidR="00F35130" w:rsidRPr="0063586A">
        <w:rPr>
          <w:lang w:val="en-US"/>
        </w:rPr>
        <w:t xml:space="preserve">there is no evidence </w:t>
      </w:r>
      <w:r w:rsidR="00CC640E">
        <w:rPr>
          <w:lang w:val="en-US"/>
        </w:rPr>
        <w:t xml:space="preserve">that </w:t>
      </w:r>
      <w:r w:rsidR="00F35130" w:rsidRPr="0063586A">
        <w:rPr>
          <w:lang w:val="en-US"/>
        </w:rPr>
        <w:t>a higher number of rollover</w:t>
      </w:r>
      <w:r w:rsidR="008949DA">
        <w:rPr>
          <w:lang w:val="en-US"/>
        </w:rPr>
        <w:t xml:space="preserve"> incidents</w:t>
      </w:r>
      <w:r w:rsidR="00F35130" w:rsidRPr="0063586A">
        <w:rPr>
          <w:lang w:val="en-US"/>
        </w:rPr>
        <w:t xml:space="preserve"> </w:t>
      </w:r>
      <w:r w:rsidR="00CC640E">
        <w:rPr>
          <w:lang w:val="en-US"/>
        </w:rPr>
        <w:t xml:space="preserve">are </w:t>
      </w:r>
      <w:r w:rsidR="00855224">
        <w:rPr>
          <w:lang w:val="en-US"/>
        </w:rPr>
        <w:t>occurring</w:t>
      </w:r>
      <w:r w:rsidR="008949DA">
        <w:rPr>
          <w:lang w:val="en-US"/>
        </w:rPr>
        <w:t xml:space="preserve"> </w:t>
      </w:r>
      <w:r w:rsidR="00FE757F">
        <w:rPr>
          <w:lang w:val="en-US"/>
        </w:rPr>
        <w:t>with</w:t>
      </w:r>
      <w:r w:rsidR="00F35130" w:rsidRPr="0063586A">
        <w:rPr>
          <w:lang w:val="en-US"/>
        </w:rPr>
        <w:t xml:space="preserve"> these vehicles.</w:t>
      </w:r>
    </w:p>
    <w:p w14:paraId="2F863C53" w14:textId="56E16A7D" w:rsidR="00F01912" w:rsidRPr="00800E7D" w:rsidRDefault="0069788C" w:rsidP="0069788C">
      <w:pPr>
        <w:pStyle w:val="SingleTxtG"/>
        <w:spacing w:before="120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</w:r>
      <w:r w:rsidR="00F01912" w:rsidRPr="00800E7D">
        <w:rPr>
          <w:lang w:val="en-US"/>
        </w:rPr>
        <w:t>As a spin off from discussion</w:t>
      </w:r>
      <w:r w:rsidR="00CC640E">
        <w:rPr>
          <w:lang w:val="en-US"/>
        </w:rPr>
        <w:t>s</w:t>
      </w:r>
      <w:r w:rsidR="00F01912" w:rsidRPr="00800E7D">
        <w:rPr>
          <w:lang w:val="en-US"/>
        </w:rPr>
        <w:t xml:space="preserve">, it has been recognized that </w:t>
      </w:r>
      <w:r w:rsidR="00B267DD" w:rsidRPr="00800E7D">
        <w:rPr>
          <w:lang w:val="en-US"/>
        </w:rPr>
        <w:t xml:space="preserve">paragraph 9.7.5.1 </w:t>
      </w:r>
      <w:r w:rsidR="00000404">
        <w:rPr>
          <w:lang w:val="en-US"/>
        </w:rPr>
        <w:t xml:space="preserve">also </w:t>
      </w:r>
      <w:r w:rsidR="00B267DD" w:rsidRPr="00800E7D">
        <w:rPr>
          <w:lang w:val="en-US"/>
        </w:rPr>
        <w:t xml:space="preserve">sets </w:t>
      </w:r>
      <w:r w:rsidR="000F556A">
        <w:rPr>
          <w:lang w:val="en-US"/>
        </w:rPr>
        <w:t xml:space="preserve">a </w:t>
      </w:r>
      <w:r w:rsidR="00B267DD" w:rsidRPr="00800E7D">
        <w:rPr>
          <w:lang w:val="en-US"/>
        </w:rPr>
        <w:t xml:space="preserve">requirement for the load distribution between </w:t>
      </w:r>
      <w:r w:rsidR="0085728C">
        <w:rPr>
          <w:lang w:val="en-US"/>
        </w:rPr>
        <w:t xml:space="preserve">the </w:t>
      </w:r>
      <w:r w:rsidR="00CA0C67">
        <w:rPr>
          <w:lang w:val="en-US"/>
        </w:rPr>
        <w:t>tract</w:t>
      </w:r>
      <w:r w:rsidR="00863BAA">
        <w:rPr>
          <w:lang w:val="en-US"/>
        </w:rPr>
        <w:t>ive unit</w:t>
      </w:r>
      <w:r w:rsidR="0085526B" w:rsidRPr="00800E7D">
        <w:rPr>
          <w:lang w:val="en-US"/>
        </w:rPr>
        <w:t xml:space="preserve"> and semi-trailer</w:t>
      </w:r>
      <w:r w:rsidR="00863BAA">
        <w:rPr>
          <w:lang w:val="en-US"/>
        </w:rPr>
        <w:t xml:space="preserve"> of articulated vehicles</w:t>
      </w:r>
      <w:r w:rsidR="0085526B" w:rsidRPr="00800E7D">
        <w:rPr>
          <w:lang w:val="en-US"/>
        </w:rPr>
        <w:t xml:space="preserve">. </w:t>
      </w:r>
      <w:r w:rsidR="00B267DD" w:rsidRPr="00800E7D">
        <w:rPr>
          <w:lang w:val="en-US"/>
        </w:rPr>
        <w:t xml:space="preserve">Although not in the scope of this working group, </w:t>
      </w:r>
      <w:r w:rsidR="00C83CB3">
        <w:rPr>
          <w:lang w:val="en-US"/>
        </w:rPr>
        <w:t xml:space="preserve">it is suggested that </w:t>
      </w:r>
      <w:r w:rsidR="00952B80">
        <w:rPr>
          <w:lang w:val="en-US"/>
        </w:rPr>
        <w:t xml:space="preserve">future work could look to re-evaluate </w:t>
      </w:r>
      <w:r w:rsidR="00B267DD" w:rsidRPr="00800E7D">
        <w:rPr>
          <w:lang w:val="en-US"/>
        </w:rPr>
        <w:t>the structure of 9.7.5</w:t>
      </w:r>
      <w:r w:rsidR="00DF6C17">
        <w:rPr>
          <w:lang w:val="en-US"/>
        </w:rPr>
        <w:t xml:space="preserve"> </w:t>
      </w:r>
      <w:proofErr w:type="gramStart"/>
      <w:r w:rsidR="00B267DD" w:rsidRPr="00800E7D">
        <w:rPr>
          <w:lang w:val="en-US"/>
        </w:rPr>
        <w:t>in order to</w:t>
      </w:r>
      <w:proofErr w:type="gramEnd"/>
      <w:r w:rsidR="00B267DD" w:rsidRPr="00800E7D">
        <w:rPr>
          <w:lang w:val="en-US"/>
        </w:rPr>
        <w:t xml:space="preserve"> make this paragraph clearer.</w:t>
      </w:r>
    </w:p>
    <w:p w14:paraId="3BC6362E" w14:textId="64C4CA7C" w:rsidR="0063586A" w:rsidRDefault="0063586A" w:rsidP="007F01F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Conclusions</w:t>
      </w:r>
    </w:p>
    <w:p w14:paraId="7A36982E" w14:textId="7EA7BC5D" w:rsidR="00CA522C" w:rsidRPr="005A454F" w:rsidRDefault="00E30619" w:rsidP="005A454F">
      <w:pPr>
        <w:pStyle w:val="ListParagraph"/>
        <w:numPr>
          <w:ilvl w:val="0"/>
          <w:numId w:val="35"/>
        </w:numPr>
        <w:ind w:left="2268" w:right="1134" w:hanging="567"/>
        <w:rPr>
          <w:lang w:val="en-US"/>
        </w:rPr>
      </w:pPr>
      <w:r w:rsidRPr="005A454F">
        <w:rPr>
          <w:lang w:val="en-US"/>
        </w:rPr>
        <w:t xml:space="preserve">The calculation </w:t>
      </w:r>
      <w:r w:rsidR="00800E7D" w:rsidRPr="005A454F">
        <w:rPr>
          <w:lang w:val="en-US"/>
        </w:rPr>
        <w:t>for maximum</w:t>
      </w:r>
      <w:r w:rsidR="0078592C" w:rsidRPr="005A454F">
        <w:rPr>
          <w:lang w:val="en-US"/>
        </w:rPr>
        <w:t xml:space="preserve"> </w:t>
      </w:r>
      <w:r w:rsidR="000331BB" w:rsidRPr="005A454F">
        <w:rPr>
          <w:lang w:val="en-US"/>
        </w:rPr>
        <w:t xml:space="preserve">permitted </w:t>
      </w:r>
      <w:r w:rsidRPr="005A454F">
        <w:rPr>
          <w:lang w:val="en-US"/>
        </w:rPr>
        <w:t xml:space="preserve">center of gravity </w:t>
      </w:r>
      <w:r w:rsidR="00DE0F70" w:rsidRPr="005A454F">
        <w:rPr>
          <w:lang w:val="en-US"/>
        </w:rPr>
        <w:t xml:space="preserve">height </w:t>
      </w:r>
      <w:r w:rsidR="00D654EE" w:rsidRPr="005A454F">
        <w:rPr>
          <w:lang w:val="en-US"/>
        </w:rPr>
        <w:t xml:space="preserve">set out in </w:t>
      </w:r>
      <w:r w:rsidR="00804EA5" w:rsidRPr="005A454F">
        <w:rPr>
          <w:lang w:val="en-US"/>
        </w:rPr>
        <w:t xml:space="preserve">ADR </w:t>
      </w:r>
      <w:r w:rsidRPr="005A454F">
        <w:rPr>
          <w:lang w:val="en-US"/>
        </w:rPr>
        <w:t xml:space="preserve">9.7.5.1 </w:t>
      </w:r>
      <w:r w:rsidR="00C722C7" w:rsidRPr="005A454F">
        <w:rPr>
          <w:lang w:val="en-US"/>
        </w:rPr>
        <w:t xml:space="preserve">was </w:t>
      </w:r>
      <w:r w:rsidR="0011179C" w:rsidRPr="005A454F">
        <w:rPr>
          <w:lang w:val="en-US"/>
        </w:rPr>
        <w:t xml:space="preserve">inserted </w:t>
      </w:r>
      <w:r w:rsidR="00D275F5" w:rsidRPr="005A454F">
        <w:rPr>
          <w:lang w:val="en-US"/>
        </w:rPr>
        <w:t xml:space="preserve">in 1978 </w:t>
      </w:r>
      <w:r w:rsidR="00C722C7" w:rsidRPr="005A454F">
        <w:rPr>
          <w:lang w:val="en-US"/>
        </w:rPr>
        <w:t>and there is no evidence that it is in</w:t>
      </w:r>
      <w:r w:rsidRPr="005A454F">
        <w:rPr>
          <w:lang w:val="en-US"/>
        </w:rPr>
        <w:t>correct</w:t>
      </w:r>
      <w:r w:rsidR="005E0F95" w:rsidRPr="005A454F">
        <w:rPr>
          <w:lang w:val="en-US"/>
        </w:rPr>
        <w:t>.</w:t>
      </w:r>
    </w:p>
    <w:p w14:paraId="7EA6EDEB" w14:textId="511DC8C9" w:rsidR="0063586A" w:rsidRPr="005A454F" w:rsidRDefault="00021A2F" w:rsidP="005A454F">
      <w:pPr>
        <w:pStyle w:val="ListParagraph"/>
        <w:numPr>
          <w:ilvl w:val="0"/>
          <w:numId w:val="35"/>
        </w:numPr>
        <w:ind w:left="2268" w:right="1134" w:hanging="567"/>
        <w:rPr>
          <w:lang w:val="en-US"/>
        </w:rPr>
      </w:pPr>
      <w:r w:rsidRPr="005A454F">
        <w:rPr>
          <w:lang w:val="en-US"/>
        </w:rPr>
        <w:t>T</w:t>
      </w:r>
      <w:r w:rsidR="00E30619" w:rsidRPr="005A454F">
        <w:rPr>
          <w:lang w:val="en-US"/>
        </w:rPr>
        <w:t xml:space="preserve">he </w:t>
      </w:r>
      <w:r w:rsidR="0063586A" w:rsidRPr="005A454F">
        <w:rPr>
          <w:lang w:val="en-US"/>
        </w:rPr>
        <w:t xml:space="preserve">definition of the overall width of the ground-level bearing surface </w:t>
      </w:r>
      <w:r w:rsidR="00D14EC0" w:rsidRPr="005A454F">
        <w:rPr>
          <w:lang w:val="en-US"/>
        </w:rPr>
        <w:t xml:space="preserve">in </w:t>
      </w:r>
      <w:r w:rsidR="00D437E2" w:rsidRPr="005A454F">
        <w:rPr>
          <w:lang w:val="en-US"/>
        </w:rPr>
        <w:t xml:space="preserve">9.7.5.1 </w:t>
      </w:r>
      <w:r w:rsidR="00E30619" w:rsidRPr="005A454F">
        <w:rPr>
          <w:lang w:val="en-US"/>
        </w:rPr>
        <w:t xml:space="preserve">should be clarified </w:t>
      </w:r>
      <w:r w:rsidR="00ED1F7B" w:rsidRPr="005A454F">
        <w:rPr>
          <w:lang w:val="en-US"/>
        </w:rPr>
        <w:t xml:space="preserve">in a way that makes </w:t>
      </w:r>
      <w:r w:rsidR="00886D41" w:rsidRPr="005A454F">
        <w:rPr>
          <w:lang w:val="en-US"/>
        </w:rPr>
        <w:t xml:space="preserve">it clear which </w:t>
      </w:r>
      <w:r w:rsidR="00ED1F7B" w:rsidRPr="005A454F">
        <w:rPr>
          <w:lang w:val="en-US"/>
        </w:rPr>
        <w:t xml:space="preserve">axle </w:t>
      </w:r>
      <w:r w:rsidR="00886D41" w:rsidRPr="005A454F">
        <w:rPr>
          <w:lang w:val="en-US"/>
        </w:rPr>
        <w:t xml:space="preserve">is </w:t>
      </w:r>
      <w:r w:rsidR="00ED1F7B" w:rsidRPr="005A454F">
        <w:rPr>
          <w:lang w:val="en-US"/>
        </w:rPr>
        <w:t xml:space="preserve">to be used </w:t>
      </w:r>
      <w:r w:rsidR="00886D41" w:rsidRPr="005A454F">
        <w:rPr>
          <w:lang w:val="en-US"/>
        </w:rPr>
        <w:t xml:space="preserve">in the calculation </w:t>
      </w:r>
      <w:r w:rsidR="00E30619" w:rsidRPr="005A454F">
        <w:rPr>
          <w:lang w:val="en-US"/>
        </w:rPr>
        <w:t xml:space="preserve">(see </w:t>
      </w:r>
      <w:hyperlink r:id="rId18" w:history="1">
        <w:r w:rsidR="00E30619" w:rsidRPr="005A454F">
          <w:rPr>
            <w:rStyle w:val="Hyperlink"/>
            <w:bCs/>
            <w:szCs w:val="22"/>
            <w:u w:val="single"/>
            <w:lang w:val="en-US"/>
          </w:rPr>
          <w:t>ECE/TRANS/</w:t>
        </w:r>
        <w:r w:rsidR="007F01FE" w:rsidRPr="005A454F">
          <w:rPr>
            <w:rStyle w:val="Hyperlink"/>
            <w:bCs/>
            <w:szCs w:val="22"/>
            <w:u w:val="single"/>
            <w:lang w:val="en-US"/>
          </w:rPr>
          <w:t xml:space="preserve"> </w:t>
        </w:r>
        <w:r w:rsidR="00E30619" w:rsidRPr="005A454F">
          <w:rPr>
            <w:rStyle w:val="Hyperlink"/>
            <w:bCs/>
            <w:szCs w:val="22"/>
            <w:u w:val="single"/>
            <w:lang w:val="en-US"/>
          </w:rPr>
          <w:t>WP.15/2021/10</w:t>
        </w:r>
      </w:hyperlink>
      <w:r w:rsidR="00E30619" w:rsidRPr="005A454F">
        <w:rPr>
          <w:lang w:val="en-US"/>
        </w:rPr>
        <w:t>).</w:t>
      </w:r>
    </w:p>
    <w:p w14:paraId="08BBF1FC" w14:textId="2DCB8CAB" w:rsidR="00E30619" w:rsidRDefault="00E30619" w:rsidP="005A454F">
      <w:pPr>
        <w:pStyle w:val="ListParagraph"/>
        <w:numPr>
          <w:ilvl w:val="0"/>
          <w:numId w:val="35"/>
        </w:numPr>
        <w:spacing w:before="120" w:after="120"/>
        <w:ind w:left="2268" w:right="1134" w:hanging="567"/>
        <w:rPr>
          <w:lang w:val="en-US"/>
        </w:rPr>
      </w:pPr>
      <w:r w:rsidRPr="005A454F">
        <w:rPr>
          <w:lang w:val="en-US"/>
        </w:rPr>
        <w:t xml:space="preserve">No changes </w:t>
      </w:r>
      <w:r w:rsidR="000E17F9" w:rsidRPr="005A454F">
        <w:rPr>
          <w:lang w:val="en-US"/>
        </w:rPr>
        <w:t xml:space="preserve">to the application of </w:t>
      </w:r>
      <w:r w:rsidRPr="005A454F">
        <w:rPr>
          <w:lang w:val="en-US"/>
        </w:rPr>
        <w:t xml:space="preserve">R111 </w:t>
      </w:r>
      <w:r w:rsidR="00CC32F2" w:rsidRPr="005A454F">
        <w:rPr>
          <w:lang w:val="en-US"/>
        </w:rPr>
        <w:t xml:space="preserve">are proposed. </w:t>
      </w:r>
      <w:r w:rsidR="004E21EC" w:rsidRPr="005A454F">
        <w:rPr>
          <w:lang w:val="en-US"/>
        </w:rPr>
        <w:t xml:space="preserve">It </w:t>
      </w:r>
      <w:r w:rsidR="00083812">
        <w:rPr>
          <w:lang w:val="en-US"/>
        </w:rPr>
        <w:t xml:space="preserve">is not considered feasible to </w:t>
      </w:r>
      <w:r w:rsidR="002366CD">
        <w:rPr>
          <w:lang w:val="en-US"/>
        </w:rPr>
        <w:t xml:space="preserve">extend the application of R111 </w:t>
      </w:r>
      <w:r w:rsidRPr="00CA522C">
        <w:rPr>
          <w:lang w:val="en-US"/>
        </w:rPr>
        <w:t xml:space="preserve">to </w:t>
      </w:r>
      <w:r w:rsidR="006A4C4E">
        <w:rPr>
          <w:lang w:val="en-US"/>
        </w:rPr>
        <w:t xml:space="preserve">all </w:t>
      </w:r>
      <w:r w:rsidR="003A68C9">
        <w:rPr>
          <w:lang w:val="en-US"/>
        </w:rPr>
        <w:t xml:space="preserve">vehicles with </w:t>
      </w:r>
      <w:r w:rsidRPr="00CA522C">
        <w:rPr>
          <w:lang w:val="en-US"/>
        </w:rPr>
        <w:t xml:space="preserve">high pressure </w:t>
      </w:r>
      <w:r w:rsidR="003A68C9">
        <w:rPr>
          <w:lang w:val="en-US"/>
        </w:rPr>
        <w:t>tanks</w:t>
      </w:r>
      <w:r w:rsidRPr="00CA522C">
        <w:rPr>
          <w:lang w:val="en-US"/>
        </w:rPr>
        <w:t>.</w:t>
      </w:r>
    </w:p>
    <w:p w14:paraId="295EE819" w14:textId="5C1AFDE0" w:rsidR="0051360B" w:rsidRDefault="0051360B" w:rsidP="0069788C">
      <w:pPr>
        <w:pStyle w:val="SingleTxtG"/>
      </w:pPr>
      <w:r>
        <w:t xml:space="preserve">The mandate of the working group is </w:t>
      </w:r>
      <w:r w:rsidR="003069EE">
        <w:t>therefore</w:t>
      </w:r>
      <w:r>
        <w:t xml:space="preserve"> considered fulfilled.</w:t>
      </w:r>
    </w:p>
    <w:p w14:paraId="741104DC" w14:textId="5BED7087" w:rsidR="00BF0CF2" w:rsidRPr="009E5596" w:rsidRDefault="00711C0E" w:rsidP="00711C0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CF2" w:rsidRPr="009E5596" w:rsidSect="00A810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C1D04" w14:textId="77777777" w:rsidR="00082F5C" w:rsidRDefault="00082F5C"/>
  </w:endnote>
  <w:endnote w:type="continuationSeparator" w:id="0">
    <w:p w14:paraId="23C43FC3" w14:textId="77777777" w:rsidR="00082F5C" w:rsidRDefault="00082F5C"/>
  </w:endnote>
  <w:endnote w:type="continuationNotice" w:id="1">
    <w:p w14:paraId="2D6C8BA6" w14:textId="77777777" w:rsidR="00082F5C" w:rsidRDefault="00082F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D973" w14:textId="6D5C0BA3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3B7EC2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E99F" w14:textId="4F1AAA36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E352DB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EBE7A" w14:textId="77777777" w:rsidR="00082F5C" w:rsidRPr="000B175B" w:rsidRDefault="00082F5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A12DA4" w14:textId="77777777" w:rsidR="00082F5C" w:rsidRPr="00FC68B7" w:rsidRDefault="00082F5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D2D0299" w14:textId="77777777" w:rsidR="00082F5C" w:rsidRDefault="00082F5C"/>
  </w:footnote>
  <w:footnote w:id="2">
    <w:p w14:paraId="68252BFA" w14:textId="2BC01C03" w:rsidR="00A946B9" w:rsidRPr="00A946B9" w:rsidRDefault="005A454F">
      <w:pPr>
        <w:pStyle w:val="FootnoteText"/>
        <w:rPr>
          <w:lang w:val="en-US"/>
        </w:rPr>
      </w:pPr>
      <w:r>
        <w:tab/>
      </w:r>
      <w:r>
        <w:tab/>
      </w:r>
      <w:r w:rsidR="00A946B9" w:rsidRPr="005A454F">
        <w:rPr>
          <w:rStyle w:val="FootnoteReference"/>
          <w:b/>
          <w:bCs/>
          <w:sz w:val="20"/>
        </w:rPr>
        <w:footnoteRef/>
      </w:r>
      <w:r>
        <w:tab/>
      </w:r>
      <w:r w:rsidR="00A946B9" w:rsidRPr="00A946B9">
        <w:rPr>
          <w:lang w:val="en-US"/>
        </w:rPr>
        <w:t>Uniform provisions concerning the approval of tank vehicles of categories N and O with regard</w:t>
      </w:r>
      <w:r w:rsidR="00A946B9">
        <w:rPr>
          <w:lang w:val="en-US"/>
        </w:rPr>
        <w:t xml:space="preserve"> </w:t>
      </w:r>
      <w:r w:rsidR="00A946B9" w:rsidRPr="00A946B9">
        <w:rPr>
          <w:lang w:val="en-US"/>
        </w:rPr>
        <w:t>to rollover stability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DF20" w14:textId="0D013314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5D11A0">
      <w:rPr>
        <w:lang w:val="fr-CH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5BF7" w14:textId="51631B16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</w:t>
    </w:r>
    <w:r w:rsidR="005A454F">
      <w:rPr>
        <w:lang w:val="fr-CH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7EF0" w14:textId="173A1A32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78681D">
      <w:rPr>
        <w:sz w:val="28"/>
        <w:szCs w:val="28"/>
        <w:lang w:val="fr-CH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84F6451"/>
    <w:multiLevelType w:val="hybridMultilevel"/>
    <w:tmpl w:val="EC22790C"/>
    <w:lvl w:ilvl="0" w:tplc="880A4E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0AA7A7F"/>
    <w:multiLevelType w:val="hybridMultilevel"/>
    <w:tmpl w:val="3654BB6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B9039F"/>
    <w:multiLevelType w:val="hybridMultilevel"/>
    <w:tmpl w:val="2DA216FE"/>
    <w:lvl w:ilvl="0" w:tplc="08090019">
      <w:start w:val="1"/>
      <w:numFmt w:val="lowerLetter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1EC11951"/>
    <w:multiLevelType w:val="hybridMultilevel"/>
    <w:tmpl w:val="7C08DBD8"/>
    <w:lvl w:ilvl="0" w:tplc="809C66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EF8360F"/>
    <w:multiLevelType w:val="hybridMultilevel"/>
    <w:tmpl w:val="8FDC7B56"/>
    <w:lvl w:ilvl="0" w:tplc="6A444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C03EEA"/>
    <w:multiLevelType w:val="hybridMultilevel"/>
    <w:tmpl w:val="C8B42B9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40022EC"/>
    <w:multiLevelType w:val="hybridMultilevel"/>
    <w:tmpl w:val="EB2C786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62E4F1F"/>
    <w:multiLevelType w:val="hybridMultilevel"/>
    <w:tmpl w:val="9BB61998"/>
    <w:lvl w:ilvl="0" w:tplc="C186C2B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6AB0174"/>
    <w:multiLevelType w:val="hybridMultilevel"/>
    <w:tmpl w:val="804AFF1C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3ACD0704"/>
    <w:multiLevelType w:val="hybridMultilevel"/>
    <w:tmpl w:val="B0461270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C76352B"/>
    <w:multiLevelType w:val="hybridMultilevel"/>
    <w:tmpl w:val="77D836A2"/>
    <w:lvl w:ilvl="0" w:tplc="65AE4EB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76D5F10"/>
    <w:multiLevelType w:val="hybridMultilevel"/>
    <w:tmpl w:val="DA8CAEB0"/>
    <w:lvl w:ilvl="0" w:tplc="AF1C40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FE5663"/>
    <w:multiLevelType w:val="hybridMultilevel"/>
    <w:tmpl w:val="2B70E4A0"/>
    <w:lvl w:ilvl="0" w:tplc="6DD4CA8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E1424B5"/>
    <w:multiLevelType w:val="hybridMultilevel"/>
    <w:tmpl w:val="DC74DC74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6" w15:restartNumberingAfterBreak="0">
    <w:nsid w:val="522F1CDA"/>
    <w:multiLevelType w:val="hybridMultilevel"/>
    <w:tmpl w:val="FB66441C"/>
    <w:lvl w:ilvl="0" w:tplc="48BE11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F30CED"/>
    <w:multiLevelType w:val="hybridMultilevel"/>
    <w:tmpl w:val="0A5244BE"/>
    <w:lvl w:ilvl="0" w:tplc="7F9C1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21C1C78"/>
    <w:multiLevelType w:val="hybridMultilevel"/>
    <w:tmpl w:val="D33086D8"/>
    <w:lvl w:ilvl="0" w:tplc="08090019">
      <w:start w:val="1"/>
      <w:numFmt w:val="lowerLetter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C1F"/>
    <w:multiLevelType w:val="hybridMultilevel"/>
    <w:tmpl w:val="22C2DFD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3A55"/>
    <w:multiLevelType w:val="hybridMultilevel"/>
    <w:tmpl w:val="A69C4AA2"/>
    <w:lvl w:ilvl="0" w:tplc="B63CA62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3"/>
  </w:num>
  <w:num w:numId="13">
    <w:abstractNumId w:val="10"/>
  </w:num>
  <w:num w:numId="14">
    <w:abstractNumId w:val="31"/>
  </w:num>
  <w:num w:numId="15">
    <w:abstractNumId w:val="33"/>
  </w:num>
  <w:num w:numId="16">
    <w:abstractNumId w:val="27"/>
  </w:num>
  <w:num w:numId="17">
    <w:abstractNumId w:val="17"/>
  </w:num>
  <w:num w:numId="18">
    <w:abstractNumId w:val="23"/>
  </w:num>
  <w:num w:numId="19">
    <w:abstractNumId w:val="26"/>
  </w:num>
  <w:num w:numId="20">
    <w:abstractNumId w:val="15"/>
  </w:num>
  <w:num w:numId="21">
    <w:abstractNumId w:val="29"/>
  </w:num>
  <w:num w:numId="22">
    <w:abstractNumId w:val="30"/>
  </w:num>
  <w:num w:numId="23">
    <w:abstractNumId w:val="24"/>
  </w:num>
  <w:num w:numId="24">
    <w:abstractNumId w:val="14"/>
  </w:num>
  <w:num w:numId="25">
    <w:abstractNumId w:val="12"/>
  </w:num>
  <w:num w:numId="26">
    <w:abstractNumId w:val="34"/>
  </w:num>
  <w:num w:numId="27">
    <w:abstractNumId w:val="19"/>
  </w:num>
  <w:num w:numId="28">
    <w:abstractNumId w:val="16"/>
  </w:num>
  <w:num w:numId="29">
    <w:abstractNumId w:val="11"/>
  </w:num>
  <w:num w:numId="30">
    <w:abstractNumId w:val="20"/>
  </w:num>
  <w:num w:numId="31">
    <w:abstractNumId w:val="22"/>
  </w:num>
  <w:num w:numId="32">
    <w:abstractNumId w:val="21"/>
  </w:num>
  <w:num w:numId="33">
    <w:abstractNumId w:val="18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0404"/>
    <w:rsid w:val="00005CBF"/>
    <w:rsid w:val="00011932"/>
    <w:rsid w:val="000162D9"/>
    <w:rsid w:val="00021A2F"/>
    <w:rsid w:val="00023699"/>
    <w:rsid w:val="000241F2"/>
    <w:rsid w:val="000331BB"/>
    <w:rsid w:val="00042739"/>
    <w:rsid w:val="000457B4"/>
    <w:rsid w:val="00046ABB"/>
    <w:rsid w:val="00046B1F"/>
    <w:rsid w:val="00047596"/>
    <w:rsid w:val="00050F6B"/>
    <w:rsid w:val="00052358"/>
    <w:rsid w:val="000575AC"/>
    <w:rsid w:val="00057E97"/>
    <w:rsid w:val="00062888"/>
    <w:rsid w:val="000646F4"/>
    <w:rsid w:val="0006491B"/>
    <w:rsid w:val="00072C8C"/>
    <w:rsid w:val="000733B5"/>
    <w:rsid w:val="00081815"/>
    <w:rsid w:val="00082F5C"/>
    <w:rsid w:val="00083812"/>
    <w:rsid w:val="00084795"/>
    <w:rsid w:val="00085285"/>
    <w:rsid w:val="000931C0"/>
    <w:rsid w:val="00096C84"/>
    <w:rsid w:val="000A17BA"/>
    <w:rsid w:val="000A309E"/>
    <w:rsid w:val="000A7999"/>
    <w:rsid w:val="000B0203"/>
    <w:rsid w:val="000B0595"/>
    <w:rsid w:val="000B175B"/>
    <w:rsid w:val="000B3A0F"/>
    <w:rsid w:val="000B491C"/>
    <w:rsid w:val="000B4EF7"/>
    <w:rsid w:val="000B5067"/>
    <w:rsid w:val="000B5C82"/>
    <w:rsid w:val="000C2C03"/>
    <w:rsid w:val="000C2D2E"/>
    <w:rsid w:val="000C6606"/>
    <w:rsid w:val="000D08B9"/>
    <w:rsid w:val="000D3E3E"/>
    <w:rsid w:val="000E0415"/>
    <w:rsid w:val="000E0637"/>
    <w:rsid w:val="000E17F9"/>
    <w:rsid w:val="000F2981"/>
    <w:rsid w:val="000F556A"/>
    <w:rsid w:val="001005D7"/>
    <w:rsid w:val="00110035"/>
    <w:rsid w:val="001103AA"/>
    <w:rsid w:val="00110611"/>
    <w:rsid w:val="00111257"/>
    <w:rsid w:val="0011179C"/>
    <w:rsid w:val="00111A5C"/>
    <w:rsid w:val="001151B5"/>
    <w:rsid w:val="0011666B"/>
    <w:rsid w:val="00117AF7"/>
    <w:rsid w:val="00120B83"/>
    <w:rsid w:val="00121D95"/>
    <w:rsid w:val="00126DE2"/>
    <w:rsid w:val="0013299E"/>
    <w:rsid w:val="00145971"/>
    <w:rsid w:val="001531F7"/>
    <w:rsid w:val="00153C2C"/>
    <w:rsid w:val="00164FF7"/>
    <w:rsid w:val="00165F3A"/>
    <w:rsid w:val="0016663C"/>
    <w:rsid w:val="00167B69"/>
    <w:rsid w:val="0017318C"/>
    <w:rsid w:val="00173696"/>
    <w:rsid w:val="001744A3"/>
    <w:rsid w:val="00175E6F"/>
    <w:rsid w:val="00177C0F"/>
    <w:rsid w:val="001817D6"/>
    <w:rsid w:val="001937E5"/>
    <w:rsid w:val="00194FCF"/>
    <w:rsid w:val="001A1D4B"/>
    <w:rsid w:val="001A2105"/>
    <w:rsid w:val="001A2EF9"/>
    <w:rsid w:val="001A6E11"/>
    <w:rsid w:val="001A6F83"/>
    <w:rsid w:val="001B0BEA"/>
    <w:rsid w:val="001B4B04"/>
    <w:rsid w:val="001C04F9"/>
    <w:rsid w:val="001C346C"/>
    <w:rsid w:val="001C6663"/>
    <w:rsid w:val="001C6CC0"/>
    <w:rsid w:val="001C7895"/>
    <w:rsid w:val="001D0A6E"/>
    <w:rsid w:val="001D0C8C"/>
    <w:rsid w:val="001D1419"/>
    <w:rsid w:val="001D1428"/>
    <w:rsid w:val="001D26DF"/>
    <w:rsid w:val="001D3A03"/>
    <w:rsid w:val="001D4954"/>
    <w:rsid w:val="001D4AEC"/>
    <w:rsid w:val="001D7750"/>
    <w:rsid w:val="001E3EEF"/>
    <w:rsid w:val="001E4C81"/>
    <w:rsid w:val="001E7B67"/>
    <w:rsid w:val="001F1608"/>
    <w:rsid w:val="001F715D"/>
    <w:rsid w:val="00202DA8"/>
    <w:rsid w:val="00207AC3"/>
    <w:rsid w:val="00210872"/>
    <w:rsid w:val="00210C59"/>
    <w:rsid w:val="00211C35"/>
    <w:rsid w:val="00211E0B"/>
    <w:rsid w:val="002124FA"/>
    <w:rsid w:val="00216061"/>
    <w:rsid w:val="00220E47"/>
    <w:rsid w:val="00222DF8"/>
    <w:rsid w:val="00223A66"/>
    <w:rsid w:val="00224D92"/>
    <w:rsid w:val="00233B9C"/>
    <w:rsid w:val="00234DF2"/>
    <w:rsid w:val="002366CD"/>
    <w:rsid w:val="00237E67"/>
    <w:rsid w:val="0024772E"/>
    <w:rsid w:val="00250271"/>
    <w:rsid w:val="002514D4"/>
    <w:rsid w:val="00253408"/>
    <w:rsid w:val="00261ACC"/>
    <w:rsid w:val="002642EA"/>
    <w:rsid w:val="002646A4"/>
    <w:rsid w:val="00267B69"/>
    <w:rsid w:val="00267F5F"/>
    <w:rsid w:val="002709B0"/>
    <w:rsid w:val="00271AEC"/>
    <w:rsid w:val="0027401A"/>
    <w:rsid w:val="0027769C"/>
    <w:rsid w:val="002801EE"/>
    <w:rsid w:val="00282751"/>
    <w:rsid w:val="00284318"/>
    <w:rsid w:val="002864E1"/>
    <w:rsid w:val="00286B4D"/>
    <w:rsid w:val="0029372B"/>
    <w:rsid w:val="002A34C6"/>
    <w:rsid w:val="002A4C9A"/>
    <w:rsid w:val="002A5C1D"/>
    <w:rsid w:val="002A6052"/>
    <w:rsid w:val="002B5655"/>
    <w:rsid w:val="002C03AE"/>
    <w:rsid w:val="002C1C5D"/>
    <w:rsid w:val="002C27AE"/>
    <w:rsid w:val="002C4503"/>
    <w:rsid w:val="002C473F"/>
    <w:rsid w:val="002C6AC2"/>
    <w:rsid w:val="002D0CA9"/>
    <w:rsid w:val="002D1E8B"/>
    <w:rsid w:val="002D4643"/>
    <w:rsid w:val="002E00BF"/>
    <w:rsid w:val="002E2EE6"/>
    <w:rsid w:val="002E4DE5"/>
    <w:rsid w:val="002F00F1"/>
    <w:rsid w:val="002F175C"/>
    <w:rsid w:val="002F5EA4"/>
    <w:rsid w:val="00302E18"/>
    <w:rsid w:val="003069EE"/>
    <w:rsid w:val="003229D8"/>
    <w:rsid w:val="003275AD"/>
    <w:rsid w:val="00331950"/>
    <w:rsid w:val="003336F3"/>
    <w:rsid w:val="00335B79"/>
    <w:rsid w:val="003422CA"/>
    <w:rsid w:val="00344017"/>
    <w:rsid w:val="00352709"/>
    <w:rsid w:val="00353B6A"/>
    <w:rsid w:val="003548A8"/>
    <w:rsid w:val="003569C0"/>
    <w:rsid w:val="003619B5"/>
    <w:rsid w:val="00362309"/>
    <w:rsid w:val="00365763"/>
    <w:rsid w:val="00371178"/>
    <w:rsid w:val="003711BC"/>
    <w:rsid w:val="00371590"/>
    <w:rsid w:val="003733AC"/>
    <w:rsid w:val="00374A54"/>
    <w:rsid w:val="00377020"/>
    <w:rsid w:val="003776D0"/>
    <w:rsid w:val="00377F4A"/>
    <w:rsid w:val="00392E47"/>
    <w:rsid w:val="00394CC5"/>
    <w:rsid w:val="003A5B62"/>
    <w:rsid w:val="003A6810"/>
    <w:rsid w:val="003A68C9"/>
    <w:rsid w:val="003B173B"/>
    <w:rsid w:val="003B244E"/>
    <w:rsid w:val="003B2A95"/>
    <w:rsid w:val="003B4873"/>
    <w:rsid w:val="003B6749"/>
    <w:rsid w:val="003B7EC2"/>
    <w:rsid w:val="003C0075"/>
    <w:rsid w:val="003C2CC4"/>
    <w:rsid w:val="003C7018"/>
    <w:rsid w:val="003D1847"/>
    <w:rsid w:val="003D2E74"/>
    <w:rsid w:val="003D3243"/>
    <w:rsid w:val="003D4672"/>
    <w:rsid w:val="003D4B23"/>
    <w:rsid w:val="003D5C99"/>
    <w:rsid w:val="003D69FE"/>
    <w:rsid w:val="003D6C85"/>
    <w:rsid w:val="003D6CB1"/>
    <w:rsid w:val="003E130E"/>
    <w:rsid w:val="003E412E"/>
    <w:rsid w:val="003E7397"/>
    <w:rsid w:val="003E7620"/>
    <w:rsid w:val="003F485A"/>
    <w:rsid w:val="004021CB"/>
    <w:rsid w:val="004026E1"/>
    <w:rsid w:val="004066A5"/>
    <w:rsid w:val="00410C89"/>
    <w:rsid w:val="004114BC"/>
    <w:rsid w:val="00411B1E"/>
    <w:rsid w:val="00421FE8"/>
    <w:rsid w:val="00422E03"/>
    <w:rsid w:val="0042319F"/>
    <w:rsid w:val="004240EB"/>
    <w:rsid w:val="0042588A"/>
    <w:rsid w:val="00426B9B"/>
    <w:rsid w:val="00432035"/>
    <w:rsid w:val="004325CB"/>
    <w:rsid w:val="004407EC"/>
    <w:rsid w:val="00440BE8"/>
    <w:rsid w:val="00442A83"/>
    <w:rsid w:val="00444C42"/>
    <w:rsid w:val="0045495B"/>
    <w:rsid w:val="004561E5"/>
    <w:rsid w:val="004570B1"/>
    <w:rsid w:val="004670A3"/>
    <w:rsid w:val="00471279"/>
    <w:rsid w:val="004732BE"/>
    <w:rsid w:val="0047379F"/>
    <w:rsid w:val="0048397A"/>
    <w:rsid w:val="00485CBB"/>
    <w:rsid w:val="004866B7"/>
    <w:rsid w:val="0049538E"/>
    <w:rsid w:val="00497286"/>
    <w:rsid w:val="004A27BC"/>
    <w:rsid w:val="004A2BD3"/>
    <w:rsid w:val="004A5098"/>
    <w:rsid w:val="004A6F63"/>
    <w:rsid w:val="004B1837"/>
    <w:rsid w:val="004B2EAF"/>
    <w:rsid w:val="004C0956"/>
    <w:rsid w:val="004C2461"/>
    <w:rsid w:val="004C68EB"/>
    <w:rsid w:val="004C7462"/>
    <w:rsid w:val="004D0588"/>
    <w:rsid w:val="004D1404"/>
    <w:rsid w:val="004D33EE"/>
    <w:rsid w:val="004D6F26"/>
    <w:rsid w:val="004E21EC"/>
    <w:rsid w:val="004E6FFC"/>
    <w:rsid w:val="004E77B2"/>
    <w:rsid w:val="004F39E8"/>
    <w:rsid w:val="004F780D"/>
    <w:rsid w:val="0050113C"/>
    <w:rsid w:val="00504B2D"/>
    <w:rsid w:val="00506CD9"/>
    <w:rsid w:val="0051360B"/>
    <w:rsid w:val="0052136D"/>
    <w:rsid w:val="00522680"/>
    <w:rsid w:val="0052775E"/>
    <w:rsid w:val="0053784E"/>
    <w:rsid w:val="00537E79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839DF"/>
    <w:rsid w:val="00584116"/>
    <w:rsid w:val="00591D4E"/>
    <w:rsid w:val="005923DE"/>
    <w:rsid w:val="005941EC"/>
    <w:rsid w:val="005958A0"/>
    <w:rsid w:val="00596156"/>
    <w:rsid w:val="0059724D"/>
    <w:rsid w:val="005A1A08"/>
    <w:rsid w:val="005A2E0F"/>
    <w:rsid w:val="005A454F"/>
    <w:rsid w:val="005A7D56"/>
    <w:rsid w:val="005B3DB3"/>
    <w:rsid w:val="005B4E13"/>
    <w:rsid w:val="005C034F"/>
    <w:rsid w:val="005C0744"/>
    <w:rsid w:val="005C342F"/>
    <w:rsid w:val="005D0D8E"/>
    <w:rsid w:val="005D11A0"/>
    <w:rsid w:val="005D36CF"/>
    <w:rsid w:val="005D4078"/>
    <w:rsid w:val="005D4D80"/>
    <w:rsid w:val="005D7CAC"/>
    <w:rsid w:val="005E0F95"/>
    <w:rsid w:val="005E1EBD"/>
    <w:rsid w:val="005E526F"/>
    <w:rsid w:val="005E5BC9"/>
    <w:rsid w:val="005F5489"/>
    <w:rsid w:val="005F7B75"/>
    <w:rsid w:val="006001EE"/>
    <w:rsid w:val="006005F7"/>
    <w:rsid w:val="00602BBA"/>
    <w:rsid w:val="006033AF"/>
    <w:rsid w:val="006039E1"/>
    <w:rsid w:val="00605042"/>
    <w:rsid w:val="0060603F"/>
    <w:rsid w:val="00611C4D"/>
    <w:rsid w:val="00611FC4"/>
    <w:rsid w:val="006156A8"/>
    <w:rsid w:val="00615BAD"/>
    <w:rsid w:val="006168D5"/>
    <w:rsid w:val="006176FB"/>
    <w:rsid w:val="00617E96"/>
    <w:rsid w:val="0063012C"/>
    <w:rsid w:val="00630E43"/>
    <w:rsid w:val="0063586A"/>
    <w:rsid w:val="00636B88"/>
    <w:rsid w:val="00636F0C"/>
    <w:rsid w:val="006404E9"/>
    <w:rsid w:val="00640B26"/>
    <w:rsid w:val="0064142C"/>
    <w:rsid w:val="0065178B"/>
    <w:rsid w:val="00652D0A"/>
    <w:rsid w:val="00662BB6"/>
    <w:rsid w:val="00662CFB"/>
    <w:rsid w:val="006642B6"/>
    <w:rsid w:val="006720C3"/>
    <w:rsid w:val="00672FDA"/>
    <w:rsid w:val="00673D08"/>
    <w:rsid w:val="00675849"/>
    <w:rsid w:val="00676606"/>
    <w:rsid w:val="00682257"/>
    <w:rsid w:val="00684C21"/>
    <w:rsid w:val="006904BE"/>
    <w:rsid w:val="0069094D"/>
    <w:rsid w:val="006924F6"/>
    <w:rsid w:val="00695084"/>
    <w:rsid w:val="0069788C"/>
    <w:rsid w:val="006A2530"/>
    <w:rsid w:val="006A32FE"/>
    <w:rsid w:val="006A4C4E"/>
    <w:rsid w:val="006A681C"/>
    <w:rsid w:val="006B7DD7"/>
    <w:rsid w:val="006C1AF1"/>
    <w:rsid w:val="006C3589"/>
    <w:rsid w:val="006C74F5"/>
    <w:rsid w:val="006D37AF"/>
    <w:rsid w:val="006D51D0"/>
    <w:rsid w:val="006D5FB9"/>
    <w:rsid w:val="006E0AEF"/>
    <w:rsid w:val="006E1D88"/>
    <w:rsid w:val="006E200F"/>
    <w:rsid w:val="006E564B"/>
    <w:rsid w:val="006E5927"/>
    <w:rsid w:val="006E7191"/>
    <w:rsid w:val="007011A3"/>
    <w:rsid w:val="00703577"/>
    <w:rsid w:val="007047A9"/>
    <w:rsid w:val="00705894"/>
    <w:rsid w:val="007070F6"/>
    <w:rsid w:val="00711C0E"/>
    <w:rsid w:val="00724C17"/>
    <w:rsid w:val="0072632A"/>
    <w:rsid w:val="007327D5"/>
    <w:rsid w:val="0073593C"/>
    <w:rsid w:val="00737E7A"/>
    <w:rsid w:val="007443BE"/>
    <w:rsid w:val="00750B9B"/>
    <w:rsid w:val="00752B30"/>
    <w:rsid w:val="007550EC"/>
    <w:rsid w:val="0076168F"/>
    <w:rsid w:val="00761CC6"/>
    <w:rsid w:val="007629C8"/>
    <w:rsid w:val="0076669C"/>
    <w:rsid w:val="0077047D"/>
    <w:rsid w:val="007708A5"/>
    <w:rsid w:val="00774FD5"/>
    <w:rsid w:val="0077538A"/>
    <w:rsid w:val="0077564A"/>
    <w:rsid w:val="007851CB"/>
    <w:rsid w:val="0078592C"/>
    <w:rsid w:val="0078681D"/>
    <w:rsid w:val="007877FC"/>
    <w:rsid w:val="00792537"/>
    <w:rsid w:val="007931F7"/>
    <w:rsid w:val="007A0D0E"/>
    <w:rsid w:val="007A736A"/>
    <w:rsid w:val="007B2176"/>
    <w:rsid w:val="007B249A"/>
    <w:rsid w:val="007B292B"/>
    <w:rsid w:val="007B5332"/>
    <w:rsid w:val="007B6BA5"/>
    <w:rsid w:val="007C3390"/>
    <w:rsid w:val="007C38EF"/>
    <w:rsid w:val="007C4F4B"/>
    <w:rsid w:val="007C554F"/>
    <w:rsid w:val="007D3162"/>
    <w:rsid w:val="007D4273"/>
    <w:rsid w:val="007D784A"/>
    <w:rsid w:val="007E01E9"/>
    <w:rsid w:val="007E598F"/>
    <w:rsid w:val="007E63F3"/>
    <w:rsid w:val="007F01FE"/>
    <w:rsid w:val="007F32E1"/>
    <w:rsid w:val="007F365B"/>
    <w:rsid w:val="007F3F1D"/>
    <w:rsid w:val="007F6611"/>
    <w:rsid w:val="00800E7D"/>
    <w:rsid w:val="00804EA5"/>
    <w:rsid w:val="0081086B"/>
    <w:rsid w:val="00811920"/>
    <w:rsid w:val="00812691"/>
    <w:rsid w:val="00812BD8"/>
    <w:rsid w:val="00813BB6"/>
    <w:rsid w:val="00815AD0"/>
    <w:rsid w:val="00816F53"/>
    <w:rsid w:val="00823053"/>
    <w:rsid w:val="008242D7"/>
    <w:rsid w:val="008254F7"/>
    <w:rsid w:val="008257B1"/>
    <w:rsid w:val="00826FDE"/>
    <w:rsid w:val="0082782C"/>
    <w:rsid w:val="00831023"/>
    <w:rsid w:val="00832334"/>
    <w:rsid w:val="00843767"/>
    <w:rsid w:val="00855224"/>
    <w:rsid w:val="0085526B"/>
    <w:rsid w:val="0085728C"/>
    <w:rsid w:val="008600BB"/>
    <w:rsid w:val="00861A49"/>
    <w:rsid w:val="00863BAA"/>
    <w:rsid w:val="00863F32"/>
    <w:rsid w:val="008679D9"/>
    <w:rsid w:val="008721AC"/>
    <w:rsid w:val="008731E4"/>
    <w:rsid w:val="008734D8"/>
    <w:rsid w:val="00873D68"/>
    <w:rsid w:val="0087461F"/>
    <w:rsid w:val="00875766"/>
    <w:rsid w:val="00886D41"/>
    <w:rsid w:val="008878DE"/>
    <w:rsid w:val="0089025B"/>
    <w:rsid w:val="0089303C"/>
    <w:rsid w:val="00894669"/>
    <w:rsid w:val="008949DA"/>
    <w:rsid w:val="00895BAB"/>
    <w:rsid w:val="008979B1"/>
    <w:rsid w:val="008A50EE"/>
    <w:rsid w:val="008A55D0"/>
    <w:rsid w:val="008A6B25"/>
    <w:rsid w:val="008A6C4F"/>
    <w:rsid w:val="008B2335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5446"/>
    <w:rsid w:val="008F6431"/>
    <w:rsid w:val="008F6553"/>
    <w:rsid w:val="008F77FA"/>
    <w:rsid w:val="00903ED5"/>
    <w:rsid w:val="0090465E"/>
    <w:rsid w:val="0090552E"/>
    <w:rsid w:val="00907350"/>
    <w:rsid w:val="00914B7C"/>
    <w:rsid w:val="009166EB"/>
    <w:rsid w:val="00917FDE"/>
    <w:rsid w:val="00920CA3"/>
    <w:rsid w:val="009215C9"/>
    <w:rsid w:val="009223CA"/>
    <w:rsid w:val="00922C88"/>
    <w:rsid w:val="00922F9C"/>
    <w:rsid w:val="00923EBD"/>
    <w:rsid w:val="0092434D"/>
    <w:rsid w:val="00931EB3"/>
    <w:rsid w:val="00932F16"/>
    <w:rsid w:val="009332EC"/>
    <w:rsid w:val="00933D40"/>
    <w:rsid w:val="00936E4A"/>
    <w:rsid w:val="00940F93"/>
    <w:rsid w:val="00944DC0"/>
    <w:rsid w:val="00952B80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0C49"/>
    <w:rsid w:val="009941AF"/>
    <w:rsid w:val="0099747B"/>
    <w:rsid w:val="009A0830"/>
    <w:rsid w:val="009A0E8D"/>
    <w:rsid w:val="009A25AE"/>
    <w:rsid w:val="009A2F52"/>
    <w:rsid w:val="009A55EA"/>
    <w:rsid w:val="009A5C6E"/>
    <w:rsid w:val="009A6244"/>
    <w:rsid w:val="009A63B8"/>
    <w:rsid w:val="009A776B"/>
    <w:rsid w:val="009A7D9E"/>
    <w:rsid w:val="009B26E7"/>
    <w:rsid w:val="009B7A75"/>
    <w:rsid w:val="009D6B04"/>
    <w:rsid w:val="009E076B"/>
    <w:rsid w:val="009E5596"/>
    <w:rsid w:val="009E7286"/>
    <w:rsid w:val="009F3DEC"/>
    <w:rsid w:val="00A00697"/>
    <w:rsid w:val="00A00A3F"/>
    <w:rsid w:val="00A01489"/>
    <w:rsid w:val="00A046A3"/>
    <w:rsid w:val="00A144E6"/>
    <w:rsid w:val="00A20173"/>
    <w:rsid w:val="00A3026E"/>
    <w:rsid w:val="00A32DEF"/>
    <w:rsid w:val="00A338F1"/>
    <w:rsid w:val="00A35BE0"/>
    <w:rsid w:val="00A4373C"/>
    <w:rsid w:val="00A466D3"/>
    <w:rsid w:val="00A547E5"/>
    <w:rsid w:val="00A54C24"/>
    <w:rsid w:val="00A568EC"/>
    <w:rsid w:val="00A6129C"/>
    <w:rsid w:val="00A64802"/>
    <w:rsid w:val="00A65994"/>
    <w:rsid w:val="00A678E0"/>
    <w:rsid w:val="00A72178"/>
    <w:rsid w:val="00A72F22"/>
    <w:rsid w:val="00A7360F"/>
    <w:rsid w:val="00A748A6"/>
    <w:rsid w:val="00A769F4"/>
    <w:rsid w:val="00A776B4"/>
    <w:rsid w:val="00A77EA9"/>
    <w:rsid w:val="00A810E5"/>
    <w:rsid w:val="00A820AF"/>
    <w:rsid w:val="00A86C48"/>
    <w:rsid w:val="00A94361"/>
    <w:rsid w:val="00A946B9"/>
    <w:rsid w:val="00A94E4B"/>
    <w:rsid w:val="00A968C1"/>
    <w:rsid w:val="00AA0E03"/>
    <w:rsid w:val="00AA293C"/>
    <w:rsid w:val="00AA5E3A"/>
    <w:rsid w:val="00AA626D"/>
    <w:rsid w:val="00AA6B02"/>
    <w:rsid w:val="00AA72DC"/>
    <w:rsid w:val="00AB3532"/>
    <w:rsid w:val="00AB5C99"/>
    <w:rsid w:val="00AC3F1A"/>
    <w:rsid w:val="00AC4B9C"/>
    <w:rsid w:val="00AC4D43"/>
    <w:rsid w:val="00AC701E"/>
    <w:rsid w:val="00AD4C32"/>
    <w:rsid w:val="00AE08F1"/>
    <w:rsid w:val="00AE1A66"/>
    <w:rsid w:val="00AE2E12"/>
    <w:rsid w:val="00AE5D9B"/>
    <w:rsid w:val="00AF0EA9"/>
    <w:rsid w:val="00B0107C"/>
    <w:rsid w:val="00B078C8"/>
    <w:rsid w:val="00B131A6"/>
    <w:rsid w:val="00B13AAB"/>
    <w:rsid w:val="00B15F1E"/>
    <w:rsid w:val="00B170C8"/>
    <w:rsid w:val="00B203D8"/>
    <w:rsid w:val="00B267DD"/>
    <w:rsid w:val="00B30179"/>
    <w:rsid w:val="00B33B8F"/>
    <w:rsid w:val="00B34076"/>
    <w:rsid w:val="00B35CD5"/>
    <w:rsid w:val="00B368E3"/>
    <w:rsid w:val="00B40092"/>
    <w:rsid w:val="00B421C1"/>
    <w:rsid w:val="00B53483"/>
    <w:rsid w:val="00B55C71"/>
    <w:rsid w:val="00B567A2"/>
    <w:rsid w:val="00B56E4A"/>
    <w:rsid w:val="00B56E9C"/>
    <w:rsid w:val="00B57BEB"/>
    <w:rsid w:val="00B6032E"/>
    <w:rsid w:val="00B64B1F"/>
    <w:rsid w:val="00B6553F"/>
    <w:rsid w:val="00B7025D"/>
    <w:rsid w:val="00B71D3B"/>
    <w:rsid w:val="00B72BE1"/>
    <w:rsid w:val="00B74C28"/>
    <w:rsid w:val="00B777AE"/>
    <w:rsid w:val="00B77D05"/>
    <w:rsid w:val="00B81206"/>
    <w:rsid w:val="00B81E12"/>
    <w:rsid w:val="00B82DBC"/>
    <w:rsid w:val="00B876F7"/>
    <w:rsid w:val="00B96BDE"/>
    <w:rsid w:val="00B97FAC"/>
    <w:rsid w:val="00BA3211"/>
    <w:rsid w:val="00BB3F2F"/>
    <w:rsid w:val="00BB5DDB"/>
    <w:rsid w:val="00BB6C83"/>
    <w:rsid w:val="00BC3FA0"/>
    <w:rsid w:val="00BC5010"/>
    <w:rsid w:val="00BC74E9"/>
    <w:rsid w:val="00BD43A5"/>
    <w:rsid w:val="00BE17EF"/>
    <w:rsid w:val="00BE2723"/>
    <w:rsid w:val="00BE3161"/>
    <w:rsid w:val="00BE4F5E"/>
    <w:rsid w:val="00BE6A9A"/>
    <w:rsid w:val="00BF0CF2"/>
    <w:rsid w:val="00BF2EF3"/>
    <w:rsid w:val="00BF48D9"/>
    <w:rsid w:val="00BF5179"/>
    <w:rsid w:val="00BF5486"/>
    <w:rsid w:val="00BF67DE"/>
    <w:rsid w:val="00BF68A8"/>
    <w:rsid w:val="00BF76F9"/>
    <w:rsid w:val="00C100FC"/>
    <w:rsid w:val="00C11A03"/>
    <w:rsid w:val="00C14EC4"/>
    <w:rsid w:val="00C17B9D"/>
    <w:rsid w:val="00C22A49"/>
    <w:rsid w:val="00C22C0C"/>
    <w:rsid w:val="00C25CAF"/>
    <w:rsid w:val="00C2766D"/>
    <w:rsid w:val="00C32512"/>
    <w:rsid w:val="00C33EF1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22C7"/>
    <w:rsid w:val="00C745C3"/>
    <w:rsid w:val="00C75A4D"/>
    <w:rsid w:val="00C75D0C"/>
    <w:rsid w:val="00C83CB3"/>
    <w:rsid w:val="00C851E1"/>
    <w:rsid w:val="00C91922"/>
    <w:rsid w:val="00C91F20"/>
    <w:rsid w:val="00C933EF"/>
    <w:rsid w:val="00C96632"/>
    <w:rsid w:val="00C96DF2"/>
    <w:rsid w:val="00C97150"/>
    <w:rsid w:val="00CA0C67"/>
    <w:rsid w:val="00CA31C6"/>
    <w:rsid w:val="00CA522C"/>
    <w:rsid w:val="00CA6D93"/>
    <w:rsid w:val="00CA7D2A"/>
    <w:rsid w:val="00CB0F53"/>
    <w:rsid w:val="00CB3E03"/>
    <w:rsid w:val="00CC2893"/>
    <w:rsid w:val="00CC32F2"/>
    <w:rsid w:val="00CC5BC3"/>
    <w:rsid w:val="00CC640E"/>
    <w:rsid w:val="00CD1B04"/>
    <w:rsid w:val="00CD4AA6"/>
    <w:rsid w:val="00CD6BFA"/>
    <w:rsid w:val="00CE37CD"/>
    <w:rsid w:val="00CE4A8F"/>
    <w:rsid w:val="00CF17A2"/>
    <w:rsid w:val="00CF299F"/>
    <w:rsid w:val="00CF4164"/>
    <w:rsid w:val="00D00EBF"/>
    <w:rsid w:val="00D026E9"/>
    <w:rsid w:val="00D02987"/>
    <w:rsid w:val="00D04C98"/>
    <w:rsid w:val="00D11F71"/>
    <w:rsid w:val="00D12F38"/>
    <w:rsid w:val="00D13D3B"/>
    <w:rsid w:val="00D14EC0"/>
    <w:rsid w:val="00D156F3"/>
    <w:rsid w:val="00D2031B"/>
    <w:rsid w:val="00D21BAC"/>
    <w:rsid w:val="00D22F3A"/>
    <w:rsid w:val="00D248B6"/>
    <w:rsid w:val="00D249D3"/>
    <w:rsid w:val="00D25E79"/>
    <w:rsid w:val="00D25FE2"/>
    <w:rsid w:val="00D275F5"/>
    <w:rsid w:val="00D3022D"/>
    <w:rsid w:val="00D3271D"/>
    <w:rsid w:val="00D329C1"/>
    <w:rsid w:val="00D35A18"/>
    <w:rsid w:val="00D37B31"/>
    <w:rsid w:val="00D37C72"/>
    <w:rsid w:val="00D4244C"/>
    <w:rsid w:val="00D43178"/>
    <w:rsid w:val="00D43252"/>
    <w:rsid w:val="00D437E2"/>
    <w:rsid w:val="00D46113"/>
    <w:rsid w:val="00D47EEA"/>
    <w:rsid w:val="00D500EA"/>
    <w:rsid w:val="00D5044D"/>
    <w:rsid w:val="00D52237"/>
    <w:rsid w:val="00D61562"/>
    <w:rsid w:val="00D62FFB"/>
    <w:rsid w:val="00D654EE"/>
    <w:rsid w:val="00D715F2"/>
    <w:rsid w:val="00D773DF"/>
    <w:rsid w:val="00D858D0"/>
    <w:rsid w:val="00D85CDA"/>
    <w:rsid w:val="00D95303"/>
    <w:rsid w:val="00D9672F"/>
    <w:rsid w:val="00D978C6"/>
    <w:rsid w:val="00DA1781"/>
    <w:rsid w:val="00DA3C1C"/>
    <w:rsid w:val="00DB12D7"/>
    <w:rsid w:val="00DB3518"/>
    <w:rsid w:val="00DB5C6F"/>
    <w:rsid w:val="00DB6987"/>
    <w:rsid w:val="00DC1BB3"/>
    <w:rsid w:val="00DC1C1D"/>
    <w:rsid w:val="00DC393A"/>
    <w:rsid w:val="00DC3BCF"/>
    <w:rsid w:val="00DC7544"/>
    <w:rsid w:val="00DD1088"/>
    <w:rsid w:val="00DE06E3"/>
    <w:rsid w:val="00DE0F70"/>
    <w:rsid w:val="00DE6B06"/>
    <w:rsid w:val="00DF0998"/>
    <w:rsid w:val="00DF4D79"/>
    <w:rsid w:val="00DF5FF4"/>
    <w:rsid w:val="00DF6C17"/>
    <w:rsid w:val="00DF6C26"/>
    <w:rsid w:val="00E03893"/>
    <w:rsid w:val="00E046DF"/>
    <w:rsid w:val="00E04D2A"/>
    <w:rsid w:val="00E071C4"/>
    <w:rsid w:val="00E2083E"/>
    <w:rsid w:val="00E20B22"/>
    <w:rsid w:val="00E214F0"/>
    <w:rsid w:val="00E22415"/>
    <w:rsid w:val="00E27346"/>
    <w:rsid w:val="00E27B0C"/>
    <w:rsid w:val="00E30619"/>
    <w:rsid w:val="00E352DB"/>
    <w:rsid w:val="00E37533"/>
    <w:rsid w:val="00E43BF2"/>
    <w:rsid w:val="00E5372B"/>
    <w:rsid w:val="00E64C3B"/>
    <w:rsid w:val="00E64CFF"/>
    <w:rsid w:val="00E70BBC"/>
    <w:rsid w:val="00E71BC8"/>
    <w:rsid w:val="00E7260F"/>
    <w:rsid w:val="00E73F5D"/>
    <w:rsid w:val="00E77E4E"/>
    <w:rsid w:val="00E81B69"/>
    <w:rsid w:val="00E94ED4"/>
    <w:rsid w:val="00E96630"/>
    <w:rsid w:val="00E97BAF"/>
    <w:rsid w:val="00EA3FC3"/>
    <w:rsid w:val="00EB09F5"/>
    <w:rsid w:val="00EB3B4B"/>
    <w:rsid w:val="00EC0F6D"/>
    <w:rsid w:val="00EC60D8"/>
    <w:rsid w:val="00ED1F7B"/>
    <w:rsid w:val="00ED7297"/>
    <w:rsid w:val="00ED7A2A"/>
    <w:rsid w:val="00EE105C"/>
    <w:rsid w:val="00EE28EE"/>
    <w:rsid w:val="00EE3DC9"/>
    <w:rsid w:val="00EE5A98"/>
    <w:rsid w:val="00EE5EA4"/>
    <w:rsid w:val="00EE677F"/>
    <w:rsid w:val="00EF1D7F"/>
    <w:rsid w:val="00EF4C20"/>
    <w:rsid w:val="00F015F8"/>
    <w:rsid w:val="00F01912"/>
    <w:rsid w:val="00F055EF"/>
    <w:rsid w:val="00F12D83"/>
    <w:rsid w:val="00F15436"/>
    <w:rsid w:val="00F23D5B"/>
    <w:rsid w:val="00F259E5"/>
    <w:rsid w:val="00F31E5F"/>
    <w:rsid w:val="00F333A2"/>
    <w:rsid w:val="00F35130"/>
    <w:rsid w:val="00F35758"/>
    <w:rsid w:val="00F36F52"/>
    <w:rsid w:val="00F42032"/>
    <w:rsid w:val="00F464D2"/>
    <w:rsid w:val="00F46F39"/>
    <w:rsid w:val="00F52C77"/>
    <w:rsid w:val="00F52CA2"/>
    <w:rsid w:val="00F55403"/>
    <w:rsid w:val="00F6100A"/>
    <w:rsid w:val="00F64288"/>
    <w:rsid w:val="00F64473"/>
    <w:rsid w:val="00F65B0C"/>
    <w:rsid w:val="00F66C5E"/>
    <w:rsid w:val="00F71BEF"/>
    <w:rsid w:val="00F7208B"/>
    <w:rsid w:val="00F75087"/>
    <w:rsid w:val="00F8066F"/>
    <w:rsid w:val="00F85313"/>
    <w:rsid w:val="00F87036"/>
    <w:rsid w:val="00F93781"/>
    <w:rsid w:val="00F95073"/>
    <w:rsid w:val="00FA14C5"/>
    <w:rsid w:val="00FA7D6D"/>
    <w:rsid w:val="00FB014F"/>
    <w:rsid w:val="00FB2D0F"/>
    <w:rsid w:val="00FB4929"/>
    <w:rsid w:val="00FB613B"/>
    <w:rsid w:val="00FB6D29"/>
    <w:rsid w:val="00FC2A99"/>
    <w:rsid w:val="00FC2F97"/>
    <w:rsid w:val="00FC42E5"/>
    <w:rsid w:val="00FC67FE"/>
    <w:rsid w:val="00FC68B7"/>
    <w:rsid w:val="00FC7162"/>
    <w:rsid w:val="00FD39C5"/>
    <w:rsid w:val="00FD3F98"/>
    <w:rsid w:val="00FD45B6"/>
    <w:rsid w:val="00FD67D2"/>
    <w:rsid w:val="00FE0808"/>
    <w:rsid w:val="00FE106A"/>
    <w:rsid w:val="00FE757F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63C82"/>
  <w15:docId w15:val="{E1B5E245-8F4E-4755-A70D-0D66FA50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DE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uiPriority w:val="99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H1GChar">
    <w:name w:val="_ H_1_G Char"/>
    <w:link w:val="H1G"/>
    <w:uiPriority w:val="99"/>
    <w:rsid w:val="00711C0E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C2A9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C1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A5C1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A5C1D"/>
    <w:rPr>
      <w:b/>
      <w:bCs/>
      <w:lang w:eastAsia="en-US"/>
    </w:rPr>
  </w:style>
  <w:style w:type="paragraph" w:styleId="Revision">
    <w:name w:val="Revision"/>
    <w:hidden/>
    <w:uiPriority w:val="99"/>
    <w:semiHidden/>
    <w:rsid w:val="00506CD9"/>
    <w:rPr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6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ece.org/sites/default/files/2021-04/ECE-TRANS-WP15-109-GE-inf12e.pdf" TargetMode="External"/><Relationship Id="rId18" Type="http://schemas.openxmlformats.org/officeDocument/2006/relationships/hyperlink" Target="https://unece.org/sites/default/files/2021-08/ECE-TRANS-WP15-2021-10e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unece.org/fileadmin/DAM/trans/doc/2020/dgwp15/ECE-TRANS-WP15-108-GE-inf25e.pdf" TargetMode="External"/><Relationship Id="rId17" Type="http://schemas.openxmlformats.org/officeDocument/2006/relationships/hyperlink" Target="https://unece.org/sites/default/files/2021-04/ECE-TRANS-WP15-109-GE-inf12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sites/default/files/2021-04/ECE-TRANS-WP15-109-GE-inf12e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fileadmin/DAM/trans/doc/2020/dgwp15/ECE-TRANS-WP15-108-GE-inf5e_01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nece.org/fileadmin/DAM/trans/doc/2020/dgwp15/ECE-TRANS-WP15-108-GE-inf25e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ece.org/sites/default/files/2021-08/ECE-TRANS-WP15-2021-10e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44C2D-8B8E-42FF-8D3A-A6E24FD86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A454D-F0EC-4E4B-B337-B47FC8338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AB051-CCDA-42A4-A167-936AB4C724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E06EB-FCA5-4F39-90B6-A03B61B89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Mansion</dc:creator>
  <cp:keywords/>
  <dc:description/>
  <cp:lastModifiedBy>Editorial</cp:lastModifiedBy>
  <cp:revision>15</cp:revision>
  <cp:lastPrinted>2021-10-04T14:40:00Z</cp:lastPrinted>
  <dcterms:created xsi:type="dcterms:W3CDTF">2021-10-15T12:52:00Z</dcterms:created>
  <dcterms:modified xsi:type="dcterms:W3CDTF">2021-10-19T06:45:00Z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