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C77C8" w:rsidRPr="0036534E" w14:paraId="01C261F4" w14:textId="77777777" w:rsidTr="001C77C8">
        <w:trPr>
          <w:cantSplit/>
          <w:trHeight w:hRule="exact" w:val="851"/>
        </w:trPr>
        <w:tc>
          <w:tcPr>
            <w:tcW w:w="1276" w:type="dxa"/>
            <w:tcBorders>
              <w:bottom w:val="single" w:sz="4" w:space="0" w:color="auto"/>
            </w:tcBorders>
            <w:vAlign w:val="bottom"/>
          </w:tcPr>
          <w:p w14:paraId="6C0EE836" w14:textId="77777777" w:rsidR="001C77C8" w:rsidRPr="0036534E" w:rsidRDefault="001C77C8" w:rsidP="001C77C8">
            <w:pPr>
              <w:rPr>
                <w:lang w:val="fr-FR"/>
              </w:rPr>
            </w:pPr>
          </w:p>
        </w:tc>
        <w:tc>
          <w:tcPr>
            <w:tcW w:w="2268" w:type="dxa"/>
            <w:tcBorders>
              <w:bottom w:val="single" w:sz="4" w:space="0" w:color="auto"/>
            </w:tcBorders>
            <w:vAlign w:val="bottom"/>
          </w:tcPr>
          <w:p w14:paraId="12EF4BD1" w14:textId="77777777" w:rsidR="001C77C8" w:rsidRPr="0036534E" w:rsidRDefault="001C77C8" w:rsidP="001C77C8">
            <w:pPr>
              <w:rPr>
                <w:b/>
                <w:sz w:val="24"/>
                <w:szCs w:val="24"/>
                <w:lang w:val="fr-FR"/>
              </w:rPr>
            </w:pPr>
          </w:p>
        </w:tc>
        <w:tc>
          <w:tcPr>
            <w:tcW w:w="6095" w:type="dxa"/>
            <w:gridSpan w:val="2"/>
            <w:tcBorders>
              <w:bottom w:val="single" w:sz="4" w:space="0" w:color="auto"/>
            </w:tcBorders>
            <w:vAlign w:val="bottom"/>
          </w:tcPr>
          <w:p w14:paraId="013C4F7F" w14:textId="77777777" w:rsidR="001C77C8" w:rsidRPr="00EE5FD0" w:rsidRDefault="001C77C8" w:rsidP="00EE5FD0">
            <w:pPr>
              <w:jc w:val="right"/>
              <w:rPr>
                <w:sz w:val="40"/>
                <w:lang w:val="fr-FR"/>
              </w:rPr>
            </w:pPr>
          </w:p>
        </w:tc>
      </w:tr>
      <w:tr w:rsidR="001C77C8" w:rsidRPr="00BB5E2D" w14:paraId="039C97DC" w14:textId="77777777" w:rsidTr="001C77C8">
        <w:trPr>
          <w:cantSplit/>
          <w:trHeight w:hRule="exact" w:val="2835"/>
        </w:trPr>
        <w:tc>
          <w:tcPr>
            <w:tcW w:w="1276" w:type="dxa"/>
            <w:tcBorders>
              <w:top w:val="single" w:sz="4" w:space="0" w:color="auto"/>
              <w:bottom w:val="single" w:sz="12" w:space="0" w:color="auto"/>
            </w:tcBorders>
          </w:tcPr>
          <w:p w14:paraId="19348491" w14:textId="77777777" w:rsidR="001C77C8" w:rsidRPr="0036534E" w:rsidRDefault="001C77C8" w:rsidP="001C77C8">
            <w:pPr>
              <w:spacing w:before="120"/>
              <w:rPr>
                <w:lang w:val="fr-FR"/>
              </w:rPr>
            </w:pPr>
          </w:p>
        </w:tc>
        <w:tc>
          <w:tcPr>
            <w:tcW w:w="5528" w:type="dxa"/>
            <w:gridSpan w:val="2"/>
            <w:tcBorders>
              <w:top w:val="single" w:sz="4" w:space="0" w:color="auto"/>
              <w:bottom w:val="single" w:sz="12" w:space="0" w:color="auto"/>
            </w:tcBorders>
          </w:tcPr>
          <w:p w14:paraId="0ECE7320" w14:textId="77777777" w:rsidR="001C77C8" w:rsidRPr="0036534E" w:rsidRDefault="001C77C8" w:rsidP="001C77C8">
            <w:pPr>
              <w:spacing w:before="120"/>
              <w:rPr>
                <w:lang w:val="fr-FR"/>
              </w:rPr>
            </w:pPr>
          </w:p>
        </w:tc>
        <w:tc>
          <w:tcPr>
            <w:tcW w:w="2835" w:type="dxa"/>
            <w:tcBorders>
              <w:top w:val="single" w:sz="4" w:space="0" w:color="auto"/>
              <w:bottom w:val="single" w:sz="12" w:space="0" w:color="auto"/>
            </w:tcBorders>
          </w:tcPr>
          <w:p w14:paraId="21233F8C" w14:textId="74F47268" w:rsidR="00EE5FD0" w:rsidRPr="00BB5E2D" w:rsidRDefault="00EE5FD0" w:rsidP="002B3408">
            <w:pPr>
              <w:spacing w:before="240" w:after="120" w:line="240" w:lineRule="exact"/>
              <w:jc w:val="right"/>
              <w:rPr>
                <w:b/>
                <w:lang w:val="en-GB"/>
              </w:rPr>
            </w:pPr>
            <w:proofErr w:type="spellStart"/>
            <w:r w:rsidRPr="00BB5E2D">
              <w:rPr>
                <w:b/>
                <w:lang w:val="en-GB"/>
              </w:rPr>
              <w:t>Rectificatif</w:t>
            </w:r>
            <w:proofErr w:type="spellEnd"/>
            <w:r w:rsidRPr="00BB5E2D">
              <w:rPr>
                <w:b/>
                <w:lang w:val="en-GB"/>
              </w:rPr>
              <w:br/>
              <w:t xml:space="preserve">Ref. Sales No.: </w:t>
            </w:r>
            <w:proofErr w:type="gramStart"/>
            <w:r w:rsidRPr="00BB5E2D">
              <w:rPr>
                <w:b/>
                <w:lang w:val="en-GB"/>
              </w:rPr>
              <w:t>F.</w:t>
            </w:r>
            <w:r w:rsidR="00F339D4" w:rsidRPr="00BB5E2D">
              <w:rPr>
                <w:b/>
                <w:lang w:val="en-GB"/>
              </w:rPr>
              <w:t>19</w:t>
            </w:r>
            <w:r w:rsidRPr="00BB5E2D">
              <w:rPr>
                <w:b/>
                <w:lang w:val="en-GB"/>
              </w:rPr>
              <w:t>.II.E.</w:t>
            </w:r>
            <w:proofErr w:type="gramEnd"/>
            <w:r w:rsidR="00F339D4" w:rsidRPr="00BB5E2D">
              <w:rPr>
                <w:b/>
                <w:lang w:val="en-GB"/>
              </w:rPr>
              <w:t>21</w:t>
            </w:r>
            <w:r w:rsidRPr="00BB5E2D">
              <w:rPr>
                <w:b/>
                <w:lang w:val="en-GB"/>
              </w:rPr>
              <w:br/>
              <w:t>(ST/SG/AC.10/30/Rev.</w:t>
            </w:r>
            <w:r w:rsidR="00F339D4" w:rsidRPr="00BB5E2D">
              <w:rPr>
                <w:b/>
                <w:lang w:val="en-GB"/>
              </w:rPr>
              <w:t>8</w:t>
            </w:r>
            <w:r w:rsidRPr="00BB5E2D">
              <w:rPr>
                <w:b/>
                <w:lang w:val="en-GB"/>
              </w:rPr>
              <w:t>)</w:t>
            </w:r>
          </w:p>
          <w:p w14:paraId="6049A06E" w14:textId="3B13613A" w:rsidR="00EE5FD0" w:rsidRPr="00BB5E2D" w:rsidRDefault="00F339D4" w:rsidP="00F02835">
            <w:pPr>
              <w:spacing w:line="240" w:lineRule="exact"/>
              <w:jc w:val="right"/>
              <w:rPr>
                <w:b/>
                <w:lang w:val="fr-FR"/>
              </w:rPr>
            </w:pPr>
            <w:r w:rsidRPr="00BB5E2D">
              <w:rPr>
                <w:b/>
                <w:lang w:val="fr-FR"/>
              </w:rPr>
              <w:t>Avril</w:t>
            </w:r>
            <w:r w:rsidR="00C14243" w:rsidRPr="00BB5E2D">
              <w:rPr>
                <w:b/>
                <w:lang w:val="fr-FR"/>
              </w:rPr>
              <w:t xml:space="preserve"> </w:t>
            </w:r>
            <w:r w:rsidRPr="00BB5E2D">
              <w:rPr>
                <w:b/>
                <w:lang w:val="fr-FR"/>
              </w:rPr>
              <w:t>2021</w:t>
            </w:r>
            <w:r w:rsidR="00EE5FD0" w:rsidRPr="00BB5E2D">
              <w:rPr>
                <w:b/>
                <w:lang w:val="fr-FR"/>
              </w:rPr>
              <w:br/>
              <w:t>New York et Genève</w:t>
            </w:r>
          </w:p>
        </w:tc>
      </w:tr>
    </w:tbl>
    <w:p w14:paraId="297A8055" w14:textId="77777777" w:rsidR="00EE5FD0" w:rsidRPr="008264EB" w:rsidRDefault="00EE5FD0" w:rsidP="001F1A55">
      <w:pPr>
        <w:pStyle w:val="H1G"/>
        <w:tabs>
          <w:tab w:val="clear" w:pos="851"/>
        </w:tabs>
        <w:spacing w:before="200"/>
        <w:ind w:left="0" w:firstLine="0"/>
      </w:pPr>
      <w:r w:rsidRPr="008264EB">
        <w:t>Système Général Harmonisé de classification</w:t>
      </w:r>
      <w:r w:rsidRPr="008264EB">
        <w:br/>
        <w:t>et d’étiquetage des produits chimiques</w:t>
      </w:r>
    </w:p>
    <w:p w14:paraId="5B99F333" w14:textId="77777777" w:rsidR="00EE5FD0" w:rsidRPr="008263E0" w:rsidRDefault="00EE5FD0" w:rsidP="001F1A55">
      <w:pPr>
        <w:pStyle w:val="H23G"/>
        <w:rPr>
          <w:lang w:val="en-US"/>
        </w:rPr>
      </w:pPr>
      <w:r w:rsidRPr="008264EB">
        <w:tab/>
      </w:r>
      <w:r w:rsidRPr="008264EB">
        <w:tab/>
      </w:r>
      <w:proofErr w:type="spellStart"/>
      <w:r w:rsidRPr="008263E0">
        <w:rPr>
          <w:lang w:val="en-US"/>
        </w:rPr>
        <w:t>Rectificatif</w:t>
      </w:r>
      <w:proofErr w:type="spellEnd"/>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E5FD0" w:rsidRPr="00F731FA" w14:paraId="617E2B2B" w14:textId="77777777" w:rsidTr="008263E0">
        <w:trPr>
          <w:jc w:val="center"/>
        </w:trPr>
        <w:tc>
          <w:tcPr>
            <w:tcW w:w="7654" w:type="dxa"/>
            <w:tcBorders>
              <w:top w:val="single" w:sz="4" w:space="0" w:color="auto"/>
              <w:bottom w:val="nil"/>
            </w:tcBorders>
            <w:shd w:val="clear" w:color="auto" w:fill="auto"/>
            <w:tcMar>
              <w:left w:w="142" w:type="dxa"/>
              <w:right w:w="142" w:type="dxa"/>
            </w:tcMar>
          </w:tcPr>
          <w:p w14:paraId="3C13DFD1" w14:textId="04FFB35A" w:rsidR="00EE5FD0" w:rsidRPr="00F731FA" w:rsidRDefault="00EE5FD0" w:rsidP="00025DAF">
            <w:pPr>
              <w:spacing w:before="120" w:after="120"/>
              <w:jc w:val="both"/>
              <w:rPr>
                <w:lang w:val="fr-FR"/>
              </w:rPr>
            </w:pPr>
            <w:r w:rsidRPr="00F731FA">
              <w:rPr>
                <w:b/>
                <w:bCs/>
                <w:lang w:val="fr-FR"/>
              </w:rPr>
              <w:t>NOTA</w:t>
            </w:r>
            <w:r w:rsidR="00F50890">
              <w:rPr>
                <w:b/>
                <w:bCs/>
                <w:lang w:val="fr-FR"/>
              </w:rPr>
              <w:t> </w:t>
            </w:r>
            <w:r w:rsidRPr="00F50890">
              <w:rPr>
                <w:b/>
                <w:bCs/>
                <w:lang w:val="fr-FR"/>
              </w:rPr>
              <w:t>:</w:t>
            </w:r>
            <w:r w:rsidRPr="00F731FA">
              <w:rPr>
                <w:lang w:val="fr-FR"/>
              </w:rPr>
              <w:t xml:space="preserve"> Les rectificatifs à la </w:t>
            </w:r>
            <w:r w:rsidR="00F50890">
              <w:rPr>
                <w:lang w:val="fr-FR"/>
              </w:rPr>
              <w:t>septième</w:t>
            </w:r>
            <w:r w:rsidRPr="00F731FA">
              <w:rPr>
                <w:lang w:val="fr-FR"/>
              </w:rPr>
              <w:t xml:space="preserve"> édition révisée au Système général harmonisé de classification et d’étiquetage des produits chimiques sont également disponibles sur INTERNET sur le site web de la Commission économique des Nations Unies pour l'Europe à l'adresse suivante</w:t>
            </w:r>
            <w:r w:rsidR="00F50890">
              <w:rPr>
                <w:lang w:val="fr-FR"/>
              </w:rPr>
              <w:t> </w:t>
            </w:r>
            <w:r w:rsidRPr="00F731FA">
              <w:rPr>
                <w:lang w:val="fr-FR"/>
              </w:rPr>
              <w:t xml:space="preserve">: </w:t>
            </w:r>
            <w:r w:rsidR="00CC3B2C" w:rsidRPr="00CC3B2C">
              <w:rPr>
                <w:lang w:val="fr-FR"/>
              </w:rPr>
              <w:t>https://unece.org/transport/dangerous-goods</w:t>
            </w:r>
          </w:p>
        </w:tc>
      </w:tr>
      <w:tr w:rsidR="00EE5FD0" w:rsidRPr="00F731FA" w14:paraId="15761E04" w14:textId="77777777" w:rsidTr="008263E0">
        <w:trPr>
          <w:trHeight w:hRule="exact" w:val="20"/>
          <w:jc w:val="center"/>
        </w:trPr>
        <w:tc>
          <w:tcPr>
            <w:tcW w:w="7654" w:type="dxa"/>
            <w:tcBorders>
              <w:bottom w:val="single" w:sz="4" w:space="0" w:color="auto"/>
            </w:tcBorders>
            <w:shd w:val="clear" w:color="auto" w:fill="auto"/>
          </w:tcPr>
          <w:p w14:paraId="404AED15" w14:textId="77777777" w:rsidR="00EE5FD0" w:rsidRPr="00F731FA" w:rsidRDefault="00EE5FD0" w:rsidP="00D16507">
            <w:pPr>
              <w:rPr>
                <w:lang w:val="fr-FR"/>
              </w:rPr>
            </w:pPr>
          </w:p>
        </w:tc>
      </w:tr>
    </w:tbl>
    <w:p w14:paraId="54B595F1" w14:textId="44923807" w:rsidR="00E82DE4" w:rsidRDefault="00E82DE4" w:rsidP="00371B0E">
      <w:pPr>
        <w:pStyle w:val="H1G"/>
        <w:numPr>
          <w:ilvl w:val="0"/>
          <w:numId w:val="24"/>
        </w:numPr>
        <w:tabs>
          <w:tab w:val="clear" w:pos="851"/>
          <w:tab w:val="right" w:pos="1134"/>
        </w:tabs>
        <w:ind w:left="1134" w:hanging="567"/>
      </w:pPr>
      <w:r>
        <w:t xml:space="preserve">Chapitre 1.4, sous-paragraphes 1.4.10.5.3.3 a), b) et c), mentions </w:t>
      </w:r>
      <w:r>
        <w:br/>
        <w:t>de danger H410, H411 et H412</w:t>
      </w:r>
    </w:p>
    <w:p w14:paraId="554623A1" w14:textId="77777777" w:rsidR="00E82DE4" w:rsidRPr="00E01520" w:rsidRDefault="00E82DE4" w:rsidP="00E82DE4">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1DEBEB6A" w14:textId="6B8C48BF" w:rsidR="008C158E" w:rsidRPr="00A657E8" w:rsidRDefault="008C158E" w:rsidP="00371B0E">
      <w:pPr>
        <w:pStyle w:val="H1G"/>
        <w:numPr>
          <w:ilvl w:val="0"/>
          <w:numId w:val="24"/>
        </w:numPr>
        <w:tabs>
          <w:tab w:val="clear" w:pos="851"/>
          <w:tab w:val="right" w:pos="1134"/>
        </w:tabs>
        <w:ind w:left="1134" w:hanging="567"/>
      </w:pPr>
      <w:r w:rsidRPr="00A657E8">
        <w:t>Chap</w:t>
      </w:r>
      <w:r>
        <w:t>i</w:t>
      </w:r>
      <w:r w:rsidRPr="00A657E8">
        <w:t>tr</w:t>
      </w:r>
      <w:r>
        <w:t>e</w:t>
      </w:r>
      <w:r w:rsidRPr="00A657E8">
        <w:t xml:space="preserve"> 2.</w:t>
      </w:r>
      <w:r>
        <w:t>2</w:t>
      </w:r>
      <w:r w:rsidRPr="00A657E8">
        <w:t xml:space="preserve">, </w:t>
      </w:r>
      <w:r>
        <w:t>diagramme de décision</w:t>
      </w:r>
      <w:r w:rsidRPr="00A657E8">
        <w:t xml:space="preserve"> 2.2</w:t>
      </w:r>
      <w:r w:rsidR="00227F51">
        <w:t>, dernier encadré de texte à droite</w:t>
      </w:r>
    </w:p>
    <w:p w14:paraId="70642BC2" w14:textId="6CCE461E" w:rsidR="008C158E" w:rsidRPr="00E70639" w:rsidRDefault="008C158E" w:rsidP="008C158E">
      <w:pPr>
        <w:pStyle w:val="SingleTxtG"/>
        <w:rPr>
          <w:iCs/>
          <w:lang w:val="fr-FR"/>
        </w:rPr>
      </w:pPr>
      <w:r w:rsidRPr="00E01520">
        <w:rPr>
          <w:i/>
          <w:lang w:val="fr-FR"/>
        </w:rPr>
        <w:t>Au lieu de</w:t>
      </w:r>
      <w:r>
        <w:rPr>
          <w:i/>
          <w:lang w:val="fr-FR"/>
        </w:rPr>
        <w:t xml:space="preserve"> </w:t>
      </w:r>
      <w:proofErr w:type="spellStart"/>
      <w:r w:rsidR="00E70639">
        <w:rPr>
          <w:iCs/>
          <w:lang w:val="fr-FR"/>
        </w:rPr>
        <w:t>Category</w:t>
      </w:r>
      <w:proofErr w:type="spellEnd"/>
      <w:r w:rsidR="00E70639">
        <w:rPr>
          <w:iCs/>
          <w:lang w:val="fr-FR"/>
        </w:rPr>
        <w:t xml:space="preserve"> 1A </w:t>
      </w:r>
      <w:proofErr w:type="spellStart"/>
      <w:r w:rsidR="00E70639">
        <w:rPr>
          <w:iCs/>
          <w:lang w:val="fr-FR"/>
        </w:rPr>
        <w:t>Chemically</w:t>
      </w:r>
      <w:proofErr w:type="spellEnd"/>
      <w:r w:rsidR="00E70639">
        <w:rPr>
          <w:iCs/>
          <w:lang w:val="fr-FR"/>
        </w:rPr>
        <w:t xml:space="preserve"> </w:t>
      </w:r>
      <w:proofErr w:type="spellStart"/>
      <w:r w:rsidR="00E70639">
        <w:rPr>
          <w:iCs/>
          <w:lang w:val="fr-FR"/>
        </w:rPr>
        <w:t>unstable</w:t>
      </w:r>
      <w:proofErr w:type="spellEnd"/>
      <w:r w:rsidR="00E70639">
        <w:rPr>
          <w:iCs/>
          <w:lang w:val="fr-FR"/>
        </w:rPr>
        <w:t xml:space="preserve"> </w:t>
      </w:r>
      <w:proofErr w:type="spellStart"/>
      <w:r w:rsidR="00E70639">
        <w:rPr>
          <w:iCs/>
          <w:lang w:val="fr-FR"/>
        </w:rPr>
        <w:t>gas</w:t>
      </w:r>
      <w:proofErr w:type="spellEnd"/>
      <w:r w:rsidR="00E70639">
        <w:rPr>
          <w:iCs/>
          <w:lang w:val="fr-FR"/>
        </w:rPr>
        <w:t xml:space="preserve"> A </w:t>
      </w:r>
      <w:r w:rsidR="00E70639" w:rsidRPr="00E70639">
        <w:rPr>
          <w:i/>
          <w:lang w:val="fr-FR"/>
        </w:rPr>
        <w:t>lire</w:t>
      </w:r>
      <w:r w:rsidR="00E70639">
        <w:rPr>
          <w:i/>
          <w:lang w:val="fr-FR"/>
        </w:rPr>
        <w:t xml:space="preserve"> </w:t>
      </w:r>
      <w:r w:rsidR="00E70639">
        <w:rPr>
          <w:iCs/>
          <w:lang w:val="fr-FR"/>
        </w:rPr>
        <w:t xml:space="preserve">Catégorie 1A Gaz chimiquement </w:t>
      </w:r>
      <w:r w:rsidR="00227F51">
        <w:rPr>
          <w:iCs/>
          <w:lang w:val="fr-FR"/>
        </w:rPr>
        <w:t>instable A</w:t>
      </w:r>
    </w:p>
    <w:p w14:paraId="4DBD92FD" w14:textId="299BC022" w:rsidR="00E82DE4" w:rsidRPr="00A657E8" w:rsidRDefault="00E82DE4" w:rsidP="00371B0E">
      <w:pPr>
        <w:pStyle w:val="H1G"/>
        <w:numPr>
          <w:ilvl w:val="0"/>
          <w:numId w:val="24"/>
        </w:numPr>
        <w:tabs>
          <w:tab w:val="clear" w:pos="851"/>
          <w:tab w:val="right" w:pos="1134"/>
        </w:tabs>
        <w:ind w:left="1134" w:hanging="567"/>
      </w:pPr>
      <w:r w:rsidRPr="00A657E8">
        <w:t>Chap</w:t>
      </w:r>
      <w:r>
        <w:t>i</w:t>
      </w:r>
      <w:r w:rsidRPr="00A657E8">
        <w:t>tr</w:t>
      </w:r>
      <w:r>
        <w:t>e</w:t>
      </w:r>
      <w:r w:rsidRPr="00A657E8">
        <w:t xml:space="preserve"> 2.3, </w:t>
      </w:r>
      <w:r>
        <w:t>diagramme de décision</w:t>
      </w:r>
      <w:r w:rsidRPr="00A657E8">
        <w:t xml:space="preserve"> 2.3.2</w:t>
      </w:r>
    </w:p>
    <w:p w14:paraId="7CBCD40A" w14:textId="77777777" w:rsidR="00E82DE4" w:rsidRPr="00DD281C" w:rsidRDefault="00E82DE4" w:rsidP="00E82DE4">
      <w:pPr>
        <w:pStyle w:val="SingleTxtG"/>
        <w:keepNext/>
        <w:keepLines/>
      </w:pPr>
      <w:r w:rsidRPr="00DD281C">
        <w:t>L</w:t>
      </w:r>
      <w:r>
        <w:t>es</w:t>
      </w:r>
      <w:r w:rsidRPr="00DD281C">
        <w:t xml:space="preserve"> correction</w:t>
      </w:r>
      <w:r>
        <w:t>s</w:t>
      </w:r>
      <w:r w:rsidRPr="00DD281C">
        <w:t xml:space="preserve"> ne s</w:t>
      </w:r>
      <w:r>
        <w:t>’</w:t>
      </w:r>
      <w:r w:rsidRPr="00DD281C">
        <w:t>applique</w:t>
      </w:r>
      <w:r>
        <w:t>nt</w:t>
      </w:r>
      <w:r w:rsidRPr="00DD281C">
        <w:t xml:space="preserve"> pas à la version française.</w:t>
      </w:r>
    </w:p>
    <w:p w14:paraId="1B539798" w14:textId="6FDE6FF5" w:rsidR="00E82DE4" w:rsidRPr="00A657E8" w:rsidRDefault="00E82DE4" w:rsidP="00371B0E">
      <w:pPr>
        <w:pStyle w:val="H1G"/>
        <w:numPr>
          <w:ilvl w:val="0"/>
          <w:numId w:val="24"/>
        </w:numPr>
        <w:tabs>
          <w:tab w:val="clear" w:pos="851"/>
          <w:tab w:val="right" w:pos="1134"/>
        </w:tabs>
        <w:ind w:left="1134" w:hanging="567"/>
      </w:pPr>
      <w:r>
        <w:t>Chapitre</w:t>
      </w:r>
      <w:r w:rsidRPr="00A657E8">
        <w:t xml:space="preserve"> 2.7, paragraph</w:t>
      </w:r>
      <w:r>
        <w:t>e</w:t>
      </w:r>
      <w:r w:rsidRPr="00A657E8">
        <w:t xml:space="preserve">s 2.7.2.1, 2.7.2.4 </w:t>
      </w:r>
      <w:r>
        <w:t xml:space="preserve">et </w:t>
      </w:r>
      <w:r w:rsidRPr="00A657E8">
        <w:t>2.7.4</w:t>
      </w:r>
    </w:p>
    <w:p w14:paraId="70EB5132" w14:textId="77777777" w:rsidR="00E82DE4" w:rsidRPr="00DD281C" w:rsidRDefault="00E82DE4" w:rsidP="00E82DE4">
      <w:pPr>
        <w:pStyle w:val="SingleTxtG"/>
      </w:pPr>
      <w:r w:rsidRPr="00DD281C">
        <w:rPr>
          <w:i/>
          <w:iCs/>
        </w:rPr>
        <w:t>Au lieu de</w:t>
      </w:r>
      <w:r w:rsidRPr="00DD281C">
        <w:t xml:space="preserve"> 33.2.1 </w:t>
      </w:r>
      <w:r w:rsidRPr="00DD281C">
        <w:rPr>
          <w:i/>
          <w:iCs/>
        </w:rPr>
        <w:t>lire</w:t>
      </w:r>
      <w:r w:rsidRPr="00DD281C">
        <w:t xml:space="preserve"> 33.2</w:t>
      </w:r>
    </w:p>
    <w:p w14:paraId="4E2C6E57" w14:textId="2578ABA2" w:rsidR="00E82DE4" w:rsidRPr="00A657E8" w:rsidRDefault="00E82DE4" w:rsidP="00371B0E">
      <w:pPr>
        <w:pStyle w:val="H1G"/>
        <w:numPr>
          <w:ilvl w:val="0"/>
          <w:numId w:val="24"/>
        </w:numPr>
        <w:tabs>
          <w:tab w:val="clear" w:pos="851"/>
          <w:tab w:val="right" w:pos="1134"/>
        </w:tabs>
        <w:ind w:left="1134" w:hanging="567"/>
      </w:pPr>
      <w:r w:rsidRPr="00A657E8">
        <w:t>Chap</w:t>
      </w:r>
      <w:r>
        <w:t>i</w:t>
      </w:r>
      <w:r w:rsidRPr="00A657E8">
        <w:t>tr</w:t>
      </w:r>
      <w:r>
        <w:t>e</w:t>
      </w:r>
      <w:r w:rsidRPr="00A657E8">
        <w:t xml:space="preserve"> 2.9, paragraph</w:t>
      </w:r>
      <w:r>
        <w:t>e</w:t>
      </w:r>
      <w:r w:rsidRPr="00A657E8">
        <w:t xml:space="preserve">s 2.9.2 </w:t>
      </w:r>
      <w:r>
        <w:t>et</w:t>
      </w:r>
      <w:r w:rsidRPr="00A657E8">
        <w:t xml:space="preserve"> 2.9.4.1</w:t>
      </w:r>
    </w:p>
    <w:p w14:paraId="1991EBA8" w14:textId="77777777" w:rsidR="00E82DE4" w:rsidRDefault="00E82DE4" w:rsidP="00E82DE4">
      <w:pPr>
        <w:pStyle w:val="SingleTxtG"/>
        <w:rPr>
          <w:rFonts w:asciiTheme="majorBidi" w:hAnsiTheme="majorBidi" w:cstheme="majorBidi"/>
        </w:rPr>
      </w:pPr>
      <w:r>
        <w:rPr>
          <w:rFonts w:asciiTheme="majorBidi" w:hAnsiTheme="majorBidi" w:cstheme="majorBidi"/>
          <w:i/>
          <w:iCs/>
        </w:rPr>
        <w:t xml:space="preserve">Au lieu de </w:t>
      </w:r>
      <w:r>
        <w:rPr>
          <w:rFonts w:asciiTheme="majorBidi" w:hAnsiTheme="majorBidi" w:cstheme="majorBidi"/>
        </w:rPr>
        <w:t xml:space="preserve">33.3.1.5 </w:t>
      </w:r>
      <w:r>
        <w:rPr>
          <w:rFonts w:asciiTheme="majorBidi" w:hAnsiTheme="majorBidi" w:cstheme="majorBidi"/>
          <w:i/>
          <w:iCs/>
        </w:rPr>
        <w:t>lire</w:t>
      </w:r>
      <w:r>
        <w:rPr>
          <w:rFonts w:asciiTheme="majorBidi" w:hAnsiTheme="majorBidi" w:cstheme="majorBidi"/>
        </w:rPr>
        <w:t xml:space="preserve"> 33.4.5</w:t>
      </w:r>
    </w:p>
    <w:p w14:paraId="39C5F4D0" w14:textId="50C7CE21" w:rsidR="00E82DE4" w:rsidRPr="00A657E8" w:rsidRDefault="00E82DE4" w:rsidP="00371B0E">
      <w:pPr>
        <w:pStyle w:val="H1G"/>
        <w:numPr>
          <w:ilvl w:val="0"/>
          <w:numId w:val="24"/>
        </w:numPr>
        <w:tabs>
          <w:tab w:val="clear" w:pos="851"/>
          <w:tab w:val="right" w:pos="1134"/>
        </w:tabs>
        <w:ind w:left="1134" w:hanging="567"/>
      </w:pPr>
      <w:r w:rsidRPr="00A657E8">
        <w:lastRenderedPageBreak/>
        <w:t>Chap</w:t>
      </w:r>
      <w:r>
        <w:t>i</w:t>
      </w:r>
      <w:r w:rsidRPr="00A657E8">
        <w:t>tr</w:t>
      </w:r>
      <w:r>
        <w:t>e</w:t>
      </w:r>
      <w:r w:rsidRPr="00A657E8">
        <w:t xml:space="preserve"> 2.10, paragraph</w:t>
      </w:r>
      <w:r>
        <w:t>e</w:t>
      </w:r>
      <w:r w:rsidRPr="00A657E8">
        <w:t xml:space="preserve">s 2.10.2 </w:t>
      </w:r>
      <w:r>
        <w:t xml:space="preserve">et </w:t>
      </w:r>
      <w:r w:rsidRPr="00A657E8">
        <w:t>2.10.4.1</w:t>
      </w:r>
    </w:p>
    <w:p w14:paraId="7A4DAC19" w14:textId="77777777" w:rsidR="00E82DE4" w:rsidRDefault="00E82DE4" w:rsidP="00E82DE4">
      <w:pPr>
        <w:pStyle w:val="SingleTxtG"/>
        <w:rPr>
          <w:rFonts w:asciiTheme="majorBidi" w:hAnsiTheme="majorBidi" w:cstheme="majorBidi"/>
        </w:rPr>
      </w:pPr>
      <w:r>
        <w:rPr>
          <w:rFonts w:asciiTheme="majorBidi" w:hAnsiTheme="majorBidi" w:cstheme="majorBidi"/>
          <w:i/>
          <w:iCs/>
        </w:rPr>
        <w:t xml:space="preserve">Au lieu de </w:t>
      </w:r>
      <w:r>
        <w:rPr>
          <w:rFonts w:asciiTheme="majorBidi" w:hAnsiTheme="majorBidi" w:cstheme="majorBidi"/>
        </w:rPr>
        <w:t xml:space="preserve">33.3.1.4 </w:t>
      </w:r>
      <w:r>
        <w:rPr>
          <w:rFonts w:asciiTheme="majorBidi" w:hAnsiTheme="majorBidi" w:cstheme="majorBidi"/>
          <w:i/>
          <w:iCs/>
        </w:rPr>
        <w:t>lire</w:t>
      </w:r>
      <w:r>
        <w:rPr>
          <w:rFonts w:asciiTheme="majorBidi" w:hAnsiTheme="majorBidi" w:cstheme="majorBidi"/>
        </w:rPr>
        <w:t xml:space="preserve"> 33.4.4</w:t>
      </w:r>
    </w:p>
    <w:p w14:paraId="1B9F7DF6" w14:textId="553ABCAF" w:rsidR="00E82DE4" w:rsidRPr="00A657E8" w:rsidRDefault="00E82DE4" w:rsidP="00371B0E">
      <w:pPr>
        <w:pStyle w:val="H1G"/>
        <w:numPr>
          <w:ilvl w:val="0"/>
          <w:numId w:val="24"/>
        </w:numPr>
        <w:tabs>
          <w:tab w:val="clear" w:pos="851"/>
          <w:tab w:val="right" w:pos="1134"/>
        </w:tabs>
        <w:ind w:left="1134" w:hanging="567"/>
      </w:pPr>
      <w:r w:rsidRPr="00A657E8">
        <w:t>Chap</w:t>
      </w:r>
      <w:r>
        <w:t>i</w:t>
      </w:r>
      <w:r w:rsidRPr="00A657E8">
        <w:t>tr</w:t>
      </w:r>
      <w:r>
        <w:t>e</w:t>
      </w:r>
      <w:r w:rsidRPr="00A657E8">
        <w:t xml:space="preserve"> 2.11, paragraph</w:t>
      </w:r>
      <w:r>
        <w:t>e</w:t>
      </w:r>
      <w:r w:rsidRPr="00A657E8">
        <w:t xml:space="preserve">s 2.11.2.1, 2.11.2.2 </w:t>
      </w:r>
      <w:r>
        <w:t>et</w:t>
      </w:r>
      <w:r w:rsidRPr="00A657E8">
        <w:t xml:space="preserve"> 2.11.4.1</w:t>
      </w:r>
    </w:p>
    <w:p w14:paraId="50B009A7" w14:textId="77777777" w:rsidR="00E82DE4" w:rsidRDefault="00E82DE4" w:rsidP="00E82DE4">
      <w:pPr>
        <w:pStyle w:val="SingleTxtG"/>
        <w:rPr>
          <w:rFonts w:asciiTheme="majorBidi" w:hAnsiTheme="majorBidi" w:cstheme="majorBidi"/>
        </w:rPr>
      </w:pPr>
      <w:r>
        <w:rPr>
          <w:rFonts w:asciiTheme="majorBidi" w:hAnsiTheme="majorBidi" w:cstheme="majorBidi"/>
          <w:i/>
          <w:iCs/>
        </w:rPr>
        <w:t xml:space="preserve">Au lieu de </w:t>
      </w:r>
      <w:r>
        <w:rPr>
          <w:rFonts w:asciiTheme="majorBidi" w:hAnsiTheme="majorBidi" w:cstheme="majorBidi"/>
        </w:rPr>
        <w:t xml:space="preserve">33.3.1.6 </w:t>
      </w:r>
      <w:r>
        <w:rPr>
          <w:rFonts w:asciiTheme="majorBidi" w:hAnsiTheme="majorBidi" w:cstheme="majorBidi"/>
          <w:i/>
          <w:iCs/>
        </w:rPr>
        <w:t>lire</w:t>
      </w:r>
      <w:r>
        <w:rPr>
          <w:rFonts w:asciiTheme="majorBidi" w:hAnsiTheme="majorBidi" w:cstheme="majorBidi"/>
        </w:rPr>
        <w:t xml:space="preserve"> 33.4.6</w:t>
      </w:r>
    </w:p>
    <w:p w14:paraId="1FA57666" w14:textId="32D4F1A6" w:rsidR="00E82DE4" w:rsidRPr="00A657E8" w:rsidRDefault="00E82DE4" w:rsidP="00371B0E">
      <w:pPr>
        <w:pStyle w:val="H1G"/>
        <w:numPr>
          <w:ilvl w:val="0"/>
          <w:numId w:val="24"/>
        </w:numPr>
        <w:tabs>
          <w:tab w:val="clear" w:pos="851"/>
          <w:tab w:val="right" w:pos="1134"/>
        </w:tabs>
        <w:ind w:left="1134" w:hanging="567"/>
      </w:pPr>
      <w:r w:rsidRPr="00A657E8">
        <w:t>Chap</w:t>
      </w:r>
      <w:r>
        <w:t>i</w:t>
      </w:r>
      <w:r w:rsidRPr="00A657E8">
        <w:t>tr</w:t>
      </w:r>
      <w:r>
        <w:t>e</w:t>
      </w:r>
      <w:r w:rsidRPr="00A657E8">
        <w:t xml:space="preserve"> 2.12, paragraph</w:t>
      </w:r>
      <w:r>
        <w:t>e</w:t>
      </w:r>
      <w:r w:rsidRPr="00A657E8">
        <w:t xml:space="preserve">s 2.12.2 </w:t>
      </w:r>
      <w:r>
        <w:t xml:space="preserve">et </w:t>
      </w:r>
      <w:r w:rsidRPr="00A657E8">
        <w:t>2.12.4.1</w:t>
      </w:r>
    </w:p>
    <w:p w14:paraId="29BBF79B" w14:textId="77777777" w:rsidR="00E82DE4" w:rsidRDefault="00E82DE4" w:rsidP="00E82DE4">
      <w:pPr>
        <w:pStyle w:val="SingleTxtG"/>
        <w:rPr>
          <w:rFonts w:asciiTheme="majorBidi" w:hAnsiTheme="majorBidi" w:cstheme="majorBidi"/>
        </w:rPr>
      </w:pPr>
      <w:r>
        <w:rPr>
          <w:rFonts w:asciiTheme="majorBidi" w:hAnsiTheme="majorBidi" w:cstheme="majorBidi"/>
          <w:i/>
          <w:iCs/>
        </w:rPr>
        <w:t>Au lieu</w:t>
      </w:r>
      <w:r w:rsidRPr="00FF0DA3">
        <w:rPr>
          <w:rFonts w:asciiTheme="majorBidi" w:hAnsiTheme="majorBidi" w:cstheme="majorBidi"/>
          <w:i/>
          <w:iCs/>
        </w:rPr>
        <w:t xml:space="preserve"> </w:t>
      </w:r>
      <w:r w:rsidRPr="00FF0DA3">
        <w:rPr>
          <w:rFonts w:asciiTheme="majorBidi" w:hAnsiTheme="majorBidi" w:cstheme="majorBidi"/>
        </w:rPr>
        <w:t xml:space="preserve">33.4.1.4 </w:t>
      </w:r>
      <w:r>
        <w:rPr>
          <w:rFonts w:asciiTheme="majorBidi" w:hAnsiTheme="majorBidi" w:cstheme="majorBidi"/>
          <w:i/>
          <w:iCs/>
        </w:rPr>
        <w:t>lire</w:t>
      </w:r>
      <w:r w:rsidRPr="00FF0DA3">
        <w:rPr>
          <w:rFonts w:asciiTheme="majorBidi" w:hAnsiTheme="majorBidi" w:cstheme="majorBidi"/>
        </w:rPr>
        <w:t xml:space="preserve"> 33.5.4</w:t>
      </w:r>
    </w:p>
    <w:p w14:paraId="20DA073C" w14:textId="3AE786A5" w:rsidR="00E82DE4" w:rsidRPr="009E1059" w:rsidRDefault="00E82DE4" w:rsidP="00371B0E">
      <w:pPr>
        <w:pStyle w:val="H1G"/>
        <w:numPr>
          <w:ilvl w:val="0"/>
          <w:numId w:val="24"/>
        </w:numPr>
        <w:tabs>
          <w:tab w:val="clear" w:pos="851"/>
          <w:tab w:val="right" w:pos="1134"/>
        </w:tabs>
        <w:ind w:left="1134" w:hanging="567"/>
      </w:pPr>
      <w:r w:rsidRPr="00371B0E">
        <w:t>Chapitre 2.14, tableau 2.14.1, sous « critères concernant l’épreuve O.3 »,</w:t>
      </w:r>
      <w:r>
        <w:t xml:space="preserve"> catégorie 1</w:t>
      </w:r>
    </w:p>
    <w:p w14:paraId="67544EED" w14:textId="77777777" w:rsidR="00E82DE4" w:rsidRDefault="00E82DE4" w:rsidP="00E82DE4">
      <w:pPr>
        <w:pStyle w:val="SingleTxtG"/>
        <w:rPr>
          <w:rFonts w:asciiTheme="majorBidi" w:hAnsiTheme="majorBidi" w:cstheme="majorBidi"/>
        </w:rPr>
      </w:pPr>
      <w:r>
        <w:rPr>
          <w:rFonts w:asciiTheme="majorBidi" w:hAnsiTheme="majorBidi" w:cstheme="majorBidi"/>
          <w:i/>
          <w:iCs/>
        </w:rPr>
        <w:t>Au lieu de</w:t>
      </w:r>
      <w:r w:rsidRPr="002F75B9">
        <w:rPr>
          <w:rFonts w:asciiTheme="majorBidi" w:hAnsiTheme="majorBidi" w:cstheme="majorBidi"/>
          <w:i/>
          <w:iCs/>
        </w:rPr>
        <w:t xml:space="preserve"> </w:t>
      </w:r>
      <w:r w:rsidRPr="002F75B9">
        <w:rPr>
          <w:rFonts w:asciiTheme="majorBidi" w:hAnsiTheme="majorBidi" w:cstheme="majorBidi"/>
        </w:rPr>
        <w:t xml:space="preserve">vitesse </w:t>
      </w:r>
      <w:r>
        <w:rPr>
          <w:rFonts w:asciiTheme="majorBidi" w:hAnsiTheme="majorBidi" w:cstheme="majorBidi"/>
        </w:rPr>
        <w:t xml:space="preserve">moyenne </w:t>
      </w:r>
      <w:r w:rsidRPr="002F75B9">
        <w:rPr>
          <w:rFonts w:asciiTheme="majorBidi" w:hAnsiTheme="majorBidi" w:cstheme="majorBidi"/>
        </w:rPr>
        <w:t xml:space="preserve">de combustion inférieure à </w:t>
      </w:r>
      <w:r>
        <w:rPr>
          <w:rFonts w:asciiTheme="majorBidi" w:hAnsiTheme="majorBidi" w:cstheme="majorBidi"/>
          <w:i/>
          <w:iCs/>
        </w:rPr>
        <w:t>lire</w:t>
      </w:r>
      <w:r w:rsidRPr="002F75B9">
        <w:rPr>
          <w:rFonts w:asciiTheme="majorBidi" w:hAnsiTheme="majorBidi" w:cstheme="majorBidi"/>
        </w:rPr>
        <w:t xml:space="preserve"> vitesse </w:t>
      </w:r>
      <w:r>
        <w:rPr>
          <w:rFonts w:asciiTheme="majorBidi" w:hAnsiTheme="majorBidi" w:cstheme="majorBidi"/>
        </w:rPr>
        <w:t xml:space="preserve">moyenne </w:t>
      </w:r>
      <w:r w:rsidRPr="002F75B9">
        <w:rPr>
          <w:rFonts w:asciiTheme="majorBidi" w:hAnsiTheme="majorBidi" w:cstheme="majorBidi"/>
        </w:rPr>
        <w:t>de combustion supérieure à</w:t>
      </w:r>
    </w:p>
    <w:p w14:paraId="79E9E739" w14:textId="5B6A0C8F" w:rsidR="001465A9" w:rsidRPr="00371B0E" w:rsidRDefault="001465A9" w:rsidP="00371B0E">
      <w:pPr>
        <w:pStyle w:val="H1G"/>
        <w:numPr>
          <w:ilvl w:val="0"/>
          <w:numId w:val="24"/>
        </w:numPr>
        <w:tabs>
          <w:tab w:val="clear" w:pos="851"/>
          <w:tab w:val="right" w:pos="1134"/>
        </w:tabs>
        <w:ind w:left="1134" w:hanging="567"/>
      </w:pPr>
      <w:r w:rsidRPr="00371B0E">
        <w:t xml:space="preserve">Chapitre 3.2, paragraphe </w:t>
      </w:r>
      <w:r w:rsidR="000D43AB" w:rsidRPr="00371B0E">
        <w:t>3.2.5.3.5.2.3</w:t>
      </w:r>
      <w:r w:rsidR="00A7770A" w:rsidRPr="00371B0E">
        <w:t>, première phrase, références aux lignes directrices de l’OCDE pour les essais</w:t>
      </w:r>
    </w:p>
    <w:p w14:paraId="179920AF" w14:textId="79B526FD" w:rsidR="00760033" w:rsidRPr="00760033" w:rsidRDefault="00760033" w:rsidP="00760033">
      <w:pPr>
        <w:pStyle w:val="SingleTxtG"/>
      </w:pPr>
      <w:r w:rsidRPr="002A7383">
        <w:rPr>
          <w:i/>
          <w:iCs/>
        </w:rPr>
        <w:t>Au lieu de</w:t>
      </w:r>
      <w:r w:rsidRPr="002A7383">
        <w:t xml:space="preserve"> 412 </w:t>
      </w:r>
      <w:r w:rsidRPr="002A7383">
        <w:rPr>
          <w:i/>
          <w:iCs/>
        </w:rPr>
        <w:t>lire</w:t>
      </w:r>
      <w:r w:rsidRPr="002A7383">
        <w:t xml:space="preserve"> 411</w:t>
      </w:r>
    </w:p>
    <w:p w14:paraId="402E8C9C" w14:textId="0B050D09" w:rsidR="00E82DE4" w:rsidRPr="00A657E8" w:rsidRDefault="00E82DE4" w:rsidP="00371B0E">
      <w:pPr>
        <w:pStyle w:val="H1G"/>
        <w:numPr>
          <w:ilvl w:val="0"/>
          <w:numId w:val="24"/>
        </w:numPr>
        <w:tabs>
          <w:tab w:val="clear" w:pos="851"/>
          <w:tab w:val="right" w:pos="1134"/>
        </w:tabs>
        <w:ind w:left="1134" w:hanging="567"/>
      </w:pPr>
      <w:r w:rsidRPr="00A657E8">
        <w:t>Chap</w:t>
      </w:r>
      <w:r>
        <w:t>i</w:t>
      </w:r>
      <w:r w:rsidRPr="00A657E8">
        <w:t>tr</w:t>
      </w:r>
      <w:r>
        <w:t>e</w:t>
      </w:r>
      <w:r w:rsidRPr="00A657E8">
        <w:t xml:space="preserve"> 3.2, </w:t>
      </w:r>
      <w:r>
        <w:t>diagramme de décision</w:t>
      </w:r>
      <w:r w:rsidRPr="00A657E8">
        <w:t xml:space="preserve"> 3.2.1</w:t>
      </w:r>
    </w:p>
    <w:p w14:paraId="54D51B75" w14:textId="2C0AA71A" w:rsidR="00E82DE4" w:rsidRDefault="00E82DE4" w:rsidP="00E82DE4">
      <w:pPr>
        <w:pStyle w:val="SingleTxtG"/>
        <w:rPr>
          <w:rFonts w:asciiTheme="majorBidi" w:hAnsiTheme="majorBidi" w:cstheme="majorBidi"/>
        </w:rPr>
      </w:pPr>
      <w:r w:rsidRPr="008D3D9D">
        <w:rPr>
          <w:rFonts w:asciiTheme="majorBidi" w:hAnsiTheme="majorBidi" w:cstheme="majorBidi"/>
        </w:rPr>
        <w:t>La correction ne s</w:t>
      </w:r>
      <w:r>
        <w:rPr>
          <w:rFonts w:asciiTheme="majorBidi" w:hAnsiTheme="majorBidi" w:cstheme="majorBidi"/>
        </w:rPr>
        <w:t>’</w:t>
      </w:r>
      <w:r w:rsidRPr="008D3D9D">
        <w:rPr>
          <w:rFonts w:asciiTheme="majorBidi" w:hAnsiTheme="majorBidi" w:cstheme="majorBidi"/>
        </w:rPr>
        <w:t>applique pas à la version française</w:t>
      </w:r>
    </w:p>
    <w:p w14:paraId="730EBA48" w14:textId="5FA660C8" w:rsidR="007A32B1" w:rsidRPr="00371B0E" w:rsidRDefault="00E41728" w:rsidP="00371B0E">
      <w:pPr>
        <w:pStyle w:val="H1G"/>
        <w:numPr>
          <w:ilvl w:val="0"/>
          <w:numId w:val="24"/>
        </w:numPr>
        <w:tabs>
          <w:tab w:val="clear" w:pos="851"/>
          <w:tab w:val="right" w:pos="1134"/>
        </w:tabs>
        <w:ind w:left="1134" w:hanging="567"/>
      </w:pPr>
      <w:r w:rsidRPr="00371B0E">
        <w:t>Chapitre 4.1, tableau 4.1.6</w:t>
      </w:r>
      <w:r w:rsidR="007A32B1" w:rsidRPr="00371B0E">
        <w:t>, mentions de danger pour les catégories de danger chronique 1, 2 et 3</w:t>
      </w:r>
    </w:p>
    <w:p w14:paraId="34E7127E" w14:textId="1E43BBD2" w:rsidR="007A32B1" w:rsidRPr="007A32B1" w:rsidRDefault="007A32B1" w:rsidP="007A32B1">
      <w:pPr>
        <w:pStyle w:val="SingleTxtG"/>
        <w:rPr>
          <w:rFonts w:asciiTheme="majorBidi" w:hAnsiTheme="majorBidi" w:cstheme="majorBidi"/>
          <w:i/>
          <w:iCs/>
        </w:rPr>
      </w:pPr>
      <w:r w:rsidRPr="002A7383">
        <w:rPr>
          <w:rFonts w:asciiTheme="majorBidi" w:hAnsiTheme="majorBidi" w:cstheme="majorBidi"/>
          <w:i/>
          <w:iCs/>
        </w:rPr>
        <w:t xml:space="preserve">Supprimer </w:t>
      </w:r>
      <w:r w:rsidR="008E20B8" w:rsidRPr="002A7383">
        <w:rPr>
          <w:rFonts w:asciiTheme="majorBidi" w:hAnsiTheme="majorBidi" w:cstheme="majorBidi"/>
        </w:rPr>
        <w:t>néfastes</w:t>
      </w:r>
      <w:r w:rsidRPr="008E20B8">
        <w:rPr>
          <w:rFonts w:asciiTheme="majorBidi" w:hAnsiTheme="majorBidi" w:cstheme="majorBidi"/>
        </w:rPr>
        <w:t xml:space="preserve"> </w:t>
      </w:r>
    </w:p>
    <w:p w14:paraId="0BA63D84" w14:textId="28CCC166" w:rsidR="00E82DE4" w:rsidRPr="00BA7D22" w:rsidRDefault="00E82DE4" w:rsidP="00371B0E">
      <w:pPr>
        <w:pStyle w:val="H1G"/>
        <w:numPr>
          <w:ilvl w:val="0"/>
          <w:numId w:val="24"/>
        </w:numPr>
        <w:tabs>
          <w:tab w:val="clear" w:pos="851"/>
          <w:tab w:val="right" w:pos="1134"/>
        </w:tabs>
        <w:ind w:left="1134" w:hanging="567"/>
      </w:pPr>
      <w:r>
        <w:t xml:space="preserve">Annexe 1, tableau A1.29 b), </w:t>
      </w:r>
      <w:r w:rsidRPr="00BA7D22">
        <w:t xml:space="preserve">colonne </w:t>
      </w:r>
      <w:r>
        <w:t>« </w:t>
      </w:r>
      <w:r w:rsidRPr="00BA7D22">
        <w:t>mention de danger</w:t>
      </w:r>
      <w:r>
        <w:t> »</w:t>
      </w:r>
      <w:r w:rsidRPr="00BA7D22">
        <w:t xml:space="preserve">, </w:t>
      </w:r>
      <w:r>
        <w:br/>
      </w:r>
      <w:r w:rsidRPr="00BA7D22">
        <w:t>pour les codes H410, H411 et H412</w:t>
      </w:r>
    </w:p>
    <w:p w14:paraId="0392B18C" w14:textId="77777777" w:rsidR="00E82DE4" w:rsidRPr="00E01520" w:rsidRDefault="00E82DE4" w:rsidP="00E82DE4">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1D91401C" w14:textId="4581CB86" w:rsidR="00E82DE4" w:rsidRPr="00BA7D22" w:rsidRDefault="00E82DE4" w:rsidP="00371B0E">
      <w:pPr>
        <w:pStyle w:val="H1G"/>
        <w:numPr>
          <w:ilvl w:val="0"/>
          <w:numId w:val="24"/>
        </w:numPr>
        <w:tabs>
          <w:tab w:val="clear" w:pos="851"/>
          <w:tab w:val="right" w:pos="1134"/>
        </w:tabs>
        <w:ind w:left="1134" w:hanging="567"/>
      </w:pPr>
      <w:r w:rsidRPr="00BA7D22">
        <w:t xml:space="preserve">Annexe 3, section 1, tableau A3.1.3, colonne (2), </w:t>
      </w:r>
      <w:r>
        <w:t xml:space="preserve">mentions </w:t>
      </w:r>
      <w:r>
        <w:br/>
        <w:t>de danger</w:t>
      </w:r>
      <w:r w:rsidRPr="00BA7D22">
        <w:t xml:space="preserve"> H410, H411 et H412</w:t>
      </w:r>
    </w:p>
    <w:p w14:paraId="6855353B" w14:textId="77777777" w:rsidR="00E82DE4" w:rsidRDefault="00E82DE4" w:rsidP="00E82DE4">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12E62ABF" w14:textId="0796631A" w:rsidR="0039267B" w:rsidRPr="00564AAA" w:rsidRDefault="0039267B" w:rsidP="00371B0E">
      <w:pPr>
        <w:pStyle w:val="H1G"/>
        <w:numPr>
          <w:ilvl w:val="0"/>
          <w:numId w:val="24"/>
        </w:numPr>
        <w:tabs>
          <w:tab w:val="clear" w:pos="851"/>
          <w:tab w:val="right" w:pos="1134"/>
        </w:tabs>
        <w:ind w:left="1134" w:hanging="567"/>
      </w:pPr>
      <w:r w:rsidRPr="00564AAA">
        <w:t>Annexe 3, section 2, tableau A3.2.3, P302</w:t>
      </w:r>
      <w:r w:rsidR="00903214" w:rsidRPr="00564AAA">
        <w:t xml:space="preserve">+P352, </w:t>
      </w:r>
      <w:r w:rsidR="00BE1238" w:rsidRPr="00564AAA">
        <w:t xml:space="preserve">toxicité aiguë (cutanée), </w:t>
      </w:r>
      <w:r w:rsidR="00903214" w:rsidRPr="00564AAA">
        <w:t>colonne (4)</w:t>
      </w:r>
      <w:r w:rsidR="006B1CDC" w:rsidRPr="00564AAA">
        <w:t xml:space="preserve"> </w:t>
      </w:r>
    </w:p>
    <w:p w14:paraId="63A2377B" w14:textId="28B3C1ED" w:rsidR="00903214" w:rsidRPr="00564AAA" w:rsidRDefault="006B1CDC" w:rsidP="00903214">
      <w:r w:rsidRPr="00564AAA">
        <w:tab/>
      </w:r>
      <w:r w:rsidRPr="00564AAA">
        <w:tab/>
      </w:r>
      <w:r w:rsidR="00CB33FC" w:rsidRPr="00564AAA">
        <w:rPr>
          <w:i/>
          <w:iCs/>
        </w:rPr>
        <w:t>Supprimer</w:t>
      </w:r>
      <w:r w:rsidR="00CB33FC" w:rsidRPr="00564AAA">
        <w:t xml:space="preserve"> , 5</w:t>
      </w:r>
    </w:p>
    <w:p w14:paraId="48E5D4D9" w14:textId="6190EA10" w:rsidR="00B75F3B" w:rsidRPr="00564AAA" w:rsidRDefault="00371B0E" w:rsidP="00371B0E">
      <w:pPr>
        <w:pStyle w:val="H1G"/>
        <w:numPr>
          <w:ilvl w:val="0"/>
          <w:numId w:val="24"/>
        </w:numPr>
        <w:tabs>
          <w:tab w:val="clear" w:pos="851"/>
          <w:tab w:val="right" w:pos="1134"/>
        </w:tabs>
        <w:ind w:left="1134" w:hanging="567"/>
      </w:pPr>
      <w:r>
        <w:lastRenderedPageBreak/>
        <w:t>A</w:t>
      </w:r>
      <w:r w:rsidR="006B2E14" w:rsidRPr="00564AAA">
        <w:t xml:space="preserve">nnexe 3, section </w:t>
      </w:r>
      <w:r w:rsidR="00DE16DC" w:rsidRPr="00564AAA">
        <w:t>2, tableau A3.2.3, après la rubrique P301+P317</w:t>
      </w:r>
    </w:p>
    <w:p w14:paraId="2FC0FD34" w14:textId="2CA23978" w:rsidR="00DE16DC" w:rsidRPr="00564AAA" w:rsidRDefault="00DE16DC" w:rsidP="003A06B4">
      <w:pPr>
        <w:spacing w:after="240"/>
        <w:rPr>
          <w:i/>
          <w:iCs/>
        </w:rPr>
      </w:pPr>
      <w:r w:rsidRPr="00564AAA">
        <w:tab/>
      </w:r>
      <w:r w:rsidRPr="00564AAA">
        <w:tab/>
      </w:r>
      <w:r w:rsidRPr="00564AAA">
        <w:rPr>
          <w:i/>
          <w:iCs/>
        </w:rPr>
        <w:t>Insérer</w:t>
      </w:r>
    </w:p>
    <w:tbl>
      <w:tblPr>
        <w:tblW w:w="85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18"/>
        <w:gridCol w:w="2811"/>
        <w:gridCol w:w="2268"/>
        <w:gridCol w:w="1417"/>
        <w:gridCol w:w="1191"/>
      </w:tblGrid>
      <w:tr w:rsidR="003A06B4" w:rsidRPr="00564AAA" w14:paraId="1010CFD5" w14:textId="77777777" w:rsidTr="004E6A92">
        <w:trPr>
          <w:cantSplit/>
          <w:trHeight w:val="20"/>
          <w:jc w:val="right"/>
        </w:trPr>
        <w:tc>
          <w:tcPr>
            <w:tcW w:w="818" w:type="dxa"/>
          </w:tcPr>
          <w:p w14:paraId="5C185BE3" w14:textId="77777777" w:rsidR="003A06B4" w:rsidRPr="00564AAA" w:rsidRDefault="003A06B4" w:rsidP="004E6A92">
            <w:pPr>
              <w:keepLines/>
              <w:spacing w:before="20" w:after="20"/>
              <w:jc w:val="center"/>
              <w:rPr>
                <w:sz w:val="18"/>
                <w:szCs w:val="18"/>
              </w:rPr>
            </w:pPr>
            <w:r w:rsidRPr="00564AAA">
              <w:rPr>
                <w:sz w:val="18"/>
                <w:szCs w:val="18"/>
              </w:rPr>
              <w:t>P302</w:t>
            </w:r>
            <w:r w:rsidRPr="00564AAA">
              <w:rPr>
                <w:sz w:val="18"/>
                <w:szCs w:val="18"/>
              </w:rPr>
              <w:br/>
              <w:t>+</w:t>
            </w:r>
            <w:r w:rsidRPr="00564AAA">
              <w:rPr>
                <w:sz w:val="18"/>
                <w:szCs w:val="18"/>
              </w:rPr>
              <w:br/>
              <w:t>P317</w:t>
            </w:r>
          </w:p>
        </w:tc>
        <w:tc>
          <w:tcPr>
            <w:tcW w:w="2811" w:type="dxa"/>
          </w:tcPr>
          <w:p w14:paraId="2D89FF10" w14:textId="2F03C2E6" w:rsidR="003A06B4" w:rsidRPr="00564AAA" w:rsidRDefault="003A06B4" w:rsidP="004E6A92">
            <w:pPr>
              <w:keepLines/>
              <w:spacing w:before="20" w:after="20"/>
              <w:rPr>
                <w:rStyle w:val="StyleBold"/>
                <w:sz w:val="18"/>
                <w:szCs w:val="18"/>
              </w:rPr>
            </w:pPr>
            <w:r w:rsidRPr="00564AAA">
              <w:rPr>
                <w:rStyle w:val="StyleBold"/>
                <w:sz w:val="18"/>
                <w:szCs w:val="18"/>
              </w:rPr>
              <w:t xml:space="preserve">EN CAS DE CONTACT AVEC LA PEAU : </w:t>
            </w:r>
            <w:r w:rsidR="0097677A" w:rsidRPr="00564AAA">
              <w:rPr>
                <w:rStyle w:val="StyleBold"/>
                <w:sz w:val="18"/>
                <w:szCs w:val="18"/>
              </w:rPr>
              <w:t>Demander une aide médicale.</w:t>
            </w:r>
          </w:p>
        </w:tc>
        <w:tc>
          <w:tcPr>
            <w:tcW w:w="2268" w:type="dxa"/>
          </w:tcPr>
          <w:p w14:paraId="220ADC5C" w14:textId="79A16F21" w:rsidR="003A06B4" w:rsidRPr="00564AAA" w:rsidRDefault="0097677A" w:rsidP="0027220A">
            <w:pPr>
              <w:keepLines/>
              <w:spacing w:before="20" w:after="20"/>
              <w:rPr>
                <w:rStyle w:val="StyleBold"/>
                <w:b w:val="0"/>
                <w:bCs w:val="0"/>
              </w:rPr>
            </w:pPr>
            <w:r w:rsidRPr="00564AAA">
              <w:rPr>
                <w:rStyle w:val="StyleBold"/>
                <w:b w:val="0"/>
                <w:bCs w:val="0"/>
              </w:rPr>
              <w:t>Toxicité aiguë</w:t>
            </w:r>
            <w:r w:rsidR="0027220A" w:rsidRPr="00564AAA">
              <w:rPr>
                <w:rStyle w:val="StyleBold"/>
                <w:b w:val="0"/>
                <w:bCs w:val="0"/>
              </w:rPr>
              <w:t>, cutanée (chapitre 3.1)</w:t>
            </w:r>
          </w:p>
        </w:tc>
        <w:tc>
          <w:tcPr>
            <w:tcW w:w="1417" w:type="dxa"/>
          </w:tcPr>
          <w:p w14:paraId="15B47D35" w14:textId="77777777" w:rsidR="003A06B4" w:rsidRPr="00564AAA" w:rsidRDefault="003A06B4" w:rsidP="004E6A92">
            <w:pPr>
              <w:keepLines/>
              <w:spacing w:before="20" w:after="20"/>
              <w:jc w:val="center"/>
              <w:rPr>
                <w:sz w:val="18"/>
                <w:szCs w:val="18"/>
              </w:rPr>
            </w:pPr>
            <w:r w:rsidRPr="00564AAA">
              <w:rPr>
                <w:sz w:val="18"/>
                <w:szCs w:val="18"/>
              </w:rPr>
              <w:t>5</w:t>
            </w:r>
          </w:p>
        </w:tc>
        <w:tc>
          <w:tcPr>
            <w:tcW w:w="1191" w:type="dxa"/>
          </w:tcPr>
          <w:p w14:paraId="48340E2E" w14:textId="77777777" w:rsidR="003A06B4" w:rsidRPr="00564AAA" w:rsidRDefault="003A06B4" w:rsidP="004E6A92">
            <w:pPr>
              <w:pStyle w:val="BalloonText"/>
              <w:spacing w:before="30" w:after="30"/>
              <w:rPr>
                <w:rFonts w:ascii="Times New Roman" w:hAnsi="Times New Roman"/>
                <w:b/>
                <w:bCs/>
                <w:iCs/>
              </w:rPr>
            </w:pPr>
          </w:p>
        </w:tc>
      </w:tr>
    </w:tbl>
    <w:p w14:paraId="08DB6E55" w14:textId="0F940D13" w:rsidR="003343ED" w:rsidRPr="00564AAA" w:rsidRDefault="003343ED" w:rsidP="00371B0E">
      <w:pPr>
        <w:pStyle w:val="H1G"/>
        <w:numPr>
          <w:ilvl w:val="0"/>
          <w:numId w:val="24"/>
        </w:numPr>
        <w:tabs>
          <w:tab w:val="clear" w:pos="851"/>
          <w:tab w:val="right" w:pos="1134"/>
        </w:tabs>
        <w:ind w:left="1134" w:hanging="567"/>
      </w:pPr>
      <w:r w:rsidRPr="00564AAA">
        <w:t xml:space="preserve">Annexe 3, section 2, tableau A3.2.3, après la rubrique </w:t>
      </w:r>
      <w:r w:rsidR="00DA2369" w:rsidRPr="00564AAA">
        <w:t>P302+P335+P334</w:t>
      </w:r>
    </w:p>
    <w:p w14:paraId="6524666D" w14:textId="60E7D515" w:rsidR="003343ED" w:rsidRDefault="003343ED" w:rsidP="003343ED">
      <w:pPr>
        <w:spacing w:after="240"/>
        <w:rPr>
          <w:i/>
          <w:iCs/>
        </w:rPr>
      </w:pPr>
      <w:r w:rsidRPr="00564AAA">
        <w:tab/>
      </w:r>
      <w:r w:rsidRPr="00564AAA">
        <w:tab/>
      </w:r>
      <w:r w:rsidRPr="00564AAA">
        <w:rPr>
          <w:i/>
          <w:iCs/>
        </w:rPr>
        <w:t>Insérer</w:t>
      </w:r>
    </w:p>
    <w:tbl>
      <w:tblPr>
        <w:tblW w:w="85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18"/>
        <w:gridCol w:w="2811"/>
        <w:gridCol w:w="2268"/>
        <w:gridCol w:w="1417"/>
        <w:gridCol w:w="1191"/>
      </w:tblGrid>
      <w:tr w:rsidR="00F964A0" w:rsidRPr="00F90701" w14:paraId="0A957ECD" w14:textId="77777777" w:rsidTr="00F964A0">
        <w:trPr>
          <w:cantSplit/>
          <w:trHeight w:val="20"/>
          <w:jc w:val="right"/>
        </w:trPr>
        <w:tc>
          <w:tcPr>
            <w:tcW w:w="818" w:type="dxa"/>
            <w:tcBorders>
              <w:top w:val="single" w:sz="2" w:space="0" w:color="auto"/>
              <w:left w:val="single" w:sz="2" w:space="0" w:color="auto"/>
              <w:bottom w:val="single" w:sz="2" w:space="0" w:color="auto"/>
              <w:right w:val="single" w:sz="2" w:space="0" w:color="auto"/>
            </w:tcBorders>
          </w:tcPr>
          <w:p w14:paraId="4DA794F7" w14:textId="77777777" w:rsidR="00F964A0" w:rsidRPr="00564AAA" w:rsidRDefault="00F964A0" w:rsidP="004E6A92">
            <w:pPr>
              <w:keepLines/>
              <w:spacing w:before="20" w:after="20"/>
              <w:jc w:val="center"/>
              <w:rPr>
                <w:sz w:val="18"/>
                <w:szCs w:val="18"/>
              </w:rPr>
            </w:pPr>
            <w:r w:rsidRPr="00564AAA">
              <w:rPr>
                <w:sz w:val="18"/>
                <w:szCs w:val="18"/>
              </w:rPr>
              <w:t>P302</w:t>
            </w:r>
            <w:r w:rsidRPr="00564AAA">
              <w:rPr>
                <w:sz w:val="18"/>
                <w:szCs w:val="18"/>
              </w:rPr>
              <w:br/>
              <w:t>+</w:t>
            </w:r>
            <w:r w:rsidRPr="00564AAA">
              <w:rPr>
                <w:sz w:val="18"/>
                <w:szCs w:val="18"/>
              </w:rPr>
              <w:br/>
              <w:t>P361</w:t>
            </w:r>
            <w:r w:rsidRPr="00564AAA">
              <w:rPr>
                <w:sz w:val="18"/>
                <w:szCs w:val="18"/>
              </w:rPr>
              <w:br/>
              <w:t xml:space="preserve"> + </w:t>
            </w:r>
            <w:r w:rsidRPr="00564AAA">
              <w:rPr>
                <w:sz w:val="18"/>
                <w:szCs w:val="18"/>
              </w:rPr>
              <w:br/>
              <w:t>P354</w:t>
            </w:r>
          </w:p>
        </w:tc>
        <w:tc>
          <w:tcPr>
            <w:tcW w:w="2811" w:type="dxa"/>
            <w:tcBorders>
              <w:top w:val="single" w:sz="2" w:space="0" w:color="auto"/>
              <w:left w:val="single" w:sz="2" w:space="0" w:color="auto"/>
              <w:bottom w:val="single" w:sz="2" w:space="0" w:color="auto"/>
              <w:right w:val="single" w:sz="2" w:space="0" w:color="auto"/>
            </w:tcBorders>
          </w:tcPr>
          <w:p w14:paraId="310AB713" w14:textId="039CFC07" w:rsidR="00F964A0" w:rsidRPr="00564AAA" w:rsidRDefault="00F964A0" w:rsidP="004E6A92">
            <w:pPr>
              <w:keepLines/>
              <w:spacing w:before="20" w:after="20"/>
              <w:rPr>
                <w:rStyle w:val="StyleBold"/>
                <w:sz w:val="18"/>
                <w:szCs w:val="18"/>
              </w:rPr>
            </w:pPr>
            <w:r w:rsidRPr="00564AAA">
              <w:rPr>
                <w:rStyle w:val="StyleBold"/>
                <w:sz w:val="18"/>
                <w:szCs w:val="18"/>
              </w:rPr>
              <w:t xml:space="preserve">EN CAS DE CONTACT AVEC LA PEAU : </w:t>
            </w:r>
            <w:r w:rsidR="002123A7" w:rsidRPr="00564AAA">
              <w:rPr>
                <w:rStyle w:val="StyleBold"/>
                <w:sz w:val="18"/>
                <w:szCs w:val="18"/>
              </w:rPr>
              <w:t xml:space="preserve">Enlever immédiatement tous les vêtements contaminés. Rincer immédiatement </w:t>
            </w:r>
            <w:r w:rsidR="00D647E7" w:rsidRPr="00564AAA">
              <w:rPr>
                <w:rStyle w:val="StyleBold"/>
                <w:sz w:val="18"/>
                <w:szCs w:val="18"/>
              </w:rPr>
              <w:t>à l’eau pendant plusieurs minutes</w:t>
            </w:r>
          </w:p>
        </w:tc>
        <w:tc>
          <w:tcPr>
            <w:tcW w:w="2268" w:type="dxa"/>
            <w:tcBorders>
              <w:top w:val="single" w:sz="2" w:space="0" w:color="auto"/>
              <w:left w:val="single" w:sz="2" w:space="0" w:color="auto"/>
              <w:bottom w:val="single" w:sz="2" w:space="0" w:color="auto"/>
              <w:right w:val="single" w:sz="2" w:space="0" w:color="auto"/>
            </w:tcBorders>
          </w:tcPr>
          <w:p w14:paraId="031E2A99" w14:textId="2F41DD13" w:rsidR="00F964A0" w:rsidRPr="00564AAA" w:rsidRDefault="00436309" w:rsidP="004E6A92">
            <w:pPr>
              <w:keepLines/>
              <w:spacing w:before="20" w:after="20"/>
              <w:rPr>
                <w:rStyle w:val="StyleBold"/>
                <w:b w:val="0"/>
                <w:bCs w:val="0"/>
              </w:rPr>
            </w:pPr>
            <w:r w:rsidRPr="00564AAA">
              <w:rPr>
                <w:rStyle w:val="StyleBold"/>
                <w:b w:val="0"/>
                <w:bCs w:val="0"/>
              </w:rPr>
              <w:t>Corrosion cutanée (chapitre 3.2)</w:t>
            </w:r>
          </w:p>
        </w:tc>
        <w:tc>
          <w:tcPr>
            <w:tcW w:w="1417" w:type="dxa"/>
            <w:tcBorders>
              <w:top w:val="single" w:sz="2" w:space="0" w:color="auto"/>
              <w:left w:val="single" w:sz="2" w:space="0" w:color="auto"/>
              <w:bottom w:val="single" w:sz="2" w:space="0" w:color="auto"/>
              <w:right w:val="single" w:sz="2" w:space="0" w:color="auto"/>
            </w:tcBorders>
          </w:tcPr>
          <w:p w14:paraId="3754E921" w14:textId="77777777" w:rsidR="00F964A0" w:rsidRPr="00F90701" w:rsidRDefault="00F964A0" w:rsidP="004E6A92">
            <w:pPr>
              <w:keepLines/>
              <w:spacing w:before="20" w:after="20"/>
              <w:jc w:val="center"/>
              <w:rPr>
                <w:sz w:val="18"/>
                <w:szCs w:val="18"/>
              </w:rPr>
            </w:pPr>
            <w:r w:rsidRPr="00564AAA">
              <w:rPr>
                <w:sz w:val="18"/>
                <w:szCs w:val="18"/>
              </w:rPr>
              <w:t>1, 1A, 1B, 1C</w:t>
            </w:r>
          </w:p>
        </w:tc>
        <w:tc>
          <w:tcPr>
            <w:tcW w:w="1191" w:type="dxa"/>
            <w:tcBorders>
              <w:top w:val="single" w:sz="2" w:space="0" w:color="auto"/>
              <w:left w:val="single" w:sz="2" w:space="0" w:color="auto"/>
              <w:bottom w:val="single" w:sz="2" w:space="0" w:color="auto"/>
              <w:right w:val="single" w:sz="2" w:space="0" w:color="auto"/>
            </w:tcBorders>
          </w:tcPr>
          <w:p w14:paraId="4F805DA6" w14:textId="77777777" w:rsidR="00F964A0" w:rsidRPr="00F90701" w:rsidRDefault="00F964A0" w:rsidP="004E6A92">
            <w:pPr>
              <w:pStyle w:val="BalloonText"/>
              <w:spacing w:before="30" w:after="30"/>
              <w:rPr>
                <w:rFonts w:ascii="Times New Roman" w:hAnsi="Times New Roman"/>
                <w:b/>
                <w:bCs/>
                <w:iCs/>
              </w:rPr>
            </w:pPr>
          </w:p>
        </w:tc>
      </w:tr>
    </w:tbl>
    <w:p w14:paraId="0B8AB379" w14:textId="0DCB4092" w:rsidR="00E82DE4" w:rsidRDefault="00E82DE4" w:rsidP="00371B0E">
      <w:pPr>
        <w:pStyle w:val="H1G"/>
        <w:numPr>
          <w:ilvl w:val="0"/>
          <w:numId w:val="24"/>
        </w:numPr>
        <w:tabs>
          <w:tab w:val="clear" w:pos="851"/>
          <w:tab w:val="right" w:pos="1134"/>
        </w:tabs>
        <w:ind w:left="1134" w:hanging="567"/>
      </w:pPr>
      <w:r>
        <w:t>A</w:t>
      </w:r>
      <w:r w:rsidRPr="00883923">
        <w:t>nnexe</w:t>
      </w:r>
      <w:r>
        <w:t> </w:t>
      </w:r>
      <w:r w:rsidRPr="00883923">
        <w:t xml:space="preserve">3, </w:t>
      </w:r>
      <w:r>
        <w:t xml:space="preserve">section 3, </w:t>
      </w:r>
      <w:r w:rsidRPr="00BA7D22">
        <w:t xml:space="preserve">tableau des conseils de prudence pour </w:t>
      </w:r>
      <w:r w:rsidRPr="00883923">
        <w:t>les liquides pyrophoriques (chap</w:t>
      </w:r>
      <w:r w:rsidR="001F5552">
        <w:t>itre</w:t>
      </w:r>
      <w:r>
        <w:t> </w:t>
      </w:r>
      <w:r w:rsidRPr="00883923">
        <w:t>2.9) et les matières solides pyrophoriques (chap</w:t>
      </w:r>
      <w:r w:rsidR="001F5552">
        <w:t>itre</w:t>
      </w:r>
      <w:r>
        <w:t> </w:t>
      </w:r>
      <w:r w:rsidRPr="00883923">
        <w:t>2.10)</w:t>
      </w:r>
      <w:r w:rsidR="00853BB0">
        <w:t>, colonne « </w:t>
      </w:r>
      <w:r w:rsidR="004F4A5B">
        <w:t>Prévention »</w:t>
      </w:r>
    </w:p>
    <w:p w14:paraId="4E7CEE50" w14:textId="080BF2EB" w:rsidR="00FC7D0D" w:rsidRPr="008C158E" w:rsidRDefault="00C70B45" w:rsidP="002E354E">
      <w:pPr>
        <w:pStyle w:val="H23G"/>
        <w:rPr>
          <w:b w:val="0"/>
          <w:bCs/>
          <w:i/>
          <w:iCs/>
        </w:rPr>
      </w:pPr>
      <w:r w:rsidRPr="003C7A61">
        <w:rPr>
          <w:b w:val="0"/>
          <w:bCs/>
        </w:rPr>
        <w:tab/>
      </w:r>
      <w:r w:rsidRPr="003C7A61">
        <w:rPr>
          <w:b w:val="0"/>
          <w:bCs/>
        </w:rPr>
        <w:tab/>
      </w:r>
      <w:r w:rsidR="00114793" w:rsidRPr="008C158E">
        <w:rPr>
          <w:b w:val="0"/>
          <w:bCs/>
          <w:i/>
          <w:iCs/>
        </w:rPr>
        <w:t>Insérer</w:t>
      </w:r>
    </w:p>
    <w:p w14:paraId="0A6CD1FA" w14:textId="77777777" w:rsidR="00E82DE4" w:rsidRPr="00883923" w:rsidRDefault="00E82DE4" w:rsidP="00E82DE4">
      <w:pPr>
        <w:pStyle w:val="SingleTxtG"/>
        <w:ind w:left="1701"/>
      </w:pPr>
      <w:r>
        <w:t>« </w:t>
      </w:r>
      <w:r w:rsidRPr="00883923">
        <w:t>P231</w:t>
      </w:r>
    </w:p>
    <w:p w14:paraId="0BC0143A" w14:textId="77777777" w:rsidR="00E82DE4" w:rsidRPr="00883923" w:rsidRDefault="00E82DE4" w:rsidP="00E82DE4">
      <w:pPr>
        <w:pStyle w:val="SingleTxtG"/>
        <w:ind w:left="1701"/>
        <w:rPr>
          <w:b/>
          <w:bCs/>
        </w:rPr>
      </w:pPr>
      <w:r w:rsidRPr="00883923">
        <w:rPr>
          <w:b/>
          <w:bCs/>
        </w:rPr>
        <w:t>Manipuler et stocker le contenu sous gaz inerte/…</w:t>
      </w:r>
    </w:p>
    <w:p w14:paraId="62D4B595" w14:textId="6CAA9737" w:rsidR="00E82DE4" w:rsidRDefault="00E82DE4" w:rsidP="00E82DE4">
      <w:pPr>
        <w:pStyle w:val="SingleTxtG"/>
        <w:ind w:left="1701"/>
      </w:pPr>
      <w:r w:rsidRPr="00883923">
        <w:t>…</w:t>
      </w:r>
      <w:r>
        <w:t xml:space="preserve"> </w:t>
      </w:r>
      <w:r w:rsidRPr="00883923">
        <w:t>Il revient au fabricant/fournisseur ou à l</w:t>
      </w:r>
      <w:r>
        <w:t>’</w:t>
      </w:r>
      <w:r w:rsidRPr="00883923">
        <w:t>autorité compétente de préciser le liquide ou le gaz approprié si le terme “gaz inerte” n</w:t>
      </w:r>
      <w:r>
        <w:t>’</w:t>
      </w:r>
      <w:r w:rsidRPr="00883923">
        <w:t>est pas approprié.</w:t>
      </w:r>
      <w:r>
        <w:t> ».</w:t>
      </w:r>
    </w:p>
    <w:p w14:paraId="091C28A4" w14:textId="13BFF6D5" w:rsidR="004342BA" w:rsidRDefault="00C13239" w:rsidP="00371B0E">
      <w:pPr>
        <w:pStyle w:val="H1G"/>
        <w:numPr>
          <w:ilvl w:val="0"/>
          <w:numId w:val="24"/>
        </w:numPr>
        <w:tabs>
          <w:tab w:val="clear" w:pos="851"/>
          <w:tab w:val="right" w:pos="1134"/>
        </w:tabs>
        <w:ind w:left="1134" w:hanging="567"/>
      </w:pPr>
      <w:r>
        <w:t xml:space="preserve">Annexe 3, section 3, </w:t>
      </w:r>
      <w:r w:rsidRPr="00BA7D22">
        <w:t>tableau des conseils de prudence</w:t>
      </w:r>
      <w:r>
        <w:t xml:space="preserve"> pour la corrosion </w:t>
      </w:r>
      <w:r w:rsidR="0042342B">
        <w:t xml:space="preserve">et l’irritation </w:t>
      </w:r>
      <w:r w:rsidR="0066417A">
        <w:t xml:space="preserve">cutanée (chap. 3.2), </w:t>
      </w:r>
      <w:r w:rsidR="00D75B85">
        <w:t xml:space="preserve">catégorie 2, </w:t>
      </w:r>
      <w:r w:rsidR="0066417A">
        <w:t>colonne « </w:t>
      </w:r>
      <w:r w:rsidR="004342BA">
        <w:t xml:space="preserve">Intervention », </w:t>
      </w:r>
      <w:r w:rsidR="00D75B85" w:rsidRPr="005F5A31">
        <w:t>P302+P352</w:t>
      </w:r>
    </w:p>
    <w:p w14:paraId="6AFC4DEA" w14:textId="77777777" w:rsidR="004706BC" w:rsidRDefault="004706BC" w:rsidP="004706BC">
      <w:pPr>
        <w:pStyle w:val="SingleTxtG"/>
        <w:rPr>
          <w:rFonts w:asciiTheme="majorBidi" w:hAnsiTheme="majorBidi" w:cstheme="majorBidi"/>
        </w:rPr>
      </w:pPr>
      <w:r w:rsidRPr="008D3D9D">
        <w:rPr>
          <w:rFonts w:asciiTheme="majorBidi" w:hAnsiTheme="majorBidi" w:cstheme="majorBidi"/>
        </w:rPr>
        <w:t>La correction ne s</w:t>
      </w:r>
      <w:r>
        <w:rPr>
          <w:rFonts w:asciiTheme="majorBidi" w:hAnsiTheme="majorBidi" w:cstheme="majorBidi"/>
        </w:rPr>
        <w:t>’</w:t>
      </w:r>
      <w:r w:rsidRPr="008D3D9D">
        <w:rPr>
          <w:rFonts w:asciiTheme="majorBidi" w:hAnsiTheme="majorBidi" w:cstheme="majorBidi"/>
        </w:rPr>
        <w:t>applique pas à la version française</w:t>
      </w:r>
    </w:p>
    <w:p w14:paraId="5F8C37C5" w14:textId="1CEBC9CC" w:rsidR="00E82DE4" w:rsidRPr="008D3D9D" w:rsidRDefault="00E82DE4" w:rsidP="00371B0E">
      <w:pPr>
        <w:pStyle w:val="H1G"/>
        <w:numPr>
          <w:ilvl w:val="0"/>
          <w:numId w:val="24"/>
        </w:numPr>
        <w:tabs>
          <w:tab w:val="clear" w:pos="851"/>
          <w:tab w:val="right" w:pos="1134"/>
        </w:tabs>
        <w:ind w:left="1134" w:hanging="567"/>
      </w:pPr>
      <w:r>
        <w:t>A</w:t>
      </w:r>
      <w:r w:rsidRPr="00883923">
        <w:t>nnexe</w:t>
      </w:r>
      <w:r>
        <w:t> </w:t>
      </w:r>
      <w:r w:rsidRPr="00883923">
        <w:t xml:space="preserve">3, </w:t>
      </w:r>
      <w:r>
        <w:t xml:space="preserve">section 3, </w:t>
      </w:r>
      <w:r w:rsidRPr="00BA7D22">
        <w:t xml:space="preserve">tableau des conseils de prudence </w:t>
      </w:r>
      <w:r>
        <w:t xml:space="preserve">pour </w:t>
      </w:r>
      <w:r w:rsidRPr="00883923">
        <w:t>les lésions</w:t>
      </w:r>
      <w:r>
        <w:br/>
      </w:r>
      <w:r w:rsidRPr="00883923">
        <w:t>et les irritations oculaires (chap</w:t>
      </w:r>
      <w:r>
        <w:t>. </w:t>
      </w:r>
      <w:r w:rsidRPr="00883923">
        <w:t xml:space="preserve">3.3), catégories </w:t>
      </w:r>
      <w:r>
        <w:br/>
      </w:r>
      <w:r w:rsidRPr="00883923">
        <w:t>de danger 1, 2/2A</w:t>
      </w:r>
      <w:r w:rsidR="00783EB9">
        <w:t>,</w:t>
      </w:r>
      <w:r w:rsidRPr="00883923">
        <w:t xml:space="preserve"> 2B</w:t>
      </w:r>
    </w:p>
    <w:p w14:paraId="2144699E" w14:textId="77777777" w:rsidR="00E82DE4" w:rsidRDefault="00E82DE4" w:rsidP="00E82DE4">
      <w:pPr>
        <w:pStyle w:val="SingleTxtG"/>
        <w:rPr>
          <w:rFonts w:asciiTheme="majorBidi" w:hAnsiTheme="majorBidi" w:cstheme="majorBidi"/>
        </w:rPr>
      </w:pPr>
      <w:r w:rsidRPr="008D3D9D">
        <w:rPr>
          <w:rFonts w:asciiTheme="majorBidi" w:hAnsiTheme="majorBidi" w:cstheme="majorBidi"/>
        </w:rPr>
        <w:t>La correction ne s</w:t>
      </w:r>
      <w:r>
        <w:rPr>
          <w:rFonts w:asciiTheme="majorBidi" w:hAnsiTheme="majorBidi" w:cstheme="majorBidi"/>
        </w:rPr>
        <w:t>’</w:t>
      </w:r>
      <w:r w:rsidRPr="008D3D9D">
        <w:rPr>
          <w:rFonts w:asciiTheme="majorBidi" w:hAnsiTheme="majorBidi" w:cstheme="majorBidi"/>
        </w:rPr>
        <w:t>applique pas à la version française</w:t>
      </w:r>
    </w:p>
    <w:p w14:paraId="58AC4855" w14:textId="381B91E4" w:rsidR="00E82DE4" w:rsidRPr="00BA7D22" w:rsidRDefault="00E82DE4" w:rsidP="00371B0E">
      <w:pPr>
        <w:pStyle w:val="H1G"/>
        <w:numPr>
          <w:ilvl w:val="0"/>
          <w:numId w:val="24"/>
        </w:numPr>
        <w:tabs>
          <w:tab w:val="clear" w:pos="851"/>
          <w:tab w:val="right" w:pos="1134"/>
        </w:tabs>
        <w:ind w:left="1134" w:hanging="567"/>
      </w:pPr>
      <w:r w:rsidRPr="00BA7D22">
        <w:t xml:space="preserve">Annexe 3, section 3, tableau des conseils de prudence pour </w:t>
      </w:r>
      <w:r>
        <w:t>les dangers pour le milieu aquatique (</w:t>
      </w:r>
      <w:r w:rsidRPr="00BA7D22">
        <w:t>danger</w:t>
      </w:r>
      <w:r>
        <w:t>s</w:t>
      </w:r>
      <w:r w:rsidRPr="00BA7D22">
        <w:t xml:space="preserve"> à long terme</w:t>
      </w:r>
      <w:r>
        <w:t>)</w:t>
      </w:r>
      <w:r w:rsidRPr="00BA7D22">
        <w:t xml:space="preserve">, </w:t>
      </w:r>
      <w:r>
        <w:t>c</w:t>
      </w:r>
      <w:r w:rsidRPr="00BA7D22">
        <w:t>atégories 1</w:t>
      </w:r>
      <w:r>
        <w:t>,</w:t>
      </w:r>
      <w:r w:rsidRPr="00BA7D22">
        <w:t xml:space="preserve"> 2</w:t>
      </w:r>
      <w:r>
        <w:t xml:space="preserve"> et 3 </w:t>
      </w:r>
      <w:r w:rsidRPr="00BA7D22">
        <w:t>mentions de danger H410</w:t>
      </w:r>
      <w:r>
        <w:t>,</w:t>
      </w:r>
      <w:r w:rsidRPr="00BA7D22">
        <w:t xml:space="preserve"> H411</w:t>
      </w:r>
      <w:r>
        <w:t xml:space="preserve"> et H412</w:t>
      </w:r>
    </w:p>
    <w:p w14:paraId="645FD8CB" w14:textId="77777777" w:rsidR="00E82DE4" w:rsidRDefault="00E82DE4" w:rsidP="00E82DE4">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1FCF154C" w14:textId="0BF898BE" w:rsidR="00E82DE4" w:rsidRPr="001E2753" w:rsidRDefault="00E82DE4" w:rsidP="00371B0E">
      <w:pPr>
        <w:pStyle w:val="H1G"/>
        <w:numPr>
          <w:ilvl w:val="0"/>
          <w:numId w:val="24"/>
        </w:numPr>
        <w:tabs>
          <w:tab w:val="clear" w:pos="851"/>
          <w:tab w:val="right" w:pos="1134"/>
        </w:tabs>
        <w:ind w:left="1134" w:hanging="567"/>
      </w:pPr>
      <w:r w:rsidRPr="001E2753">
        <w:lastRenderedPageBreak/>
        <w:t>Annexe 7, exemple 10, cas de figure B</w:t>
      </w:r>
    </w:p>
    <w:p w14:paraId="6670BBC1" w14:textId="69A3CBE7" w:rsidR="00E82DE4" w:rsidRPr="001E2753" w:rsidRDefault="00E82DE4" w:rsidP="00E82DE4">
      <w:pPr>
        <w:pStyle w:val="SingleTxtG"/>
      </w:pPr>
      <w:r w:rsidRPr="001E2753">
        <w:t xml:space="preserve">La correction </w:t>
      </w:r>
      <w:r w:rsidR="00735E40" w:rsidRPr="001E2753">
        <w:t xml:space="preserve">concernant l’étiquetage d’un récipient intérieur </w:t>
      </w:r>
      <w:r w:rsidRPr="001E2753">
        <w:t>ne s’applique pas à la version française</w:t>
      </w:r>
    </w:p>
    <w:p w14:paraId="30278450" w14:textId="2FA6D297" w:rsidR="007C2B6E" w:rsidRDefault="00735E40" w:rsidP="007C2B6E">
      <w:pPr>
        <w:pStyle w:val="SingleTxtG"/>
        <w:rPr>
          <w:lang w:val="fr-FR"/>
        </w:rPr>
      </w:pPr>
      <w:r w:rsidRPr="001E2753">
        <w:t>Dans le tableau</w:t>
      </w:r>
      <w:r w:rsidR="007C2B6E" w:rsidRPr="001E2753">
        <w:t xml:space="preserve"> montrant les « informations d’étiquetage complètes », sous la colonne « mention(s) de danger » </w:t>
      </w:r>
      <w:r w:rsidR="007C2B6E" w:rsidRPr="001E2753">
        <w:rPr>
          <w:i/>
          <w:lang w:val="fr-FR"/>
        </w:rPr>
        <w:t xml:space="preserve">au lieu de </w:t>
      </w:r>
      <w:r w:rsidR="007C2B6E" w:rsidRPr="001E2753">
        <w:rPr>
          <w:lang w:val="fr-FR"/>
        </w:rPr>
        <w:t xml:space="preserve">effets néfastes à long terme </w:t>
      </w:r>
      <w:r w:rsidR="007C2B6E" w:rsidRPr="001E2753">
        <w:rPr>
          <w:i/>
          <w:lang w:val="fr-FR"/>
        </w:rPr>
        <w:t>lire</w:t>
      </w:r>
      <w:r w:rsidR="007C2B6E" w:rsidRPr="001E2753">
        <w:rPr>
          <w:lang w:val="fr-FR"/>
        </w:rPr>
        <w:t xml:space="preserve"> effets à long terme</w:t>
      </w:r>
    </w:p>
    <w:p w14:paraId="5E2198CA" w14:textId="0A06188C" w:rsidR="00E82DE4" w:rsidRDefault="00E82DE4" w:rsidP="00371B0E">
      <w:pPr>
        <w:pStyle w:val="H1G"/>
        <w:numPr>
          <w:ilvl w:val="0"/>
          <w:numId w:val="24"/>
        </w:numPr>
        <w:tabs>
          <w:tab w:val="clear" w:pos="851"/>
          <w:tab w:val="right" w:pos="1134"/>
        </w:tabs>
        <w:ind w:left="1134" w:hanging="567"/>
      </w:pPr>
      <w:r>
        <w:t xml:space="preserve">Annexe 9, paragraphe </w:t>
      </w:r>
      <w:r w:rsidRPr="008D3D9D">
        <w:t>A9.5.2.3.5</w:t>
      </w:r>
    </w:p>
    <w:p w14:paraId="49EF5DF7" w14:textId="77777777" w:rsidR="00E82DE4" w:rsidRPr="00392CBF" w:rsidRDefault="00E82DE4" w:rsidP="00E82DE4">
      <w:pPr>
        <w:pStyle w:val="SingleTxtG"/>
      </w:pPr>
      <w:r w:rsidRPr="00392CBF">
        <w:rPr>
          <w:i/>
          <w:iCs/>
        </w:rPr>
        <w:t>Au lieu de</w:t>
      </w:r>
      <w:r w:rsidRPr="00392CBF">
        <w:t xml:space="preserve"> OCDE, 1996 </w:t>
      </w:r>
      <w:r w:rsidRPr="00392CBF">
        <w:rPr>
          <w:i/>
          <w:iCs/>
        </w:rPr>
        <w:t>lire</w:t>
      </w:r>
      <w:r w:rsidRPr="00392CBF">
        <w:t xml:space="preserve"> OCDE, 1992.</w:t>
      </w:r>
    </w:p>
    <w:p w14:paraId="3B560AEE" w14:textId="77777777" w:rsidR="00577D18" w:rsidRPr="00577D18" w:rsidRDefault="00577D18" w:rsidP="00577D18">
      <w:pPr>
        <w:pStyle w:val="SingleTxtG"/>
        <w:spacing w:before="240" w:after="0"/>
        <w:jc w:val="center"/>
        <w:rPr>
          <w:u w:val="single"/>
        </w:rPr>
      </w:pPr>
      <w:r>
        <w:rPr>
          <w:i/>
          <w:u w:val="single"/>
        </w:rPr>
        <w:tab/>
      </w:r>
      <w:r>
        <w:rPr>
          <w:i/>
          <w:u w:val="single"/>
        </w:rPr>
        <w:tab/>
      </w:r>
      <w:r>
        <w:rPr>
          <w:i/>
          <w:u w:val="single"/>
        </w:rPr>
        <w:tab/>
      </w:r>
    </w:p>
    <w:sectPr w:rsidR="00577D18" w:rsidRPr="00577D18" w:rsidSect="00EE5FD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6B26" w14:textId="77777777" w:rsidR="00F77875" w:rsidRDefault="00F77875"/>
  </w:endnote>
  <w:endnote w:type="continuationSeparator" w:id="0">
    <w:p w14:paraId="1386573E" w14:textId="77777777" w:rsidR="00F77875" w:rsidRDefault="00F77875">
      <w:pPr>
        <w:pStyle w:val="Footer"/>
      </w:pPr>
    </w:p>
  </w:endnote>
  <w:endnote w:type="continuationNotice" w:id="1">
    <w:p w14:paraId="23C66BE7" w14:textId="77777777" w:rsidR="00F77875" w:rsidRDefault="00F7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0791" w14:textId="77777777" w:rsidR="00922E5C" w:rsidRPr="00EE5FD0" w:rsidRDefault="00922E5C" w:rsidP="00EE5FD0">
    <w:pPr>
      <w:pStyle w:val="Footer"/>
      <w:tabs>
        <w:tab w:val="right" w:pos="9638"/>
      </w:tabs>
      <w:rPr>
        <w:sz w:val="18"/>
      </w:rPr>
    </w:pPr>
    <w:r w:rsidRPr="00EE5FD0">
      <w:rPr>
        <w:b/>
        <w:sz w:val="18"/>
      </w:rPr>
      <w:fldChar w:fldCharType="begin"/>
    </w:r>
    <w:r w:rsidRPr="00EE5FD0">
      <w:rPr>
        <w:b/>
        <w:sz w:val="18"/>
      </w:rPr>
      <w:instrText xml:space="preserve"> PAGE  \* MERGEFORMAT </w:instrText>
    </w:r>
    <w:r w:rsidRPr="00EE5FD0">
      <w:rPr>
        <w:b/>
        <w:sz w:val="18"/>
      </w:rPr>
      <w:fldChar w:fldCharType="separate"/>
    </w:r>
    <w:r w:rsidR="00025DAF">
      <w:rPr>
        <w:b/>
        <w:noProof/>
        <w:sz w:val="18"/>
      </w:rPr>
      <w:t>2</w:t>
    </w:r>
    <w:r w:rsidRPr="00EE5FD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1DEA" w14:textId="77777777" w:rsidR="00922E5C" w:rsidRPr="00EE5FD0" w:rsidRDefault="00922E5C" w:rsidP="00EE5FD0">
    <w:pPr>
      <w:pStyle w:val="Footer"/>
      <w:tabs>
        <w:tab w:val="right" w:pos="9638"/>
      </w:tabs>
      <w:rPr>
        <w:b/>
        <w:sz w:val="18"/>
      </w:rPr>
    </w:pPr>
    <w:r>
      <w:tab/>
    </w:r>
    <w:r w:rsidRPr="00EE5FD0">
      <w:rPr>
        <w:b/>
        <w:sz w:val="18"/>
      </w:rPr>
      <w:fldChar w:fldCharType="begin"/>
    </w:r>
    <w:r w:rsidRPr="00EE5FD0">
      <w:rPr>
        <w:b/>
        <w:sz w:val="18"/>
      </w:rPr>
      <w:instrText xml:space="preserve"> PAGE  \* MERGEFORMAT </w:instrText>
    </w:r>
    <w:r w:rsidRPr="00EE5FD0">
      <w:rPr>
        <w:b/>
        <w:sz w:val="18"/>
      </w:rPr>
      <w:fldChar w:fldCharType="separate"/>
    </w:r>
    <w:r w:rsidR="008D1C27">
      <w:rPr>
        <w:b/>
        <w:noProof/>
        <w:sz w:val="18"/>
      </w:rPr>
      <w:t>5</w:t>
    </w:r>
    <w:r w:rsidRPr="00EE5F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D73A" w14:textId="69BD9823" w:rsidR="00922E5C" w:rsidRPr="00BB5E2D" w:rsidRDefault="00922E5C" w:rsidP="00133723">
    <w:pPr>
      <w:pStyle w:val="Footer"/>
      <w:pBdr>
        <w:top w:val="single" w:sz="12" w:space="1" w:color="auto"/>
      </w:pBdr>
      <w:spacing w:before="120" w:after="120"/>
      <w:jc w:val="right"/>
      <w:rPr>
        <w:b/>
        <w:sz w:val="20"/>
        <w:lang w:val="en-GB"/>
      </w:rPr>
    </w:pPr>
    <w:r w:rsidRPr="00BB5E2D">
      <w:rPr>
        <w:b/>
        <w:sz w:val="20"/>
        <w:lang w:val="en-GB"/>
      </w:rPr>
      <w:t>ST/SG/AC.10/30/Rev.</w:t>
    </w:r>
    <w:r w:rsidR="00E82DE4" w:rsidRPr="00BB5E2D">
      <w:rPr>
        <w:b/>
        <w:sz w:val="20"/>
        <w:lang w:val="en-GB"/>
      </w:rPr>
      <w:t>8</w:t>
    </w:r>
    <w:r w:rsidRPr="00BB5E2D">
      <w:rPr>
        <w:b/>
        <w:sz w:val="20"/>
        <w:lang w:val="en-GB"/>
      </w:rPr>
      <w:t>/Corr.</w:t>
    </w:r>
    <w:r w:rsidR="00E82DE4" w:rsidRPr="00BB5E2D">
      <w:rPr>
        <w:b/>
        <w:sz w:val="20"/>
        <w:lang w:val="en-GB"/>
      </w:rPr>
      <w:t>1</w:t>
    </w:r>
  </w:p>
  <w:p w14:paraId="298275CB" w14:textId="6AF5C923" w:rsidR="00DF2873" w:rsidRPr="008A733E" w:rsidRDefault="00DF2873" w:rsidP="00DF2873">
    <w:pPr>
      <w:jc w:val="right"/>
      <w:rPr>
        <w:b/>
        <w:bCs/>
        <w:lang w:val="en-GB"/>
      </w:rPr>
    </w:pPr>
    <w:proofErr w:type="spellStart"/>
    <w:r w:rsidRPr="008A733E">
      <w:rPr>
        <w:b/>
        <w:bCs/>
        <w:lang w:val="en-GB"/>
      </w:rPr>
      <w:t>Français</w:t>
    </w:r>
    <w:proofErr w:type="spellEnd"/>
  </w:p>
  <w:p w14:paraId="708ADF08" w14:textId="455EF827" w:rsidR="00EB73CC" w:rsidRPr="008A733E" w:rsidRDefault="00E347FC" w:rsidP="00E82DE4">
    <w:pPr>
      <w:pStyle w:val="Footer"/>
      <w:tabs>
        <w:tab w:val="center" w:pos="4153"/>
        <w:tab w:val="right" w:pos="8306"/>
      </w:tabs>
      <w:jc w:val="right"/>
      <w:rPr>
        <w:b/>
        <w:bCs/>
        <w:i/>
      </w:rPr>
    </w:pPr>
    <w:r w:rsidRPr="008A733E">
      <w:rPr>
        <w:b/>
        <w:bCs/>
        <w:sz w:val="20"/>
      </w:rPr>
      <w:t xml:space="preserve">Original : </w:t>
    </w:r>
    <w:r w:rsidR="00E82DE4" w:rsidRPr="008A733E">
      <w:rPr>
        <w:b/>
        <w:bCs/>
        <w:sz w:val="20"/>
      </w:rPr>
      <w:t xml:space="preserve">anglais et </w:t>
    </w:r>
    <w:r w:rsidRPr="008A733E">
      <w:rPr>
        <w:b/>
        <w:bCs/>
        <w:sz w:val="20"/>
      </w:rPr>
      <w:t>f</w:t>
    </w:r>
    <w:r w:rsidR="00EB73CC" w:rsidRPr="008A733E">
      <w:rPr>
        <w:b/>
        <w:bCs/>
        <w:sz w:val="20"/>
      </w:rPr>
      <w:t>rançais</w:t>
    </w:r>
    <w:r w:rsidR="00EB73CC" w:rsidRPr="008A733E">
      <w:rPr>
        <w:b/>
        <w:bCs/>
        <w:i/>
        <w:sz w:val="20"/>
      </w:rPr>
      <w:t xml:space="preserve"> </w:t>
    </w:r>
  </w:p>
  <w:p w14:paraId="1A9B2ACC" w14:textId="77777777" w:rsidR="00922E5C" w:rsidRPr="00EE5FD0" w:rsidRDefault="00922E5C" w:rsidP="00EE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4E316" w14:textId="77777777" w:rsidR="00F77875" w:rsidRPr="00D27D5E" w:rsidRDefault="00F77875" w:rsidP="00D27D5E">
      <w:pPr>
        <w:tabs>
          <w:tab w:val="right" w:pos="2155"/>
        </w:tabs>
        <w:spacing w:after="80"/>
        <w:ind w:left="680"/>
        <w:rPr>
          <w:u w:val="single"/>
        </w:rPr>
      </w:pPr>
      <w:r>
        <w:rPr>
          <w:u w:val="single"/>
        </w:rPr>
        <w:tab/>
      </w:r>
    </w:p>
  </w:footnote>
  <w:footnote w:type="continuationSeparator" w:id="0">
    <w:p w14:paraId="7C1A44E9" w14:textId="77777777" w:rsidR="00F77875" w:rsidRPr="00E35D8F" w:rsidRDefault="00F77875" w:rsidP="00E35D8F">
      <w:pPr>
        <w:tabs>
          <w:tab w:val="right" w:pos="2155"/>
        </w:tabs>
        <w:spacing w:after="80"/>
        <w:ind w:left="680"/>
        <w:rPr>
          <w:u w:val="single"/>
        </w:rPr>
      </w:pPr>
      <w:r w:rsidRPr="00E35D8F">
        <w:rPr>
          <w:u w:val="single"/>
        </w:rPr>
        <w:tab/>
      </w:r>
    </w:p>
  </w:footnote>
  <w:footnote w:type="continuationNotice" w:id="1">
    <w:p w14:paraId="29ABD694" w14:textId="77777777" w:rsidR="00F77875" w:rsidRDefault="00F77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42BF" w14:textId="47524604" w:rsidR="00922E5C" w:rsidRPr="008264EB" w:rsidRDefault="00922E5C">
    <w:pPr>
      <w:pStyle w:val="Header"/>
      <w:rPr>
        <w:lang w:val="en-GB"/>
      </w:rPr>
    </w:pPr>
    <w:r w:rsidRPr="008264EB">
      <w:rPr>
        <w:lang w:val="en-GB"/>
      </w:rPr>
      <w:t>ST/SG/AC.10/30/Rev.</w:t>
    </w:r>
    <w:r w:rsidR="006D3817">
      <w:rPr>
        <w:lang w:val="en-GB"/>
      </w:rPr>
      <w:t>8</w:t>
    </w:r>
    <w:r w:rsidRPr="008264EB">
      <w:rPr>
        <w:lang w:val="en-GB"/>
      </w:rPr>
      <w:t>/Corr.</w:t>
    </w:r>
    <w:r w:rsidR="006D3817">
      <w:rPr>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49A1" w14:textId="658E6720" w:rsidR="00922E5C" w:rsidRPr="008264EB" w:rsidRDefault="00110F06" w:rsidP="00110F06">
    <w:pPr>
      <w:pStyle w:val="Header"/>
      <w:jc w:val="right"/>
      <w:rPr>
        <w:lang w:val="en-GB"/>
      </w:rPr>
    </w:pPr>
    <w:r w:rsidRPr="008264EB">
      <w:rPr>
        <w:lang w:val="en-GB"/>
      </w:rPr>
      <w:t>ST/SG/AC.10/30/Rev.</w:t>
    </w:r>
    <w:r w:rsidR="006D3817">
      <w:rPr>
        <w:lang w:val="en-GB"/>
      </w:rPr>
      <w:t>8</w:t>
    </w:r>
    <w:r w:rsidRPr="008264EB">
      <w:rPr>
        <w:lang w:val="en-GB"/>
      </w:rPr>
      <w:t>/Corr.</w:t>
    </w:r>
    <w:r w:rsidR="006D3817">
      <w:rPr>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15:restartNumberingAfterBreak="0">
    <w:nsid w:val="387B0ECA"/>
    <w:multiLevelType w:val="hybridMultilevel"/>
    <w:tmpl w:val="DF4AA19E"/>
    <w:lvl w:ilvl="0" w:tplc="14569F54">
      <w:start w:val="1"/>
      <w:numFmt w:val="decimal"/>
      <w:lvlText w:val="%1."/>
      <w:lvlJc w:val="left"/>
      <w:pPr>
        <w:ind w:left="1128" w:hanging="456"/>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DD37832"/>
    <w:multiLevelType w:val="hybridMultilevel"/>
    <w:tmpl w:val="F57A0200"/>
    <w:lvl w:ilvl="0" w:tplc="0809000F">
      <w:start w:val="1"/>
      <w:numFmt w:val="decimal"/>
      <w:lvlText w:val="%1."/>
      <w:lvlJc w:val="left"/>
      <w:pPr>
        <w:ind w:left="1389" w:hanging="360"/>
      </w:pPr>
    </w:lvl>
    <w:lvl w:ilvl="1" w:tplc="08090019" w:tentative="1">
      <w:start w:val="1"/>
      <w:numFmt w:val="lowerLetter"/>
      <w:lvlText w:val="%2."/>
      <w:lvlJc w:val="left"/>
      <w:pPr>
        <w:ind w:left="2109" w:hanging="360"/>
      </w:pPr>
    </w:lvl>
    <w:lvl w:ilvl="2" w:tplc="0809001B" w:tentative="1">
      <w:start w:val="1"/>
      <w:numFmt w:val="lowerRoman"/>
      <w:lvlText w:val="%3."/>
      <w:lvlJc w:val="right"/>
      <w:pPr>
        <w:ind w:left="2829" w:hanging="180"/>
      </w:pPr>
    </w:lvl>
    <w:lvl w:ilvl="3" w:tplc="0809000F" w:tentative="1">
      <w:start w:val="1"/>
      <w:numFmt w:val="decimal"/>
      <w:lvlText w:val="%4."/>
      <w:lvlJc w:val="left"/>
      <w:pPr>
        <w:ind w:left="3549" w:hanging="360"/>
      </w:pPr>
    </w:lvl>
    <w:lvl w:ilvl="4" w:tplc="08090019" w:tentative="1">
      <w:start w:val="1"/>
      <w:numFmt w:val="lowerLetter"/>
      <w:lvlText w:val="%5."/>
      <w:lvlJc w:val="left"/>
      <w:pPr>
        <w:ind w:left="4269" w:hanging="360"/>
      </w:pPr>
    </w:lvl>
    <w:lvl w:ilvl="5" w:tplc="0809001B" w:tentative="1">
      <w:start w:val="1"/>
      <w:numFmt w:val="lowerRoman"/>
      <w:lvlText w:val="%6."/>
      <w:lvlJc w:val="right"/>
      <w:pPr>
        <w:ind w:left="4989" w:hanging="180"/>
      </w:pPr>
    </w:lvl>
    <w:lvl w:ilvl="6" w:tplc="0809000F" w:tentative="1">
      <w:start w:val="1"/>
      <w:numFmt w:val="decimal"/>
      <w:lvlText w:val="%7."/>
      <w:lvlJc w:val="left"/>
      <w:pPr>
        <w:ind w:left="5709" w:hanging="360"/>
      </w:pPr>
    </w:lvl>
    <w:lvl w:ilvl="7" w:tplc="08090019" w:tentative="1">
      <w:start w:val="1"/>
      <w:numFmt w:val="lowerLetter"/>
      <w:lvlText w:val="%8."/>
      <w:lvlJc w:val="left"/>
      <w:pPr>
        <w:ind w:left="6429" w:hanging="360"/>
      </w:pPr>
    </w:lvl>
    <w:lvl w:ilvl="8" w:tplc="0809001B" w:tentative="1">
      <w:start w:val="1"/>
      <w:numFmt w:val="lowerRoman"/>
      <w:lvlText w:val="%9."/>
      <w:lvlJc w:val="right"/>
      <w:pPr>
        <w:ind w:left="7149" w:hanging="180"/>
      </w:pPr>
    </w:lvl>
  </w:abstractNum>
  <w:abstractNum w:abstractNumId="19"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9"/>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6"/>
  </w:num>
  <w:num w:numId="15">
    <w:abstractNumId w:val="14"/>
  </w:num>
  <w:num w:numId="16">
    <w:abstractNumId w:val="17"/>
  </w:num>
  <w:num w:numId="17">
    <w:abstractNumId w:val="12"/>
  </w:num>
  <w:num w:numId="18">
    <w:abstractNumId w:val="15"/>
  </w:num>
  <w:num w:numId="19">
    <w:abstractNumId w:val="17"/>
  </w:num>
  <w:num w:numId="20">
    <w:abstractNumId w:val="17"/>
  </w:num>
  <w:num w:numId="21">
    <w:abstractNumId w:val="17"/>
  </w:num>
  <w:num w:numId="22">
    <w:abstractNumId w:val="17"/>
  </w:num>
  <w:num w:numId="23">
    <w:abstractNumId w:val="12"/>
  </w:num>
  <w:num w:numId="24">
    <w:abstractNumId w:val="18"/>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FD0"/>
    <w:rsid w:val="000022A4"/>
    <w:rsid w:val="00003801"/>
    <w:rsid w:val="00016AC5"/>
    <w:rsid w:val="00025DAF"/>
    <w:rsid w:val="0003049C"/>
    <w:rsid w:val="00044828"/>
    <w:rsid w:val="000645FF"/>
    <w:rsid w:val="00080BCE"/>
    <w:rsid w:val="000A147A"/>
    <w:rsid w:val="000B3962"/>
    <w:rsid w:val="000C07BD"/>
    <w:rsid w:val="000D43AB"/>
    <w:rsid w:val="000F41F2"/>
    <w:rsid w:val="000F5C15"/>
    <w:rsid w:val="00110F06"/>
    <w:rsid w:val="00114793"/>
    <w:rsid w:val="001161A7"/>
    <w:rsid w:val="00121DD0"/>
    <w:rsid w:val="00132B69"/>
    <w:rsid w:val="00133723"/>
    <w:rsid w:val="001348DC"/>
    <w:rsid w:val="00136332"/>
    <w:rsid w:val="0013722D"/>
    <w:rsid w:val="00143C36"/>
    <w:rsid w:val="001465A9"/>
    <w:rsid w:val="0015263C"/>
    <w:rsid w:val="00160540"/>
    <w:rsid w:val="00192EEB"/>
    <w:rsid w:val="001A20FB"/>
    <w:rsid w:val="001C77C8"/>
    <w:rsid w:val="001D1432"/>
    <w:rsid w:val="001D4440"/>
    <w:rsid w:val="001D7F8A"/>
    <w:rsid w:val="001E2753"/>
    <w:rsid w:val="001E3FEB"/>
    <w:rsid w:val="001E4A02"/>
    <w:rsid w:val="001F1A55"/>
    <w:rsid w:val="001F5552"/>
    <w:rsid w:val="00207649"/>
    <w:rsid w:val="002123A7"/>
    <w:rsid w:val="002137CB"/>
    <w:rsid w:val="00225A8C"/>
    <w:rsid w:val="00227F51"/>
    <w:rsid w:val="002659F1"/>
    <w:rsid w:val="0027220A"/>
    <w:rsid w:val="00284175"/>
    <w:rsid w:val="00287E79"/>
    <w:rsid w:val="002928F9"/>
    <w:rsid w:val="002A5D07"/>
    <w:rsid w:val="002A7383"/>
    <w:rsid w:val="002B3408"/>
    <w:rsid w:val="002E354E"/>
    <w:rsid w:val="003016B7"/>
    <w:rsid w:val="00324EEA"/>
    <w:rsid w:val="003343ED"/>
    <w:rsid w:val="003515AA"/>
    <w:rsid w:val="00361317"/>
    <w:rsid w:val="0036534E"/>
    <w:rsid w:val="00371B0E"/>
    <w:rsid w:val="00374106"/>
    <w:rsid w:val="003805E5"/>
    <w:rsid w:val="0039267B"/>
    <w:rsid w:val="003976D5"/>
    <w:rsid w:val="003A06B4"/>
    <w:rsid w:val="003B0F4C"/>
    <w:rsid w:val="003B7F4C"/>
    <w:rsid w:val="003C12C8"/>
    <w:rsid w:val="003C7A61"/>
    <w:rsid w:val="003D6C68"/>
    <w:rsid w:val="00411D02"/>
    <w:rsid w:val="004159D0"/>
    <w:rsid w:val="0042342B"/>
    <w:rsid w:val="00425FD2"/>
    <w:rsid w:val="004342BA"/>
    <w:rsid w:val="00436309"/>
    <w:rsid w:val="0044039B"/>
    <w:rsid w:val="004561DA"/>
    <w:rsid w:val="00464EEE"/>
    <w:rsid w:val="004706BC"/>
    <w:rsid w:val="00490A92"/>
    <w:rsid w:val="004E2421"/>
    <w:rsid w:val="004F4A5B"/>
    <w:rsid w:val="00525E2F"/>
    <w:rsid w:val="00543D5E"/>
    <w:rsid w:val="00544C5A"/>
    <w:rsid w:val="00556BAC"/>
    <w:rsid w:val="00564AAA"/>
    <w:rsid w:val="00565941"/>
    <w:rsid w:val="00570924"/>
    <w:rsid w:val="00571F41"/>
    <w:rsid w:val="00577D18"/>
    <w:rsid w:val="005933FA"/>
    <w:rsid w:val="005C42A1"/>
    <w:rsid w:val="005D7F28"/>
    <w:rsid w:val="005E0E3D"/>
    <w:rsid w:val="005E5D1F"/>
    <w:rsid w:val="005F45C5"/>
    <w:rsid w:val="00611D43"/>
    <w:rsid w:val="00612D48"/>
    <w:rsid w:val="006165A4"/>
    <w:rsid w:val="00616B45"/>
    <w:rsid w:val="006240A4"/>
    <w:rsid w:val="00630D9B"/>
    <w:rsid w:val="00631953"/>
    <w:rsid w:val="006408D9"/>
    <w:rsid w:val="006439EC"/>
    <w:rsid w:val="006619E0"/>
    <w:rsid w:val="0066417A"/>
    <w:rsid w:val="00672371"/>
    <w:rsid w:val="0067463C"/>
    <w:rsid w:val="00677EE3"/>
    <w:rsid w:val="006B1CDC"/>
    <w:rsid w:val="006B2E14"/>
    <w:rsid w:val="006B4590"/>
    <w:rsid w:val="006B4C62"/>
    <w:rsid w:val="006C340C"/>
    <w:rsid w:val="006D3817"/>
    <w:rsid w:val="006E4728"/>
    <w:rsid w:val="006E4FC7"/>
    <w:rsid w:val="006E7656"/>
    <w:rsid w:val="006F35F4"/>
    <w:rsid w:val="0070347C"/>
    <w:rsid w:val="00710765"/>
    <w:rsid w:val="007176C1"/>
    <w:rsid w:val="00735E40"/>
    <w:rsid w:val="00760033"/>
    <w:rsid w:val="00772949"/>
    <w:rsid w:val="00783EB9"/>
    <w:rsid w:val="007A32B1"/>
    <w:rsid w:val="007C2B6E"/>
    <w:rsid w:val="007F55CB"/>
    <w:rsid w:val="00803D45"/>
    <w:rsid w:val="00806C5B"/>
    <w:rsid w:val="0081313F"/>
    <w:rsid w:val="00820806"/>
    <w:rsid w:val="008263E0"/>
    <w:rsid w:val="008264EB"/>
    <w:rsid w:val="0083008E"/>
    <w:rsid w:val="00844750"/>
    <w:rsid w:val="00853BB0"/>
    <w:rsid w:val="008622F8"/>
    <w:rsid w:val="00873B3C"/>
    <w:rsid w:val="00875D9D"/>
    <w:rsid w:val="008A733E"/>
    <w:rsid w:val="008B44C4"/>
    <w:rsid w:val="008C158E"/>
    <w:rsid w:val="008D1C27"/>
    <w:rsid w:val="008E20B8"/>
    <w:rsid w:val="008E7FAE"/>
    <w:rsid w:val="008F10F3"/>
    <w:rsid w:val="00903214"/>
    <w:rsid w:val="0090583B"/>
    <w:rsid w:val="00910930"/>
    <w:rsid w:val="00911BF7"/>
    <w:rsid w:val="009170BA"/>
    <w:rsid w:val="00922E5C"/>
    <w:rsid w:val="009329A6"/>
    <w:rsid w:val="009637FC"/>
    <w:rsid w:val="009728A9"/>
    <w:rsid w:val="0097677A"/>
    <w:rsid w:val="00977EC8"/>
    <w:rsid w:val="009B0360"/>
    <w:rsid w:val="009B2EE2"/>
    <w:rsid w:val="009D3A8C"/>
    <w:rsid w:val="009D542D"/>
    <w:rsid w:val="009E1DBB"/>
    <w:rsid w:val="009E3D5C"/>
    <w:rsid w:val="009E7956"/>
    <w:rsid w:val="00A06F56"/>
    <w:rsid w:val="00A07751"/>
    <w:rsid w:val="00A2492E"/>
    <w:rsid w:val="00A402A4"/>
    <w:rsid w:val="00A45668"/>
    <w:rsid w:val="00A574B7"/>
    <w:rsid w:val="00A720C2"/>
    <w:rsid w:val="00A7770A"/>
    <w:rsid w:val="00A8385E"/>
    <w:rsid w:val="00AB51C8"/>
    <w:rsid w:val="00AC31AF"/>
    <w:rsid w:val="00AC67A1"/>
    <w:rsid w:val="00AC7977"/>
    <w:rsid w:val="00AE352C"/>
    <w:rsid w:val="00AF1CE8"/>
    <w:rsid w:val="00AF4963"/>
    <w:rsid w:val="00B32E2D"/>
    <w:rsid w:val="00B61990"/>
    <w:rsid w:val="00B75F3B"/>
    <w:rsid w:val="00BA595C"/>
    <w:rsid w:val="00BB5E2D"/>
    <w:rsid w:val="00BC2CC3"/>
    <w:rsid w:val="00BC3CEF"/>
    <w:rsid w:val="00BD2521"/>
    <w:rsid w:val="00BE1238"/>
    <w:rsid w:val="00BF0556"/>
    <w:rsid w:val="00BF46BB"/>
    <w:rsid w:val="00C00E02"/>
    <w:rsid w:val="00C12EDA"/>
    <w:rsid w:val="00C13239"/>
    <w:rsid w:val="00C14243"/>
    <w:rsid w:val="00C261F8"/>
    <w:rsid w:val="00C33100"/>
    <w:rsid w:val="00C37A60"/>
    <w:rsid w:val="00C43D8E"/>
    <w:rsid w:val="00C55A1B"/>
    <w:rsid w:val="00C55F72"/>
    <w:rsid w:val="00C70B45"/>
    <w:rsid w:val="00C87B70"/>
    <w:rsid w:val="00C87D74"/>
    <w:rsid w:val="00CA6A02"/>
    <w:rsid w:val="00CB0647"/>
    <w:rsid w:val="00CB33FC"/>
    <w:rsid w:val="00CC3B2C"/>
    <w:rsid w:val="00CD1A71"/>
    <w:rsid w:val="00CD1FBB"/>
    <w:rsid w:val="00CD6A20"/>
    <w:rsid w:val="00CE58AF"/>
    <w:rsid w:val="00D016B5"/>
    <w:rsid w:val="00D034F1"/>
    <w:rsid w:val="00D16507"/>
    <w:rsid w:val="00D269DD"/>
    <w:rsid w:val="00D27D5E"/>
    <w:rsid w:val="00D35539"/>
    <w:rsid w:val="00D35B2D"/>
    <w:rsid w:val="00D4043E"/>
    <w:rsid w:val="00D43269"/>
    <w:rsid w:val="00D647E7"/>
    <w:rsid w:val="00D75B85"/>
    <w:rsid w:val="00DA2369"/>
    <w:rsid w:val="00DE16DC"/>
    <w:rsid w:val="00DE6D90"/>
    <w:rsid w:val="00DF002F"/>
    <w:rsid w:val="00DF2873"/>
    <w:rsid w:val="00E0244D"/>
    <w:rsid w:val="00E347FC"/>
    <w:rsid w:val="00E35D8F"/>
    <w:rsid w:val="00E362F6"/>
    <w:rsid w:val="00E41728"/>
    <w:rsid w:val="00E52A69"/>
    <w:rsid w:val="00E70639"/>
    <w:rsid w:val="00E746AD"/>
    <w:rsid w:val="00E81E94"/>
    <w:rsid w:val="00E82607"/>
    <w:rsid w:val="00E82DE4"/>
    <w:rsid w:val="00E85412"/>
    <w:rsid w:val="00E94DDE"/>
    <w:rsid w:val="00E96B20"/>
    <w:rsid w:val="00EB0D87"/>
    <w:rsid w:val="00EB73CC"/>
    <w:rsid w:val="00ED1174"/>
    <w:rsid w:val="00EE5FD0"/>
    <w:rsid w:val="00EF5431"/>
    <w:rsid w:val="00F02835"/>
    <w:rsid w:val="00F07FCD"/>
    <w:rsid w:val="00F1751A"/>
    <w:rsid w:val="00F306DE"/>
    <w:rsid w:val="00F339D4"/>
    <w:rsid w:val="00F50890"/>
    <w:rsid w:val="00F61887"/>
    <w:rsid w:val="00F62901"/>
    <w:rsid w:val="00F77875"/>
    <w:rsid w:val="00F953B4"/>
    <w:rsid w:val="00F964A0"/>
    <w:rsid w:val="00FA5A79"/>
    <w:rsid w:val="00FB0BFE"/>
    <w:rsid w:val="00FB4C51"/>
    <w:rsid w:val="00FC067D"/>
    <w:rsid w:val="00FC7D0D"/>
    <w:rsid w:val="00FD4BAF"/>
    <w:rsid w:val="00FD76F4"/>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71B6D7"/>
  <w15:docId w15:val="{080439BB-EE73-462D-A79F-5C18CCF5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D87"/>
    <w:pPr>
      <w:suppressAutoHyphens/>
      <w:spacing w:line="240" w:lineRule="atLeast"/>
    </w:pPr>
    <w:rPr>
      <w:lang w:val="fr-CH"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basedOn w:val="DefaultParagraphFont"/>
    <w:rsid w:val="00EB0D87"/>
    <w:rPr>
      <w:rFonts w:ascii="Times New Roman" w:hAnsi="Times New Roman"/>
      <w:sz w:val="18"/>
      <w:vertAlign w:val="superscript"/>
      <w:lang w:val="fr-CH"/>
    </w:rPr>
  </w:style>
  <w:style w:type="character" w:styleId="PageNumber">
    <w:name w:val="page number"/>
    <w:aliases w:val="7_G"/>
    <w:basedOn w:val="DefaultParagraphFont"/>
    <w:rsid w:val="00EB0D87"/>
    <w:rPr>
      <w:rFonts w:ascii="Times New Roman" w:hAnsi="Times New Roman"/>
      <w:b/>
      <w:sz w:val="18"/>
      <w:lang w:val="fr-CH"/>
    </w:rPr>
  </w:style>
  <w:style w:type="paragraph" w:styleId="FootnoteText">
    <w:name w:val="footnote text"/>
    <w:aliases w:val="5_G"/>
    <w:basedOn w:val="Normal"/>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link w:val="H1GChar"/>
    <w:qFormat/>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qFormat/>
    <w:rsid w:val="00EB0D87"/>
    <w:pPr>
      <w:spacing w:after="120"/>
      <w:ind w:left="1134" w:right="1134"/>
      <w:jc w:val="both"/>
    </w:pPr>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basedOn w:val="DefaultParagraphFont"/>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basedOn w:val="DefaultParagraphFont"/>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semiHidden/>
    <w:rsid w:val="00160540"/>
    <w:rPr>
      <w:rFonts w:ascii="Courier New" w:hAnsi="Courier New" w:cs="Courier New"/>
      <w:sz w:val="20"/>
      <w:szCs w:val="20"/>
    </w:rPr>
  </w:style>
  <w:style w:type="character" w:styleId="HTMLCode">
    <w:name w:val="HTML Code"/>
    <w:basedOn w:val="DefaultParagraphFont"/>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basedOn w:val="DefaultParagraphFont"/>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basedOn w:val="DefaultParagraphFont"/>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basedOn w:val="DefaultParagraphFont"/>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basedOn w:val="DefaultParagraphFont"/>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semiHidden/>
    <w:rsid w:val="00EB0D87"/>
    <w:rPr>
      <w:color w:val="auto"/>
      <w:u w:val="none"/>
    </w:rPr>
  </w:style>
  <w:style w:type="character" w:styleId="FollowedHyperlink">
    <w:name w:val="FollowedHyperlink"/>
    <w:basedOn w:val="DefaultParagraphFont"/>
    <w:semiHidden/>
    <w:rsid w:val="00EB0D87"/>
    <w:rPr>
      <w:color w:val="auto"/>
      <w:u w:val="none"/>
    </w:rPr>
  </w:style>
  <w:style w:type="character" w:customStyle="1" w:styleId="SingleTxtGChar">
    <w:name w:val="_ Single Txt_G Char"/>
    <w:link w:val="SingleTxtG"/>
    <w:qFormat/>
    <w:rsid w:val="00EE5FD0"/>
    <w:rPr>
      <w:lang w:val="fr-CH" w:eastAsia="en-US"/>
    </w:rPr>
  </w:style>
  <w:style w:type="character" w:customStyle="1" w:styleId="H1GChar">
    <w:name w:val="_ H_1_G Char"/>
    <w:link w:val="H1G"/>
    <w:rsid w:val="00EE5FD0"/>
    <w:rPr>
      <w:b/>
      <w:sz w:val="24"/>
      <w:lang w:val="fr-CH" w:eastAsia="en-US"/>
    </w:rPr>
  </w:style>
  <w:style w:type="paragraph" w:styleId="BalloonText">
    <w:name w:val="Balloon Text"/>
    <w:basedOn w:val="Normal"/>
    <w:link w:val="BalloonTextChar"/>
    <w:unhideWhenUsed/>
    <w:rsid w:val="008264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264EB"/>
    <w:rPr>
      <w:rFonts w:ascii="Segoe UI" w:hAnsi="Segoe UI" w:cs="Segoe UI"/>
      <w:sz w:val="18"/>
      <w:szCs w:val="18"/>
      <w:lang w:val="fr-CH" w:eastAsia="en-US"/>
    </w:rPr>
  </w:style>
  <w:style w:type="character" w:customStyle="1" w:styleId="H1GCar">
    <w:name w:val="_ H_1_G Car"/>
    <w:locked/>
    <w:rsid w:val="00E82DE4"/>
    <w:rPr>
      <w:rFonts w:ascii="Times New Roman" w:eastAsiaTheme="minorHAnsi" w:hAnsi="Times New Roman" w:cs="Times New Roman"/>
      <w:b/>
      <w:sz w:val="24"/>
      <w:szCs w:val="20"/>
      <w:lang w:eastAsia="en-US"/>
    </w:rPr>
  </w:style>
  <w:style w:type="paragraph" w:styleId="CommentSubject">
    <w:name w:val="annotation subject"/>
    <w:basedOn w:val="CommentText"/>
    <w:next w:val="CommentText"/>
    <w:link w:val="CommentSubjectChar"/>
    <w:semiHidden/>
    <w:unhideWhenUsed/>
    <w:rsid w:val="009B0360"/>
    <w:pPr>
      <w:spacing w:line="240" w:lineRule="auto"/>
    </w:pPr>
    <w:rPr>
      <w:b/>
      <w:bCs/>
    </w:rPr>
  </w:style>
  <w:style w:type="character" w:customStyle="1" w:styleId="CommentTextChar">
    <w:name w:val="Comment Text Char"/>
    <w:basedOn w:val="DefaultParagraphFont"/>
    <w:link w:val="CommentText"/>
    <w:semiHidden/>
    <w:rsid w:val="009B0360"/>
    <w:rPr>
      <w:lang w:val="fr-CH" w:eastAsia="en-US"/>
    </w:rPr>
  </w:style>
  <w:style w:type="character" w:customStyle="1" w:styleId="CommentSubjectChar">
    <w:name w:val="Comment Subject Char"/>
    <w:basedOn w:val="CommentTextChar"/>
    <w:link w:val="CommentSubject"/>
    <w:semiHidden/>
    <w:rsid w:val="009B0360"/>
    <w:rPr>
      <w:b/>
      <w:bCs/>
      <w:lang w:val="fr-CH" w:eastAsia="en-US"/>
    </w:rPr>
  </w:style>
  <w:style w:type="character" w:customStyle="1" w:styleId="StyleBold">
    <w:name w:val="Style Bold"/>
    <w:rsid w:val="003A06B4"/>
    <w:rPr>
      <w:rFonts w:ascii="Times New Roman" w:hAnsi="Times New Roman"/>
      <w:b/>
      <w:bCs/>
    </w:rPr>
  </w:style>
  <w:style w:type="character" w:customStyle="1" w:styleId="H23GChar">
    <w:name w:val="_ H_2/3_G Char"/>
    <w:link w:val="H23G"/>
    <w:locked/>
    <w:rsid w:val="002E354E"/>
    <w:rPr>
      <w:b/>
      <w:lang w:val="fr-CH" w:eastAsia="en-US"/>
    </w:rPr>
  </w:style>
  <w:style w:type="character" w:customStyle="1" w:styleId="SingleTxtGCar">
    <w:name w:val="_ Single Txt_G Car"/>
    <w:rsid w:val="000D43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ECE+PlainPage\PlainPag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7669-D83A-4CCA-81D9-A997B8AC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5E2A7-8E44-48A2-A7A6-45EA31249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E4CAE-CE0B-4606-AD50-7EE711B58AB1}">
  <ds:schemaRefs>
    <ds:schemaRef ds:uri="http://schemas.microsoft.com/sharepoint/v3/contenttype/forms"/>
  </ds:schemaRefs>
</ds:datastoreItem>
</file>

<file path=customXml/itemProps4.xml><?xml version="1.0" encoding="utf-8"?>
<ds:datastoreItem xmlns:ds="http://schemas.openxmlformats.org/officeDocument/2006/customXml" ds:itemID="{BC69A631-B4B0-40A3-B42F-523C37D0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PlainPage_F.dotm</Template>
  <TotalTime>112</TotalTime>
  <Pages>4</Pages>
  <Words>687</Words>
  <Characters>3570</Characters>
  <Application>Microsoft Office Word</Application>
  <DocSecurity>0</DocSecurity>
  <Lines>115</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Rosa Garcia-Couto</dc:creator>
  <cp:lastModifiedBy>Laurence Berthet</cp:lastModifiedBy>
  <cp:revision>106</cp:revision>
  <cp:lastPrinted>2019-05-10T07:21:00Z</cp:lastPrinted>
  <dcterms:created xsi:type="dcterms:W3CDTF">2019-05-06T14:22:00Z</dcterms:created>
  <dcterms:modified xsi:type="dcterms:W3CDTF">2021-04-23T08:41:00Z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6591000</vt:r8>
  </property>
</Properties>
</file>