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C3936" w:rsidTr="003C3936">
        <w:trPr>
          <w:cantSplit/>
          <w:trHeight w:hRule="exact" w:val="851"/>
        </w:trPr>
        <w:tc>
          <w:tcPr>
            <w:tcW w:w="1276" w:type="dxa"/>
            <w:tcBorders>
              <w:bottom w:val="single" w:sz="4" w:space="0" w:color="auto"/>
            </w:tcBorders>
            <w:vAlign w:val="bottom"/>
          </w:tcPr>
          <w:p w:rsidR="003C3936" w:rsidRPr="00A8504A" w:rsidRDefault="003C3936" w:rsidP="00A8504A">
            <w:pPr>
              <w:pStyle w:val="Heading7"/>
            </w:pPr>
            <w:bookmarkStart w:id="0" w:name="_GoBack"/>
            <w:bookmarkEnd w:id="0"/>
          </w:p>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gridSpan w:val="2"/>
            <w:tcBorders>
              <w:bottom w:val="single" w:sz="4" w:space="0" w:color="auto"/>
            </w:tcBorders>
            <w:vAlign w:val="bottom"/>
          </w:tcPr>
          <w:p w:rsidR="003C3936" w:rsidRPr="00D47EEA" w:rsidRDefault="004845D2" w:rsidP="004845D2">
            <w:pPr>
              <w:jc w:val="right"/>
            </w:pPr>
            <w:r w:rsidRPr="004845D2">
              <w:rPr>
                <w:sz w:val="40"/>
              </w:rPr>
              <w:t>ECE</w:t>
            </w:r>
            <w:r w:rsidR="000D6594">
              <w:t>/TRANS/180/Add.1/Amend.2</w:t>
            </w:r>
            <w:r>
              <w:t>/Appendix 1</w:t>
            </w:r>
          </w:p>
        </w:tc>
      </w:tr>
      <w:tr w:rsidR="003C3936" w:rsidTr="003C3936">
        <w:trPr>
          <w:cantSplit/>
          <w:trHeight w:hRule="exact" w:val="2835"/>
        </w:trPr>
        <w:tc>
          <w:tcPr>
            <w:tcW w:w="1276" w:type="dxa"/>
            <w:tcBorders>
              <w:top w:val="single" w:sz="4" w:space="0" w:color="auto"/>
              <w:bottom w:val="single" w:sz="12" w:space="0" w:color="auto"/>
            </w:tcBorders>
          </w:tcPr>
          <w:p w:rsidR="003C3936" w:rsidRDefault="003C3936" w:rsidP="003C3936">
            <w:pPr>
              <w:spacing w:before="120"/>
            </w:pPr>
          </w:p>
        </w:tc>
        <w:tc>
          <w:tcPr>
            <w:tcW w:w="5528" w:type="dxa"/>
            <w:gridSpan w:val="2"/>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4845D2" w:rsidRDefault="004845D2" w:rsidP="004845D2">
            <w:pPr>
              <w:spacing w:line="240" w:lineRule="exact"/>
            </w:pPr>
          </w:p>
          <w:p w:rsidR="00E364CD" w:rsidRDefault="00E364CD" w:rsidP="004845D2">
            <w:pPr>
              <w:spacing w:line="240" w:lineRule="exact"/>
            </w:pPr>
          </w:p>
          <w:p w:rsidR="004845D2" w:rsidRDefault="004845D2" w:rsidP="004845D2">
            <w:pPr>
              <w:spacing w:line="240" w:lineRule="exact"/>
            </w:pPr>
          </w:p>
          <w:p w:rsidR="004845D2" w:rsidRDefault="00B2217B" w:rsidP="00CC0A29">
            <w:pPr>
              <w:spacing w:line="240" w:lineRule="exact"/>
            </w:pPr>
            <w:r>
              <w:t>2</w:t>
            </w:r>
            <w:r w:rsidR="00CC0A29">
              <w:t>4</w:t>
            </w:r>
            <w:r w:rsidR="00DB24D4">
              <w:t xml:space="preserve"> </w:t>
            </w:r>
            <w:r>
              <w:t>August</w:t>
            </w:r>
            <w:r w:rsidR="000D6594">
              <w:t xml:space="preserve"> 2017</w:t>
            </w:r>
          </w:p>
        </w:tc>
      </w:tr>
    </w:tbl>
    <w:p w:rsidR="004845D2" w:rsidRPr="00E874B2" w:rsidRDefault="004845D2" w:rsidP="00BB725A">
      <w:pPr>
        <w:pStyle w:val="HChG"/>
        <w:spacing w:before="240"/>
      </w:pPr>
      <w:r>
        <w:tab/>
      </w:r>
      <w:r>
        <w:tab/>
      </w:r>
      <w:r w:rsidRPr="00B964A8">
        <w:t xml:space="preserve">Global </w:t>
      </w:r>
      <w:r>
        <w:t>R</w:t>
      </w:r>
      <w:r w:rsidRPr="00B964A8">
        <w:t>egistry</w:t>
      </w:r>
      <w:r w:rsidRPr="00E874B2">
        <w:t xml:space="preserve"> </w:t>
      </w:r>
    </w:p>
    <w:p w:rsidR="004845D2" w:rsidRPr="00616542" w:rsidRDefault="004845D2" w:rsidP="004845D2">
      <w:pPr>
        <w:pStyle w:val="H1G"/>
        <w:ind w:right="992"/>
        <w:rPr>
          <w:b w:val="0"/>
          <w:spacing w:val="-2"/>
          <w:sz w:val="20"/>
        </w:rPr>
      </w:pPr>
      <w:r>
        <w:tab/>
      </w:r>
      <w:r>
        <w:tab/>
      </w:r>
      <w:r w:rsidRPr="00616542">
        <w:rPr>
          <w:spacing w:val="-2"/>
        </w:rPr>
        <w:t xml:space="preserve">Created on 18 November 2004, pursuant to Article 6 of the Agreement concerning the establishing of global technical regulations for wheeled vehicles, equipment and parts which can be fitted and/or be used on wheeled vehicles (ECE/TRANS/132 and Corr.1) </w:t>
      </w:r>
      <w:r>
        <w:rPr>
          <w:spacing w:val="-2"/>
        </w:rPr>
        <w:t>d</w:t>
      </w:r>
      <w:r w:rsidRPr="00BD64C6">
        <w:rPr>
          <w:spacing w:val="-2"/>
        </w:rPr>
        <w:t>one at Geneva on 25 June 1998</w:t>
      </w:r>
    </w:p>
    <w:p w:rsidR="004845D2" w:rsidRDefault="004845D2" w:rsidP="004845D2">
      <w:pPr>
        <w:pStyle w:val="HChG"/>
      </w:pPr>
      <w:r>
        <w:tab/>
      </w:r>
      <w:r>
        <w:tab/>
      </w:r>
      <w:r w:rsidRPr="00B964A8">
        <w:t>Addendum</w:t>
      </w:r>
      <w:r>
        <w:t xml:space="preserve"> 1: Global technical regulation No. 1</w:t>
      </w:r>
    </w:p>
    <w:p w:rsidR="004845D2" w:rsidRDefault="004845D2" w:rsidP="004845D2">
      <w:pPr>
        <w:pStyle w:val="H1G"/>
      </w:pPr>
      <w:r>
        <w:tab/>
      </w:r>
      <w:r>
        <w:tab/>
      </w:r>
      <w:r w:rsidR="00E364CD">
        <w:t>D</w:t>
      </w:r>
      <w:r>
        <w:t>oor locks and door retention components</w:t>
      </w:r>
    </w:p>
    <w:p w:rsidR="00A22A1C" w:rsidRDefault="00A22A1C" w:rsidP="00A22A1C">
      <w:pPr>
        <w:pStyle w:val="SingleTxtG"/>
      </w:pPr>
      <w:r>
        <w:t>(Established in the Global Registry on 21 June 2017)</w:t>
      </w:r>
    </w:p>
    <w:p w:rsidR="004845D2" w:rsidRDefault="004845D2" w:rsidP="00A22A1C">
      <w:pPr>
        <w:pStyle w:val="HChG"/>
      </w:pPr>
      <w:r>
        <w:tab/>
      </w:r>
      <w:r>
        <w:tab/>
      </w:r>
      <w:r w:rsidRPr="00185F42">
        <w:rPr>
          <w:sz w:val="24"/>
        </w:rPr>
        <w:t xml:space="preserve">Amendment </w:t>
      </w:r>
      <w:r w:rsidR="000D6594" w:rsidRPr="00185F42">
        <w:rPr>
          <w:sz w:val="24"/>
        </w:rPr>
        <w:t>2</w:t>
      </w:r>
      <w:r w:rsidRPr="00185F42">
        <w:rPr>
          <w:sz w:val="24"/>
        </w:rPr>
        <w:t xml:space="preserve"> – Appendix 1</w:t>
      </w:r>
    </w:p>
    <w:p w:rsidR="004845D2" w:rsidRPr="00EA3863" w:rsidRDefault="004845D2" w:rsidP="004845D2">
      <w:pPr>
        <w:pStyle w:val="H1G"/>
      </w:pPr>
      <w:r>
        <w:tab/>
      </w:r>
      <w:r>
        <w:tab/>
      </w:r>
      <w:r w:rsidRPr="00EA3863">
        <w:t>Proposal and report pursuant to Article 6, paragraph 6.3.7. of the Agreement</w:t>
      </w:r>
    </w:p>
    <w:p w:rsidR="004845D2" w:rsidRPr="00727FAF" w:rsidRDefault="000D6594" w:rsidP="004845D2">
      <w:pPr>
        <w:pStyle w:val="Bullet1G"/>
        <w:numPr>
          <w:ilvl w:val="0"/>
          <w:numId w:val="5"/>
        </w:numPr>
      </w:pPr>
      <w:r>
        <w:t xml:space="preserve">Authorization </w:t>
      </w:r>
      <w:r w:rsidR="004845D2" w:rsidRPr="0085793D">
        <w:t xml:space="preserve">to </w:t>
      </w:r>
      <w:r w:rsidR="00FB5DB8">
        <w:t>develop A</w:t>
      </w:r>
      <w:r w:rsidR="004845D2">
        <w:t>mend</w:t>
      </w:r>
      <w:r w:rsidR="00FB5DB8">
        <w:t xml:space="preserve">ment 2 to UN GTR </w:t>
      </w:r>
      <w:r w:rsidR="004845D2" w:rsidRPr="0085793D">
        <w:t xml:space="preserve">No. </w:t>
      </w:r>
      <w:r w:rsidR="004845D2">
        <w:t>1</w:t>
      </w:r>
      <w:r w:rsidR="004845D2" w:rsidRPr="0085793D">
        <w:t xml:space="preserve"> (</w:t>
      </w:r>
      <w:r w:rsidR="003404A5">
        <w:t>Door locks and door retention components</w:t>
      </w:r>
      <w:r w:rsidR="004845D2" w:rsidRPr="0085793D">
        <w:t>) (</w:t>
      </w:r>
      <w:r w:rsidR="004845D2">
        <w:t>ECE/</w:t>
      </w:r>
      <w:r w:rsidR="004845D2" w:rsidRPr="0085793D">
        <w:t>TRANS/WP.29/AC.3/</w:t>
      </w:r>
      <w:r>
        <w:t>43</w:t>
      </w:r>
      <w:r w:rsidR="004845D2" w:rsidRPr="0085793D">
        <w:t>).</w:t>
      </w:r>
    </w:p>
    <w:p w:rsidR="004845D2" w:rsidRPr="00FC7D85" w:rsidRDefault="00FB5DB8" w:rsidP="004845D2">
      <w:pPr>
        <w:pStyle w:val="Bullet1G"/>
        <w:numPr>
          <w:ilvl w:val="0"/>
          <w:numId w:val="5"/>
        </w:numPr>
      </w:pPr>
      <w:r>
        <w:rPr>
          <w:lang w:val="en-US"/>
        </w:rPr>
        <w:t>Final report of proposal for</w:t>
      </w:r>
      <w:r w:rsidRPr="00487F2F">
        <w:rPr>
          <w:lang w:val="en-US"/>
        </w:rPr>
        <w:t xml:space="preserve"> </w:t>
      </w:r>
      <w:r>
        <w:rPr>
          <w:lang w:val="en-US"/>
        </w:rPr>
        <w:t>A</w:t>
      </w:r>
      <w:r w:rsidRPr="00487F2F">
        <w:rPr>
          <w:lang w:val="en-US"/>
        </w:rPr>
        <w:t xml:space="preserve">mendment </w:t>
      </w:r>
      <w:r>
        <w:rPr>
          <w:lang w:val="en-US"/>
        </w:rPr>
        <w:t xml:space="preserve">2 </w:t>
      </w:r>
      <w:r w:rsidRPr="00487F2F">
        <w:rPr>
          <w:lang w:val="en-US"/>
        </w:rPr>
        <w:t xml:space="preserve">to </w:t>
      </w:r>
      <w:r>
        <w:rPr>
          <w:lang w:val="en-US"/>
        </w:rPr>
        <w:t>global technical regulation No. 1</w:t>
      </w:r>
      <w:r w:rsidR="003404A5" w:rsidRPr="0085793D">
        <w:t xml:space="preserve"> (</w:t>
      </w:r>
      <w:r w:rsidR="003404A5">
        <w:t>Door locks and door retention components</w:t>
      </w:r>
      <w:r w:rsidR="003404A5" w:rsidRPr="0085793D">
        <w:t>)</w:t>
      </w:r>
      <w:r w:rsidR="004845D2">
        <w:t xml:space="preserve"> (ECE/TRANS/WP.29/20</w:t>
      </w:r>
      <w:r w:rsidR="00AD2A0D">
        <w:t>17</w:t>
      </w:r>
      <w:r w:rsidR="004845D2" w:rsidRPr="0085793D">
        <w:t>/</w:t>
      </w:r>
      <w:r w:rsidR="000D6594">
        <w:t>96</w:t>
      </w:r>
      <w:r>
        <w:t xml:space="preserve">, </w:t>
      </w:r>
      <w:r w:rsidRPr="00E14A9A">
        <w:rPr>
          <w:spacing w:val="-2"/>
        </w:rPr>
        <w:t xml:space="preserve">adopted by AC.3 at its </w:t>
      </w:r>
      <w:r>
        <w:rPr>
          <w:spacing w:val="-2"/>
        </w:rPr>
        <w:t>fiftieth</w:t>
      </w:r>
      <w:r w:rsidRPr="00E14A9A">
        <w:rPr>
          <w:spacing w:val="-2"/>
        </w:rPr>
        <w:t xml:space="preserve"> session (ECE/TRANS/WP.29/</w:t>
      </w:r>
      <w:r w:rsidRPr="00E14A9A">
        <w:rPr>
          <w:color w:val="000000"/>
          <w:spacing w:val="-2"/>
        </w:rPr>
        <w:t>11</w:t>
      </w:r>
      <w:r>
        <w:rPr>
          <w:color w:val="000000"/>
          <w:spacing w:val="-2"/>
        </w:rPr>
        <w:t>31</w:t>
      </w:r>
      <w:r w:rsidRPr="00E14A9A">
        <w:rPr>
          <w:color w:val="000000"/>
          <w:spacing w:val="-2"/>
        </w:rPr>
        <w:t>, para.</w:t>
      </w:r>
      <w:r w:rsidRPr="00E14A9A">
        <w:rPr>
          <w:spacing w:val="-2"/>
        </w:rPr>
        <w:t xml:space="preserve"> 1</w:t>
      </w:r>
      <w:r w:rsidR="00AD2A0D">
        <w:rPr>
          <w:spacing w:val="-2"/>
        </w:rPr>
        <w:t>18</w:t>
      </w:r>
      <w:r w:rsidR="004845D2" w:rsidRPr="0085793D">
        <w:t>).</w:t>
      </w:r>
    </w:p>
    <w:p w:rsidR="00D71DFD" w:rsidRDefault="00D71DFD" w:rsidP="003E0F3C">
      <w:pPr>
        <w:pStyle w:val="Bullet1G"/>
        <w:numPr>
          <w:ilvl w:val="0"/>
          <w:numId w:val="0"/>
        </w:numPr>
        <w:ind w:left="1531"/>
        <w:jc w:val="center"/>
        <w:rPr>
          <w:lang w:val="fr-FR"/>
        </w:rPr>
      </w:pPr>
      <w:r w:rsidRPr="00E87D8A">
        <w:rPr>
          <w:lang w:val="fr-FR"/>
        </w:rPr>
        <w:t>_______________</w:t>
      </w:r>
    </w:p>
    <w:p w:rsidR="00D71DFD" w:rsidRPr="00E87D8A" w:rsidRDefault="00D71DFD" w:rsidP="00D71DFD">
      <w:pPr>
        <w:pStyle w:val="Bullet1G"/>
        <w:numPr>
          <w:ilvl w:val="0"/>
          <w:numId w:val="0"/>
        </w:numPr>
        <w:ind w:left="1701" w:hanging="170"/>
        <w:jc w:val="center"/>
        <w:rPr>
          <w:lang w:val="fr-FR"/>
        </w:rPr>
      </w:pPr>
    </w:p>
    <w:p w:rsidR="00D71DFD" w:rsidRPr="00E87D8A" w:rsidRDefault="007F5759" w:rsidP="00A22A1C">
      <w:pPr>
        <w:pStyle w:val="Bullet1G"/>
        <w:numPr>
          <w:ilvl w:val="0"/>
          <w:numId w:val="0"/>
        </w:numPr>
        <w:ind w:left="1531"/>
        <w:jc w:val="center"/>
        <w:rPr>
          <w:lang w:val="fr-FR"/>
        </w:rPr>
      </w:pPr>
      <w:r>
        <w:rPr>
          <w:noProof/>
          <w:lang w:eastAsia="en-GB"/>
        </w:rPr>
        <w:drawing>
          <wp:inline distT="0" distB="0" distL="0" distR="0">
            <wp:extent cx="878205" cy="6978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8" r="-7608"/>
                    <a:stretch>
                      <a:fillRect/>
                    </a:stretch>
                  </pic:blipFill>
                  <pic:spPr bwMode="auto">
                    <a:xfrm>
                      <a:off x="0" y="0"/>
                      <a:ext cx="878205" cy="697865"/>
                    </a:xfrm>
                    <a:prstGeom prst="rect">
                      <a:avLst/>
                    </a:prstGeom>
                    <a:noFill/>
                    <a:ln>
                      <a:noFill/>
                    </a:ln>
                  </pic:spPr>
                </pic:pic>
              </a:graphicData>
            </a:graphic>
          </wp:inline>
        </w:drawing>
      </w:r>
    </w:p>
    <w:p w:rsidR="00407873" w:rsidRPr="007105B8" w:rsidRDefault="003E0F3C" w:rsidP="007105B8">
      <w:pPr>
        <w:pStyle w:val="SingleTxtG"/>
        <w:jc w:val="center"/>
        <w:rPr>
          <w:b/>
        </w:rPr>
      </w:pPr>
      <w:r w:rsidRPr="007105B8">
        <w:rPr>
          <w:b/>
          <w:lang w:val="en-US"/>
        </w:rPr>
        <w:t>UNITED NATIONS</w:t>
      </w:r>
    </w:p>
    <w:p w:rsidR="000D6594" w:rsidRPr="00BB725A" w:rsidRDefault="004845D2" w:rsidP="007105B8">
      <w:pPr>
        <w:pStyle w:val="HChG"/>
        <w:rPr>
          <w:lang w:val="en-US"/>
        </w:rPr>
      </w:pPr>
      <w:r>
        <w:br w:type="page"/>
      </w:r>
      <w:r w:rsidR="007105B8">
        <w:lastRenderedPageBreak/>
        <w:tab/>
      </w:r>
      <w:r w:rsidR="007105B8">
        <w:tab/>
      </w:r>
      <w:r w:rsidR="000D6594" w:rsidRPr="007105B8">
        <w:t>Authorization</w:t>
      </w:r>
      <w:r w:rsidR="000D6594">
        <w:t xml:space="preserve"> to develop </w:t>
      </w:r>
      <w:r w:rsidR="00FD0E9B">
        <w:t>A</w:t>
      </w:r>
      <w:r w:rsidR="000D6594">
        <w:t>mendment 2 to UN GTR</w:t>
      </w:r>
      <w:r w:rsidR="00FD0E9B">
        <w:t xml:space="preserve"> No.1 (Door locks and door retention components)</w:t>
      </w:r>
    </w:p>
    <w:p w:rsidR="000D6594" w:rsidRDefault="000D6594" w:rsidP="000D6594">
      <w:pPr>
        <w:pStyle w:val="H1G"/>
        <w:rPr>
          <w:lang w:val="en-US" w:eastAsia="ko-KR"/>
        </w:rPr>
      </w:pPr>
      <w:r>
        <w:rPr>
          <w:lang w:val="en-US" w:eastAsia="ko-KR"/>
        </w:rPr>
        <w:tab/>
      </w:r>
      <w:r w:rsidR="004018FC">
        <w:rPr>
          <w:lang w:val="en-US" w:eastAsia="ko-KR"/>
        </w:rPr>
        <w:t>I</w:t>
      </w:r>
      <w:r>
        <w:rPr>
          <w:lang w:val="en-US" w:eastAsia="ko-KR"/>
        </w:rPr>
        <w:t>.</w:t>
      </w:r>
      <w:r>
        <w:rPr>
          <w:lang w:val="en-US" w:eastAsia="ko-KR"/>
        </w:rPr>
        <w:tab/>
      </w:r>
      <w:r>
        <w:rPr>
          <w:lang w:val="en-US"/>
        </w:rPr>
        <w:t>Objective</w:t>
      </w:r>
    </w:p>
    <w:p w:rsidR="000D6594" w:rsidRDefault="000D6594" w:rsidP="000D6594">
      <w:pPr>
        <w:pStyle w:val="SingleTxtG"/>
        <w:rPr>
          <w:lang w:eastAsia="ko-KR"/>
        </w:rPr>
      </w:pPr>
      <w:r>
        <w:rPr>
          <w:lang w:val="en-US"/>
        </w:rPr>
        <w:t>1</w:t>
      </w:r>
      <w:r>
        <w:rPr>
          <w:lang w:val="en-US" w:eastAsia="ko-KR"/>
        </w:rPr>
        <w:t>.</w:t>
      </w:r>
      <w:r>
        <w:rPr>
          <w:lang w:val="en-US"/>
        </w:rPr>
        <w:tab/>
      </w:r>
      <w:r>
        <w:rPr>
          <w:lang w:eastAsia="ko-KR"/>
        </w:rPr>
        <w:t>The objective of this proposal is to develop, in the framework of the 1998 Agreement, an amendment to global technical regulation (gtr) No. 1 on Door locks and door retention components to adapt the regulation to technical progress by providing alternative possibilities to ensure an adequate protection of accidental opening of the back door while the vehicle is in motion.</w:t>
      </w:r>
    </w:p>
    <w:p w:rsidR="000D6594" w:rsidRDefault="000D6594" w:rsidP="000D6594">
      <w:pPr>
        <w:pStyle w:val="H1G"/>
        <w:rPr>
          <w:lang w:eastAsia="ko-KR"/>
        </w:rPr>
      </w:pPr>
      <w:r>
        <w:rPr>
          <w:lang w:eastAsia="ko-KR"/>
        </w:rPr>
        <w:tab/>
      </w:r>
      <w:r w:rsidR="004018FC">
        <w:rPr>
          <w:lang w:eastAsia="ko-KR"/>
        </w:rPr>
        <w:t>II</w:t>
      </w:r>
      <w:r>
        <w:rPr>
          <w:lang w:eastAsia="ko-KR"/>
        </w:rPr>
        <w:t>.</w:t>
      </w:r>
      <w:r>
        <w:rPr>
          <w:lang w:eastAsia="ko-KR"/>
        </w:rPr>
        <w:tab/>
        <w:t>Background</w:t>
      </w:r>
    </w:p>
    <w:p w:rsidR="000D6594" w:rsidRDefault="000D6594" w:rsidP="000D6594">
      <w:pPr>
        <w:pStyle w:val="SingleTxtG"/>
      </w:pPr>
      <w:r>
        <w:rPr>
          <w:lang w:eastAsia="ko-KR"/>
        </w:rPr>
        <w:t>2.</w:t>
      </w:r>
      <w:r>
        <w:tab/>
        <w:t xml:space="preserve">Gtr No. 1 on </w:t>
      </w:r>
      <w:r>
        <w:rPr>
          <w:lang w:eastAsia="ko-KR"/>
        </w:rPr>
        <w:t>Door locks and door retention components</w:t>
      </w:r>
      <w:r>
        <w:t xml:space="preserve"> was e</w:t>
      </w:r>
      <w:r>
        <w:rPr>
          <w:lang w:val="en-US"/>
        </w:rPr>
        <w:t xml:space="preserve">stablished in the Global Registry on 18 November 2004. </w:t>
      </w:r>
    </w:p>
    <w:p w:rsidR="000D6594" w:rsidRDefault="000D6594" w:rsidP="000D6594">
      <w:pPr>
        <w:pStyle w:val="SingleTxtG"/>
        <w:rPr>
          <w:lang w:eastAsia="ko-KR"/>
        </w:rPr>
      </w:pPr>
      <w:r>
        <w:rPr>
          <w:lang w:eastAsia="ko-KR"/>
        </w:rPr>
        <w:t>3.</w:t>
      </w:r>
      <w:r>
        <w:rPr>
          <w:lang w:eastAsia="ko-KR"/>
        </w:rPr>
        <w:tab/>
        <w:t>Amendment 1 to gtr No. 1 with adaptions to technical progress, notably concerning back doors, was established in the Global Registry on 28 June 2012.</w:t>
      </w:r>
    </w:p>
    <w:p w:rsidR="000D6594" w:rsidRDefault="000D6594" w:rsidP="000D6594">
      <w:pPr>
        <w:pStyle w:val="SingleTxtG"/>
        <w:rPr>
          <w:lang w:val="en-US"/>
        </w:rPr>
      </w:pPr>
      <w:r>
        <w:rPr>
          <w:lang w:eastAsia="ko-KR"/>
        </w:rPr>
        <w:t>4.</w:t>
      </w:r>
      <w:r>
        <w:tab/>
        <w:t xml:space="preserve">At the fifty-eight session of GRSP, the expert from the </w:t>
      </w:r>
      <w:r>
        <w:rPr>
          <w:lang w:eastAsia="ko-KR"/>
        </w:rPr>
        <w:t>International Organization of Motor Vehicle Manufacturers</w:t>
      </w:r>
      <w:r>
        <w:t xml:space="preserve"> (OICA) introduced ECE/TRANS/WP.29/GRSP/2015/26, proposing alternative possibilities to ensure adequate protection against accidental opening of the back door while the vehicle was in motion. GRSP adopted the proposal not amended. The secretariat was requested to submit ECE/TRANS/WP.29/GRSP/2015/26 to WP.29 and AC.1, for consideration and vote at their June 2016 sessions as draft Supplement 4 to the 03 series and as draft Supplement 1 to the 04 series of amendments to Regulation No. 11</w:t>
      </w:r>
      <w:r>
        <w:rPr>
          <w:lang w:val="en-US"/>
        </w:rPr>
        <w:t>.</w:t>
      </w:r>
    </w:p>
    <w:p w:rsidR="000D6594" w:rsidRDefault="000D6594" w:rsidP="000D6594">
      <w:pPr>
        <w:pStyle w:val="SingleTxtG"/>
      </w:pPr>
      <w:r>
        <w:rPr>
          <w:lang w:val="en-US"/>
        </w:rPr>
        <w:t xml:space="preserve">5. </w:t>
      </w:r>
      <w:r>
        <w:rPr>
          <w:lang w:val="en-US"/>
        </w:rPr>
        <w:tab/>
        <w:t xml:space="preserve">The above mentioned amendment is based on the corresponding specifications for side doors with rear mounted hinges as encompassed in Regulation No. 11 paragraph 6.1.5.4. These prescriptions also exist in </w:t>
      </w:r>
      <w:proofErr w:type="spellStart"/>
      <w:r>
        <w:rPr>
          <w:lang w:val="en-US"/>
        </w:rPr>
        <w:t>gtr</w:t>
      </w:r>
      <w:proofErr w:type="spellEnd"/>
      <w:r>
        <w:rPr>
          <w:lang w:val="en-US"/>
        </w:rPr>
        <w:t xml:space="preserve"> No. 1 Part B. paragraph 5.1.5.4.</w:t>
      </w:r>
    </w:p>
    <w:p w:rsidR="000D6594" w:rsidRDefault="000D6594" w:rsidP="000D6594">
      <w:pPr>
        <w:pStyle w:val="SingleTxtG"/>
      </w:pPr>
      <w:r>
        <w:rPr>
          <w:lang w:eastAsia="ko-KR"/>
        </w:rPr>
        <w:t>6.</w:t>
      </w:r>
      <w:r>
        <w:tab/>
        <w:t>The supplemental provisions in Regulation No. 11 provide appropriate means an adequate level of safety in case of back doors and any accidental opening. Therefore it is considered appropriate to integrate these provisions in gtr No. 1 as well.</w:t>
      </w:r>
    </w:p>
    <w:p w:rsidR="000D6594" w:rsidRDefault="000D6594" w:rsidP="000D6594">
      <w:pPr>
        <w:pStyle w:val="H1G"/>
        <w:rPr>
          <w:lang w:eastAsia="ko-KR"/>
        </w:rPr>
      </w:pPr>
      <w:r>
        <w:rPr>
          <w:lang w:eastAsia="ko-KR"/>
        </w:rPr>
        <w:tab/>
      </w:r>
      <w:r w:rsidR="004018FC">
        <w:rPr>
          <w:lang w:eastAsia="ko-KR"/>
        </w:rPr>
        <w:t>III</w:t>
      </w:r>
      <w:r>
        <w:rPr>
          <w:lang w:eastAsia="ko-KR"/>
        </w:rPr>
        <w:t>.</w:t>
      </w:r>
      <w:r>
        <w:rPr>
          <w:lang w:eastAsia="ko-KR"/>
        </w:rPr>
        <w:tab/>
        <w:t>Subject of amendment</w:t>
      </w:r>
    </w:p>
    <w:p w:rsidR="000D6594" w:rsidRDefault="000D6594" w:rsidP="000D6594">
      <w:pPr>
        <w:pStyle w:val="SingleTxtG"/>
        <w:rPr>
          <w:lang w:eastAsia="ko-KR"/>
        </w:rPr>
      </w:pPr>
      <w:r>
        <w:rPr>
          <w:lang w:eastAsia="ko-KR"/>
        </w:rPr>
        <w:t>7.</w:t>
      </w:r>
      <w:r>
        <w:tab/>
      </w:r>
      <w:r>
        <w:rPr>
          <w:lang w:eastAsia="ko-KR"/>
        </w:rPr>
        <w:t>The amendment to gtr No. 1 shall include:</w:t>
      </w:r>
    </w:p>
    <w:p w:rsidR="000D6594" w:rsidRDefault="000D6594" w:rsidP="000D6594">
      <w:pPr>
        <w:pStyle w:val="SingleTxtG"/>
        <w:ind w:firstLine="567"/>
        <w:rPr>
          <w:lang w:eastAsia="ko-KR"/>
        </w:rPr>
      </w:pPr>
      <w:r>
        <w:t>(a)</w:t>
      </w:r>
      <w:r>
        <w:tab/>
      </w:r>
      <w:r>
        <w:rPr>
          <w:lang w:eastAsia="ko-KR"/>
        </w:rPr>
        <w:t xml:space="preserve">Amendment of Part A - </w:t>
      </w:r>
      <w:r>
        <w:rPr>
          <w:lang w:val="en-US" w:eastAsia="de-DE"/>
        </w:rPr>
        <w:t>Statement of technical rationale and justification</w:t>
      </w:r>
      <w:r>
        <w:rPr>
          <w:lang w:eastAsia="ko-KR"/>
        </w:rPr>
        <w:t>;</w:t>
      </w:r>
    </w:p>
    <w:p w:rsidR="000D6594" w:rsidRDefault="000D6594" w:rsidP="000D6594">
      <w:pPr>
        <w:pStyle w:val="SingleTxtG"/>
        <w:ind w:firstLine="567"/>
        <w:rPr>
          <w:lang w:eastAsia="ko-KR"/>
        </w:rPr>
      </w:pPr>
      <w:r>
        <w:t>(b)</w:t>
      </w:r>
      <w:r>
        <w:tab/>
      </w:r>
      <w:r>
        <w:rPr>
          <w:lang w:eastAsia="ko-KR"/>
        </w:rPr>
        <w:t xml:space="preserve">Amendment of Part B - </w:t>
      </w:r>
      <w:r>
        <w:rPr>
          <w:lang w:val="en-US"/>
        </w:rPr>
        <w:t>Text of the global technical regulation, in particular</w:t>
      </w:r>
      <w:r>
        <w:rPr>
          <w:lang w:eastAsia="ko-KR"/>
        </w:rPr>
        <w:t>:</w:t>
      </w:r>
    </w:p>
    <w:p w:rsidR="000D6594" w:rsidRDefault="000D6594" w:rsidP="000D6594">
      <w:pPr>
        <w:pStyle w:val="SingleTxtG"/>
        <w:ind w:firstLine="555"/>
        <w:rPr>
          <w:lang w:eastAsia="ko-KR"/>
        </w:rPr>
      </w:pPr>
      <w:r>
        <w:tab/>
      </w:r>
      <w:r>
        <w:tab/>
        <w:t>(</w:t>
      </w:r>
      <w:proofErr w:type="spellStart"/>
      <w:r>
        <w:rPr>
          <w:lang w:eastAsia="ko-KR"/>
        </w:rPr>
        <w:t>i</w:t>
      </w:r>
      <w:proofErr w:type="spellEnd"/>
      <w:r>
        <w:t>)</w:t>
      </w:r>
      <w:r>
        <w:tab/>
      </w:r>
      <w:r>
        <w:rPr>
          <w:lang w:eastAsia="ko-KR"/>
        </w:rPr>
        <w:t>Addition of paragraph 5.3.3.1.;</w:t>
      </w:r>
    </w:p>
    <w:p w:rsidR="000D6594" w:rsidRDefault="000D6594" w:rsidP="000D6594">
      <w:pPr>
        <w:pStyle w:val="SingleTxtG"/>
        <w:ind w:firstLine="555"/>
        <w:rPr>
          <w:noProof/>
          <w:lang w:val="en-US"/>
        </w:rPr>
      </w:pPr>
      <w:r>
        <w:rPr>
          <w:lang w:eastAsia="ko-KR"/>
        </w:rPr>
        <w:tab/>
      </w:r>
      <w:r>
        <w:rPr>
          <w:lang w:eastAsia="ko-KR"/>
        </w:rPr>
        <w:tab/>
        <w:t>(ii)</w:t>
      </w:r>
      <w:r>
        <w:rPr>
          <w:lang w:eastAsia="ko-KR"/>
        </w:rPr>
        <w:tab/>
      </w:r>
      <w:r>
        <w:rPr>
          <w:spacing w:val="-8"/>
          <w:lang w:eastAsia="ko-KR"/>
        </w:rPr>
        <w:t>Clarification of “locking device” in in paragraph 5.3.3.1.</w:t>
      </w:r>
      <w:r>
        <w:rPr>
          <w:noProof/>
          <w:spacing w:val="-8"/>
          <w:lang w:val="en-US"/>
        </w:rPr>
        <w:t>;</w:t>
      </w:r>
    </w:p>
    <w:p w:rsidR="000D6594" w:rsidRDefault="000D6594" w:rsidP="000D6594">
      <w:pPr>
        <w:pStyle w:val="SingleTxtG"/>
        <w:ind w:firstLine="555"/>
        <w:rPr>
          <w:noProof/>
          <w:lang w:val="en-US"/>
        </w:rPr>
      </w:pPr>
      <w:r>
        <w:rPr>
          <w:noProof/>
          <w:lang w:val="en-US"/>
        </w:rPr>
        <w:t>(c)</w:t>
      </w:r>
      <w:r>
        <w:rPr>
          <w:noProof/>
          <w:lang w:val="en-US"/>
        </w:rPr>
        <w:tab/>
        <w:t>Any further refinements or corrections as deemed appropriate.</w:t>
      </w:r>
    </w:p>
    <w:p w:rsidR="000D6594" w:rsidRDefault="000D6594" w:rsidP="000D6594">
      <w:pPr>
        <w:pStyle w:val="H1G"/>
        <w:rPr>
          <w:lang w:eastAsia="ko-KR"/>
        </w:rPr>
      </w:pPr>
      <w:r>
        <w:rPr>
          <w:lang w:eastAsia="ko-KR"/>
        </w:rPr>
        <w:tab/>
      </w:r>
      <w:r w:rsidR="004018FC">
        <w:rPr>
          <w:lang w:eastAsia="ko-KR"/>
        </w:rPr>
        <w:t>IV</w:t>
      </w:r>
      <w:r>
        <w:rPr>
          <w:lang w:eastAsia="ko-KR"/>
        </w:rPr>
        <w:t>.</w:t>
      </w:r>
      <w:r>
        <w:rPr>
          <w:lang w:eastAsia="ko-KR"/>
        </w:rPr>
        <w:tab/>
        <w:t>Organization of process and timeline</w:t>
      </w:r>
    </w:p>
    <w:p w:rsidR="000D6594" w:rsidRDefault="000D6594" w:rsidP="000D6594">
      <w:pPr>
        <w:pStyle w:val="SingleTxtG"/>
        <w:rPr>
          <w:lang w:eastAsia="ko-KR"/>
        </w:rPr>
      </w:pPr>
      <w:r>
        <w:rPr>
          <w:lang w:eastAsia="ko-KR"/>
        </w:rPr>
        <w:t>8.</w:t>
      </w:r>
      <w:r>
        <w:rPr>
          <w:lang w:eastAsia="ko-KR"/>
        </w:rPr>
        <w:tab/>
        <w:t xml:space="preserve">The proposal will be drafted by the experts of from OICA in collaboration with the expert of the European Union. The amendments to the proposal will be developed in </w:t>
      </w:r>
      <w:r>
        <w:rPr>
          <w:lang w:eastAsia="ko-KR"/>
        </w:rPr>
        <w:lastRenderedPageBreak/>
        <w:t>cooperation with all interested GRSP experts and agreed via e-mail communications. The meetings of interested experts are not planned, but will be organized, if necessary.</w:t>
      </w:r>
    </w:p>
    <w:p w:rsidR="000D6594" w:rsidRDefault="000D6594" w:rsidP="000D6594">
      <w:pPr>
        <w:pStyle w:val="SingleTxtG"/>
        <w:rPr>
          <w:lang w:eastAsia="ko-KR"/>
        </w:rPr>
      </w:pPr>
      <w:r>
        <w:rPr>
          <w:lang w:eastAsia="ko-KR"/>
        </w:rPr>
        <w:t>9.</w:t>
      </w:r>
      <w:r>
        <w:rPr>
          <w:lang w:eastAsia="ko-KR"/>
        </w:rPr>
        <w:tab/>
        <w:t>The proposed action plan:</w:t>
      </w:r>
    </w:p>
    <w:p w:rsidR="000D6594" w:rsidRDefault="000D6594" w:rsidP="000D6594">
      <w:pPr>
        <w:pStyle w:val="SingleTxtG"/>
        <w:ind w:firstLine="567"/>
      </w:pPr>
      <w:r>
        <w:t>(a)</w:t>
      </w:r>
      <w:r>
        <w:tab/>
        <w:t xml:space="preserve">May 2016: Introduction and consideration of the proposal (informal </w:t>
      </w:r>
      <w:r>
        <w:tab/>
      </w:r>
      <w:r>
        <w:tab/>
      </w:r>
      <w:r>
        <w:tab/>
        <w:t>document) at the fifty-ninth GRSP session;</w:t>
      </w:r>
    </w:p>
    <w:p w:rsidR="000D6594" w:rsidRDefault="000D6594" w:rsidP="000D6594">
      <w:pPr>
        <w:pStyle w:val="SingleTxtG"/>
        <w:ind w:firstLine="567"/>
      </w:pPr>
      <w:r>
        <w:t>(b)</w:t>
      </w:r>
      <w:r>
        <w:tab/>
        <w:t xml:space="preserve">December 2016: Consideration of the final proposal and its possible adoption </w:t>
      </w:r>
      <w:r>
        <w:tab/>
      </w:r>
      <w:r>
        <w:tab/>
        <w:t xml:space="preserve">at the sixtieth GRSP session; </w:t>
      </w:r>
    </w:p>
    <w:p w:rsidR="000D6594" w:rsidRDefault="000D6594" w:rsidP="000D6594">
      <w:pPr>
        <w:pStyle w:val="SingleTxtG"/>
        <w:ind w:firstLine="567"/>
      </w:pPr>
      <w:r>
        <w:t>(c)</w:t>
      </w:r>
      <w:r>
        <w:tab/>
        <w:t xml:space="preserve">June 2017: Adoption of the proposal by AC.3, if no remaining issues had </w:t>
      </w:r>
      <w:r>
        <w:tab/>
      </w:r>
      <w:r>
        <w:tab/>
        <w:t>existed;</w:t>
      </w:r>
    </w:p>
    <w:p w:rsidR="000D6594" w:rsidRDefault="000D6594" w:rsidP="000D6594">
      <w:pPr>
        <w:pStyle w:val="SingleTxtG"/>
        <w:ind w:firstLine="567"/>
      </w:pPr>
      <w:r>
        <w:t>(d)</w:t>
      </w:r>
      <w:r>
        <w:tab/>
        <w:t xml:space="preserve">September 2017: Adoption of the proposal by AC.3, if all remaining issues </w:t>
      </w:r>
      <w:r>
        <w:tab/>
      </w:r>
      <w:r>
        <w:tab/>
        <w:t>had been solved;</w:t>
      </w:r>
    </w:p>
    <w:p w:rsidR="000D6594" w:rsidRDefault="000D6594" w:rsidP="000D6594">
      <w:pPr>
        <w:pStyle w:val="SingleTxtG"/>
        <w:rPr>
          <w:lang w:val="en-US"/>
        </w:rPr>
      </w:pPr>
      <w:r>
        <w:rPr>
          <w:lang w:val="en-US"/>
        </w:rPr>
        <w:t>10.</w:t>
      </w:r>
      <w:r>
        <w:rPr>
          <w:lang w:val="en-US"/>
        </w:rPr>
        <w:tab/>
        <w:t>The progress of works will be reported to AC.3 at its November 2016 and March 2017 sessions.</w:t>
      </w:r>
    </w:p>
    <w:p w:rsidR="000D6594" w:rsidRPr="007D5222" w:rsidRDefault="000713FF" w:rsidP="000D6594">
      <w:pPr>
        <w:pStyle w:val="HChG"/>
        <w:ind w:firstLine="0"/>
      </w:pPr>
      <w:r>
        <w:br w:type="page"/>
      </w:r>
      <w:r w:rsidR="006F5EF7">
        <w:lastRenderedPageBreak/>
        <w:t>Final report of proposal for</w:t>
      </w:r>
      <w:r w:rsidR="00FD0E9B" w:rsidRPr="00FD0E9B">
        <w:rPr>
          <w:lang w:val="en-US"/>
        </w:rPr>
        <w:t xml:space="preserve"> Amendment </w:t>
      </w:r>
      <w:r w:rsidR="00FD0E9B">
        <w:rPr>
          <w:lang w:val="en-US"/>
        </w:rPr>
        <w:t>2</w:t>
      </w:r>
      <w:r w:rsidR="00FD0E9B" w:rsidRPr="00FD0E9B">
        <w:rPr>
          <w:lang w:val="en-US"/>
        </w:rPr>
        <w:t xml:space="preserve"> to global technical regulation</w:t>
      </w:r>
      <w:r w:rsidR="000D6594">
        <w:rPr>
          <w:lang w:val="en-US"/>
        </w:rPr>
        <w:t xml:space="preserve"> No. 1 (Door locks and door retention components</w:t>
      </w:r>
      <w:r w:rsidR="000D6594" w:rsidRPr="00487F2F">
        <w:rPr>
          <w:lang w:val="en-US"/>
        </w:rPr>
        <w:t>)</w:t>
      </w:r>
    </w:p>
    <w:p w:rsidR="000D6594" w:rsidRDefault="000D6594" w:rsidP="000D6594">
      <w:pPr>
        <w:pStyle w:val="SingleTxtG"/>
      </w:pPr>
      <w:r>
        <w:t>1.</w:t>
      </w:r>
      <w:r>
        <w:tab/>
        <w:t>The Executive Committee of the 1998 Agreement (AC.3) had considered a proposal (ECE/TRANS/WP.29/AC.3/43) by the EU to amend global technical regulation No. 1 on door locks and door retention components at its forty-eighth session in November 2016 (ECE/TRANS/WP.29/1126). AC.3 authorised GRSP to consider, at its December 2016 session, a concrete proposal to develop Amendment 2 to global technical regulation No.1. The proposed amendment is aimed at fully aligning the UN GTR with UN Regulation No. 11.</w:t>
      </w:r>
    </w:p>
    <w:p w:rsidR="000D6594" w:rsidRDefault="000D6594" w:rsidP="000D6594">
      <w:pPr>
        <w:pStyle w:val="SingleTxtG"/>
      </w:pPr>
      <w:r>
        <w:t>2.</w:t>
      </w:r>
      <w:r>
        <w:tab/>
        <w:t>At its sixtieth session, GRSP recommended a draft Amendment 2 to gtr No. 1 for its establishment in the Global Registry at its June 2017 session (ECE/TRANS/WP.29/GRSP/2016/17). This amendment aligns the corresponding specifications for back doors with those of side doors with rear mounted hinges as encompassed in Regulation No. 11.</w:t>
      </w:r>
    </w:p>
    <w:p w:rsidR="000D6594" w:rsidRPr="007D5222" w:rsidRDefault="000D6594" w:rsidP="000D6594">
      <w:pPr>
        <w:pStyle w:val="SingleTxtG"/>
        <w:spacing w:before="240" w:after="0"/>
        <w:jc w:val="center"/>
        <w:rPr>
          <w:u w:val="single"/>
        </w:rPr>
      </w:pPr>
      <w:r>
        <w:rPr>
          <w:u w:val="single"/>
        </w:rPr>
        <w:tab/>
      </w:r>
      <w:r>
        <w:rPr>
          <w:u w:val="single"/>
        </w:rPr>
        <w:tab/>
      </w:r>
      <w:r>
        <w:rPr>
          <w:u w:val="single"/>
        </w:rPr>
        <w:tab/>
      </w:r>
    </w:p>
    <w:p w:rsidR="002405A7" w:rsidRPr="004845D2" w:rsidRDefault="002405A7" w:rsidP="000D6594">
      <w:pPr>
        <w:pStyle w:val="HChG"/>
      </w:pPr>
    </w:p>
    <w:sectPr w:rsidR="002405A7" w:rsidRPr="004845D2" w:rsidSect="004845D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94" w:rsidRDefault="00023594"/>
  </w:endnote>
  <w:endnote w:type="continuationSeparator" w:id="0">
    <w:p w:rsidR="00023594" w:rsidRDefault="00023594"/>
  </w:endnote>
  <w:endnote w:type="continuationNotice" w:id="1">
    <w:p w:rsidR="00023594" w:rsidRDefault="00023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4A" w:rsidRPr="004845D2" w:rsidRDefault="00FD2F4A" w:rsidP="004845D2">
    <w:pPr>
      <w:pStyle w:val="Footer"/>
      <w:tabs>
        <w:tab w:val="right" w:pos="9638"/>
      </w:tabs>
      <w:rPr>
        <w:sz w:val="18"/>
      </w:rPr>
    </w:pPr>
    <w:r w:rsidRPr="004845D2">
      <w:rPr>
        <w:b/>
        <w:sz w:val="18"/>
      </w:rPr>
      <w:fldChar w:fldCharType="begin"/>
    </w:r>
    <w:r w:rsidRPr="004845D2">
      <w:rPr>
        <w:b/>
        <w:sz w:val="18"/>
      </w:rPr>
      <w:instrText xml:space="preserve"> PAGE  \* MERGEFORMAT </w:instrText>
    </w:r>
    <w:r w:rsidRPr="004845D2">
      <w:rPr>
        <w:b/>
        <w:sz w:val="18"/>
      </w:rPr>
      <w:fldChar w:fldCharType="separate"/>
    </w:r>
    <w:r w:rsidR="00507FEE">
      <w:rPr>
        <w:b/>
        <w:noProof/>
        <w:sz w:val="18"/>
      </w:rPr>
      <w:t>2</w:t>
    </w:r>
    <w:r w:rsidRPr="004845D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4A" w:rsidRPr="004845D2" w:rsidRDefault="00FD2F4A" w:rsidP="004845D2">
    <w:pPr>
      <w:pStyle w:val="Footer"/>
      <w:tabs>
        <w:tab w:val="right" w:pos="9638"/>
      </w:tabs>
      <w:rPr>
        <w:b/>
        <w:sz w:val="18"/>
      </w:rPr>
    </w:pPr>
    <w:r>
      <w:tab/>
    </w:r>
    <w:r w:rsidRPr="004845D2">
      <w:rPr>
        <w:b/>
        <w:sz w:val="18"/>
      </w:rPr>
      <w:fldChar w:fldCharType="begin"/>
    </w:r>
    <w:r w:rsidRPr="004845D2">
      <w:rPr>
        <w:b/>
        <w:sz w:val="18"/>
      </w:rPr>
      <w:instrText xml:space="preserve"> PAGE  \* MERGEFORMAT </w:instrText>
    </w:r>
    <w:r w:rsidRPr="004845D2">
      <w:rPr>
        <w:b/>
        <w:sz w:val="18"/>
      </w:rPr>
      <w:fldChar w:fldCharType="separate"/>
    </w:r>
    <w:r w:rsidR="00507FEE">
      <w:rPr>
        <w:b/>
        <w:noProof/>
        <w:sz w:val="18"/>
      </w:rPr>
      <w:t>3</w:t>
    </w:r>
    <w:r w:rsidRPr="004845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5A" w:rsidRDefault="007105B8" w:rsidP="00BB725A">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7928041</wp:posOffset>
          </wp:positionV>
          <wp:extent cx="638175" cy="638175"/>
          <wp:effectExtent l="0" t="0" r="9525" b="9525"/>
          <wp:wrapNone/>
          <wp:docPr id="2" name="Picture 1" descr="https://undocs.org/m2/QRCode.ashx?DS=ECE/TRANS/180/Add.1/Amend.2/Appendix 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Amend.2/Appendix 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8278495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BB725A" w:rsidRDefault="00BB725A" w:rsidP="00BB725A">
    <w:pPr>
      <w:pStyle w:val="Footer"/>
      <w:ind w:right="1134"/>
      <w:rPr>
        <w:sz w:val="20"/>
      </w:rPr>
    </w:pPr>
    <w:r>
      <w:rPr>
        <w:sz w:val="20"/>
      </w:rPr>
      <w:t>GE.17-14677(E)</w:t>
    </w:r>
  </w:p>
  <w:p w:rsidR="00BB725A" w:rsidRPr="00BB725A" w:rsidRDefault="00BB725A" w:rsidP="00BB725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94" w:rsidRPr="000B175B" w:rsidRDefault="00023594" w:rsidP="000B175B">
      <w:pPr>
        <w:tabs>
          <w:tab w:val="right" w:pos="2155"/>
        </w:tabs>
        <w:spacing w:after="80"/>
        <w:ind w:left="680"/>
        <w:rPr>
          <w:u w:val="single"/>
        </w:rPr>
      </w:pPr>
      <w:r>
        <w:rPr>
          <w:u w:val="single"/>
        </w:rPr>
        <w:tab/>
      </w:r>
    </w:p>
  </w:footnote>
  <w:footnote w:type="continuationSeparator" w:id="0">
    <w:p w:rsidR="00023594" w:rsidRPr="00FC68B7" w:rsidRDefault="00023594" w:rsidP="00FC68B7">
      <w:pPr>
        <w:tabs>
          <w:tab w:val="left" w:pos="2155"/>
        </w:tabs>
        <w:spacing w:after="80"/>
        <w:ind w:left="680"/>
        <w:rPr>
          <w:u w:val="single"/>
        </w:rPr>
      </w:pPr>
      <w:r>
        <w:rPr>
          <w:u w:val="single"/>
        </w:rPr>
        <w:tab/>
      </w:r>
    </w:p>
  </w:footnote>
  <w:footnote w:type="continuationNotice" w:id="1">
    <w:p w:rsidR="00023594" w:rsidRDefault="000235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4A" w:rsidRPr="004845D2" w:rsidRDefault="000D6594">
    <w:pPr>
      <w:pStyle w:val="Header"/>
    </w:pPr>
    <w:r>
      <w:t>ECE/TRANS/180/Add.1/Amend.2</w:t>
    </w:r>
    <w:r w:rsidR="00FD2F4A">
      <w:t>/Appendix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4A" w:rsidRPr="004845D2" w:rsidRDefault="00FD2F4A" w:rsidP="004845D2">
    <w:pPr>
      <w:pStyle w:val="Header"/>
      <w:jc w:val="right"/>
    </w:pPr>
    <w:r>
      <w:t>ECE/TRANS/180/Add.1/Amend.</w:t>
    </w:r>
    <w:r w:rsidR="000D6594">
      <w:t>2</w:t>
    </w:r>
    <w: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3F2036B"/>
    <w:multiLevelType w:val="hybridMultilevel"/>
    <w:tmpl w:val="B22E0BFA"/>
    <w:lvl w:ilvl="0" w:tplc="9008FA9E">
      <w:start w:val="1"/>
      <w:numFmt w:val="bullet"/>
      <w:pStyle w:val="Bullet1G"/>
      <w:lvlText w:val="•"/>
      <w:lvlJc w:val="left"/>
      <w:pPr>
        <w:tabs>
          <w:tab w:val="num" w:pos="4565"/>
        </w:tabs>
        <w:ind w:left="4565"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45D2"/>
    <w:rsid w:val="00023594"/>
    <w:rsid w:val="00050F6B"/>
    <w:rsid w:val="000713FF"/>
    <w:rsid w:val="00072C8C"/>
    <w:rsid w:val="000931C0"/>
    <w:rsid w:val="000B175B"/>
    <w:rsid w:val="000B3A0F"/>
    <w:rsid w:val="000D6594"/>
    <w:rsid w:val="000E0415"/>
    <w:rsid w:val="000F2CE5"/>
    <w:rsid w:val="001160A3"/>
    <w:rsid w:val="001220B8"/>
    <w:rsid w:val="001235EE"/>
    <w:rsid w:val="00185F42"/>
    <w:rsid w:val="00192221"/>
    <w:rsid w:val="001B4B04"/>
    <w:rsid w:val="001C6663"/>
    <w:rsid w:val="001C7895"/>
    <w:rsid w:val="001D26DF"/>
    <w:rsid w:val="00211E0B"/>
    <w:rsid w:val="00232D29"/>
    <w:rsid w:val="002376CF"/>
    <w:rsid w:val="002405A7"/>
    <w:rsid w:val="002B55EB"/>
    <w:rsid w:val="002C7619"/>
    <w:rsid w:val="003107FA"/>
    <w:rsid w:val="003229D8"/>
    <w:rsid w:val="0033745A"/>
    <w:rsid w:val="003404A5"/>
    <w:rsid w:val="0039277A"/>
    <w:rsid w:val="003972E0"/>
    <w:rsid w:val="003C0DCC"/>
    <w:rsid w:val="003C2CC4"/>
    <w:rsid w:val="003C3936"/>
    <w:rsid w:val="003D4B23"/>
    <w:rsid w:val="003E0F3C"/>
    <w:rsid w:val="003F1ED3"/>
    <w:rsid w:val="004018FC"/>
    <w:rsid w:val="00407873"/>
    <w:rsid w:val="004325CB"/>
    <w:rsid w:val="00446DE4"/>
    <w:rsid w:val="004845D2"/>
    <w:rsid w:val="004A41CA"/>
    <w:rsid w:val="00503228"/>
    <w:rsid w:val="00505384"/>
    <w:rsid w:val="00507FEE"/>
    <w:rsid w:val="005254CB"/>
    <w:rsid w:val="005420F2"/>
    <w:rsid w:val="00555402"/>
    <w:rsid w:val="005B3DB3"/>
    <w:rsid w:val="00611FC4"/>
    <w:rsid w:val="006162A1"/>
    <w:rsid w:val="006176FB"/>
    <w:rsid w:val="00627ED0"/>
    <w:rsid w:val="00640B26"/>
    <w:rsid w:val="00642E0D"/>
    <w:rsid w:val="00665595"/>
    <w:rsid w:val="006A7392"/>
    <w:rsid w:val="006E564B"/>
    <w:rsid w:val="006F5EF7"/>
    <w:rsid w:val="007105B8"/>
    <w:rsid w:val="0072632A"/>
    <w:rsid w:val="00743CD6"/>
    <w:rsid w:val="00756034"/>
    <w:rsid w:val="007B6BA5"/>
    <w:rsid w:val="007C3390"/>
    <w:rsid w:val="007C4F4B"/>
    <w:rsid w:val="007D7B80"/>
    <w:rsid w:val="007F0B83"/>
    <w:rsid w:val="007F5759"/>
    <w:rsid w:val="007F6611"/>
    <w:rsid w:val="008175E9"/>
    <w:rsid w:val="008242D7"/>
    <w:rsid w:val="00827E05"/>
    <w:rsid w:val="008311A3"/>
    <w:rsid w:val="00834E4A"/>
    <w:rsid w:val="0083625C"/>
    <w:rsid w:val="00851342"/>
    <w:rsid w:val="00871FD5"/>
    <w:rsid w:val="008979B1"/>
    <w:rsid w:val="008A6B25"/>
    <w:rsid w:val="008A6C4F"/>
    <w:rsid w:val="008E0E46"/>
    <w:rsid w:val="00907AD2"/>
    <w:rsid w:val="00963CBA"/>
    <w:rsid w:val="00974A8D"/>
    <w:rsid w:val="00991261"/>
    <w:rsid w:val="00997157"/>
    <w:rsid w:val="009C3F77"/>
    <w:rsid w:val="009F3A17"/>
    <w:rsid w:val="00A1427D"/>
    <w:rsid w:val="00A22A1C"/>
    <w:rsid w:val="00A72F22"/>
    <w:rsid w:val="00A748A6"/>
    <w:rsid w:val="00A8504A"/>
    <w:rsid w:val="00A85956"/>
    <w:rsid w:val="00A879A4"/>
    <w:rsid w:val="00AD2A0D"/>
    <w:rsid w:val="00B2217B"/>
    <w:rsid w:val="00B26AB3"/>
    <w:rsid w:val="00B30179"/>
    <w:rsid w:val="00B33EC0"/>
    <w:rsid w:val="00B81E12"/>
    <w:rsid w:val="00BB725A"/>
    <w:rsid w:val="00BC74E9"/>
    <w:rsid w:val="00BD2146"/>
    <w:rsid w:val="00BE4F74"/>
    <w:rsid w:val="00BE618E"/>
    <w:rsid w:val="00C17699"/>
    <w:rsid w:val="00C41A28"/>
    <w:rsid w:val="00C463DD"/>
    <w:rsid w:val="00C73F2B"/>
    <w:rsid w:val="00C745C3"/>
    <w:rsid w:val="00CC0A29"/>
    <w:rsid w:val="00CC650A"/>
    <w:rsid w:val="00CD23A7"/>
    <w:rsid w:val="00CE4A8F"/>
    <w:rsid w:val="00D019AB"/>
    <w:rsid w:val="00D2031B"/>
    <w:rsid w:val="00D25FE2"/>
    <w:rsid w:val="00D317BB"/>
    <w:rsid w:val="00D43252"/>
    <w:rsid w:val="00D43F76"/>
    <w:rsid w:val="00D71DFD"/>
    <w:rsid w:val="00D94258"/>
    <w:rsid w:val="00D978C6"/>
    <w:rsid w:val="00DA0E84"/>
    <w:rsid w:val="00DA67AD"/>
    <w:rsid w:val="00DB24D4"/>
    <w:rsid w:val="00DB5D0F"/>
    <w:rsid w:val="00DF12F7"/>
    <w:rsid w:val="00E02C81"/>
    <w:rsid w:val="00E130AB"/>
    <w:rsid w:val="00E364CD"/>
    <w:rsid w:val="00E7260F"/>
    <w:rsid w:val="00E87921"/>
    <w:rsid w:val="00E96630"/>
    <w:rsid w:val="00EA264E"/>
    <w:rsid w:val="00EB5CD2"/>
    <w:rsid w:val="00ED3EAB"/>
    <w:rsid w:val="00ED7A2A"/>
    <w:rsid w:val="00EF1D7F"/>
    <w:rsid w:val="00F02419"/>
    <w:rsid w:val="00F5361A"/>
    <w:rsid w:val="00F53EDA"/>
    <w:rsid w:val="00F61AFD"/>
    <w:rsid w:val="00F7753D"/>
    <w:rsid w:val="00F85F34"/>
    <w:rsid w:val="00F967DE"/>
    <w:rsid w:val="00FA06F7"/>
    <w:rsid w:val="00FB171A"/>
    <w:rsid w:val="00FB5DB8"/>
    <w:rsid w:val="00FC68B7"/>
    <w:rsid w:val="00FD0E9B"/>
    <w:rsid w:val="00FD2F4A"/>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qFormat/>
    <w:rsid w:val="007D7B80"/>
    <w:pPr>
      <w:spacing w:after="120"/>
      <w:jc w:val="both"/>
    </w:pPr>
  </w:style>
  <w:style w:type="paragraph" w:customStyle="1" w:styleId="i">
    <w:name w:val="(i)"/>
    <w:basedOn w:val="Normal"/>
    <w:qFormat/>
    <w:rsid w:val="007D7B80"/>
    <w:pPr>
      <w:spacing w:after="120"/>
      <w:ind w:left="3402" w:hanging="567"/>
      <w:jc w:val="both"/>
    </w:pPr>
  </w:style>
  <w:style w:type="paragraph" w:customStyle="1" w:styleId="a">
    <w:name w:val="(a)"/>
    <w:basedOn w:val="Normal"/>
    <w:qFormat/>
    <w:rsid w:val="007D7B80"/>
    <w:pPr>
      <w:spacing w:after="120"/>
      <w:ind w:left="2835" w:hanging="567"/>
      <w:jc w:val="both"/>
    </w:pPr>
  </w:style>
  <w:style w:type="character" w:customStyle="1" w:styleId="HChGChar">
    <w:name w:val="_ H _Ch_G Char"/>
    <w:link w:val="HChG"/>
    <w:rsid w:val="004845D2"/>
    <w:rPr>
      <w:b/>
      <w:sz w:val="28"/>
      <w:lang w:eastAsia="en-US"/>
    </w:rPr>
  </w:style>
  <w:style w:type="character" w:customStyle="1" w:styleId="H1GChar">
    <w:name w:val="_ H_1_G Char"/>
    <w:link w:val="H1G"/>
    <w:rsid w:val="004845D2"/>
    <w:rPr>
      <w:b/>
      <w:sz w:val="24"/>
      <w:lang w:eastAsia="en-US"/>
    </w:rPr>
  </w:style>
  <w:style w:type="paragraph" w:styleId="ListNumber4">
    <w:name w:val="List Number 4"/>
    <w:basedOn w:val="Normal"/>
    <w:rsid w:val="004845D2"/>
    <w:pPr>
      <w:numPr>
        <w:numId w:val="4"/>
      </w:numPr>
    </w:pPr>
  </w:style>
  <w:style w:type="character" w:customStyle="1" w:styleId="H1GCar">
    <w:name w:val="_ H_1_G Car"/>
    <w:rsid w:val="004845D2"/>
    <w:rPr>
      <w:b/>
      <w:sz w:val="24"/>
      <w:lang w:val="en-GB" w:eastAsia="en-US" w:bidi="ar-SA"/>
    </w:rPr>
  </w:style>
  <w:style w:type="character" w:customStyle="1" w:styleId="SingleTxtGChar">
    <w:name w:val="_ Single Txt_G Char"/>
    <w:link w:val="SingleTxtG"/>
    <w:rsid w:val="00D71DFD"/>
    <w:rPr>
      <w:lang w:eastAsia="en-US"/>
    </w:rPr>
  </w:style>
  <w:style w:type="character" w:customStyle="1" w:styleId="FootnoteTextChar">
    <w:name w:val="Footnote Text Char"/>
    <w:aliases w:val="5_G Char,PP Char"/>
    <w:link w:val="FootnoteText"/>
    <w:locked/>
    <w:rsid w:val="00D71DFD"/>
    <w:rPr>
      <w:sz w:val="18"/>
      <w:lang w:eastAsia="en-US"/>
    </w:rPr>
  </w:style>
  <w:style w:type="paragraph" w:styleId="BalloonText">
    <w:name w:val="Balloon Text"/>
    <w:basedOn w:val="Normal"/>
    <w:link w:val="BalloonTextChar"/>
    <w:rsid w:val="00E364CD"/>
    <w:pPr>
      <w:spacing w:line="240" w:lineRule="auto"/>
    </w:pPr>
    <w:rPr>
      <w:rFonts w:ascii="Tahoma" w:hAnsi="Tahoma" w:cs="Tahoma"/>
      <w:sz w:val="16"/>
      <w:szCs w:val="16"/>
    </w:rPr>
  </w:style>
  <w:style w:type="character" w:customStyle="1" w:styleId="BalloonTextChar">
    <w:name w:val="Balloon Text Char"/>
    <w:link w:val="BalloonText"/>
    <w:rsid w:val="00E364C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qFormat/>
    <w:rsid w:val="007D7B80"/>
    <w:pPr>
      <w:spacing w:after="120"/>
      <w:jc w:val="both"/>
    </w:pPr>
  </w:style>
  <w:style w:type="paragraph" w:customStyle="1" w:styleId="i">
    <w:name w:val="(i)"/>
    <w:basedOn w:val="Normal"/>
    <w:qFormat/>
    <w:rsid w:val="007D7B80"/>
    <w:pPr>
      <w:spacing w:after="120"/>
      <w:ind w:left="3402" w:hanging="567"/>
      <w:jc w:val="both"/>
    </w:pPr>
  </w:style>
  <w:style w:type="paragraph" w:customStyle="1" w:styleId="a">
    <w:name w:val="(a)"/>
    <w:basedOn w:val="Normal"/>
    <w:qFormat/>
    <w:rsid w:val="007D7B80"/>
    <w:pPr>
      <w:spacing w:after="120"/>
      <w:ind w:left="2835" w:hanging="567"/>
      <w:jc w:val="both"/>
    </w:pPr>
  </w:style>
  <w:style w:type="character" w:customStyle="1" w:styleId="HChGChar">
    <w:name w:val="_ H _Ch_G Char"/>
    <w:link w:val="HChG"/>
    <w:rsid w:val="004845D2"/>
    <w:rPr>
      <w:b/>
      <w:sz w:val="28"/>
      <w:lang w:eastAsia="en-US"/>
    </w:rPr>
  </w:style>
  <w:style w:type="character" w:customStyle="1" w:styleId="H1GChar">
    <w:name w:val="_ H_1_G Char"/>
    <w:link w:val="H1G"/>
    <w:rsid w:val="004845D2"/>
    <w:rPr>
      <w:b/>
      <w:sz w:val="24"/>
      <w:lang w:eastAsia="en-US"/>
    </w:rPr>
  </w:style>
  <w:style w:type="paragraph" w:styleId="ListNumber4">
    <w:name w:val="List Number 4"/>
    <w:basedOn w:val="Normal"/>
    <w:rsid w:val="004845D2"/>
    <w:pPr>
      <w:numPr>
        <w:numId w:val="4"/>
      </w:numPr>
    </w:pPr>
  </w:style>
  <w:style w:type="character" w:customStyle="1" w:styleId="H1GCar">
    <w:name w:val="_ H_1_G Car"/>
    <w:rsid w:val="004845D2"/>
    <w:rPr>
      <w:b/>
      <w:sz w:val="24"/>
      <w:lang w:val="en-GB" w:eastAsia="en-US" w:bidi="ar-SA"/>
    </w:rPr>
  </w:style>
  <w:style w:type="character" w:customStyle="1" w:styleId="SingleTxtGChar">
    <w:name w:val="_ Single Txt_G Char"/>
    <w:link w:val="SingleTxtG"/>
    <w:rsid w:val="00D71DFD"/>
    <w:rPr>
      <w:lang w:eastAsia="en-US"/>
    </w:rPr>
  </w:style>
  <w:style w:type="character" w:customStyle="1" w:styleId="FootnoteTextChar">
    <w:name w:val="Footnote Text Char"/>
    <w:aliases w:val="5_G Char,PP Char"/>
    <w:link w:val="FootnoteText"/>
    <w:locked/>
    <w:rsid w:val="00D71DFD"/>
    <w:rPr>
      <w:sz w:val="18"/>
      <w:lang w:eastAsia="en-US"/>
    </w:rPr>
  </w:style>
  <w:style w:type="paragraph" w:styleId="BalloonText">
    <w:name w:val="Balloon Text"/>
    <w:basedOn w:val="Normal"/>
    <w:link w:val="BalloonTextChar"/>
    <w:rsid w:val="00E364CD"/>
    <w:pPr>
      <w:spacing w:line="240" w:lineRule="auto"/>
    </w:pPr>
    <w:rPr>
      <w:rFonts w:ascii="Tahoma" w:hAnsi="Tahoma" w:cs="Tahoma"/>
      <w:sz w:val="16"/>
      <w:szCs w:val="16"/>
    </w:rPr>
  </w:style>
  <w:style w:type="character" w:customStyle="1" w:styleId="BalloonTextChar">
    <w:name w:val="Balloon Text Char"/>
    <w:link w:val="BalloonText"/>
    <w:rsid w:val="00E364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_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MY_PlainPage_E.dotm</Template>
  <TotalTime>1</TotalTime>
  <Pages>4</Pages>
  <Words>771</Words>
  <Characters>4398</Characters>
  <Application>Microsoft Office Word</Application>
  <DocSecurity>4</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1714677</vt:lpstr>
      <vt:lpstr/>
    </vt:vector>
  </TitlesOfParts>
  <Company>CSD</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1714677</dc:title>
  <dc:subject>ECE/TRANS/180/Add.1/Amend.2/Appendix 1</dc:subject>
  <dc:creator>03</dc:creator>
  <cp:lastModifiedBy>Benedicte Boudol</cp:lastModifiedBy>
  <cp:revision>2</cp:revision>
  <cp:lastPrinted>2012-08-30T08:16:00Z</cp:lastPrinted>
  <dcterms:created xsi:type="dcterms:W3CDTF">2017-11-09T15:28:00Z</dcterms:created>
  <dcterms:modified xsi:type="dcterms:W3CDTF">2017-11-09T15:28:00Z</dcterms:modified>
</cp:coreProperties>
</file>