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gridCol w:w="2835"/>
      </w:tblGrid>
      <w:tr w:rsidR="00A574B7" w:rsidRPr="00947920" w:rsidTr="003B7F4C">
        <w:trPr>
          <w:trHeight w:hRule="exact" w:val="851"/>
        </w:trPr>
        <w:tc>
          <w:tcPr>
            <w:tcW w:w="9639" w:type="dxa"/>
            <w:gridSpan w:val="2"/>
            <w:tcBorders>
              <w:bottom w:val="single" w:sz="4" w:space="0" w:color="auto"/>
            </w:tcBorders>
            <w:vAlign w:val="bottom"/>
          </w:tcPr>
          <w:p w:rsidR="00A574B7" w:rsidRPr="00947920" w:rsidRDefault="006917E0" w:rsidP="00595CF5">
            <w:pPr>
              <w:jc w:val="right"/>
              <w:rPr>
                <w:lang w:val="en-GB"/>
              </w:rPr>
            </w:pPr>
            <w:bookmarkStart w:id="0" w:name="_GoBack"/>
            <w:bookmarkEnd w:id="0"/>
            <w:r w:rsidRPr="00947920">
              <w:rPr>
                <w:sz w:val="40"/>
                <w:lang w:val="en-GB"/>
              </w:rPr>
              <w:t>ECE</w:t>
            </w:r>
            <w:r w:rsidRPr="00947920">
              <w:rPr>
                <w:lang w:val="en-GB"/>
              </w:rPr>
              <w:t>/TRANS/180/Add.1</w:t>
            </w:r>
            <w:r w:rsidR="00595CF5" w:rsidRPr="00947920">
              <w:rPr>
                <w:lang w:val="en-GB"/>
              </w:rPr>
              <w:t>6</w:t>
            </w:r>
            <w:r w:rsidRPr="00947920">
              <w:rPr>
                <w:lang w:val="en-GB"/>
              </w:rPr>
              <w:t>/A</w:t>
            </w:r>
            <w:r w:rsidR="00595CF5" w:rsidRPr="00947920">
              <w:rPr>
                <w:lang w:val="en-GB"/>
              </w:rPr>
              <w:t>mend.</w:t>
            </w:r>
            <w:r w:rsidRPr="00947920">
              <w:rPr>
                <w:lang w:val="en-GB"/>
              </w:rPr>
              <w:t>1</w:t>
            </w:r>
            <w:r w:rsidR="00555A71" w:rsidRPr="00947920">
              <w:rPr>
                <w:lang w:val="en-GB"/>
              </w:rPr>
              <w:t>/Appendix 1</w:t>
            </w:r>
          </w:p>
        </w:tc>
      </w:tr>
      <w:tr w:rsidR="00A574B7" w:rsidRPr="00DB58B5" w:rsidTr="0067463C">
        <w:trPr>
          <w:trHeight w:hRule="exact" w:val="2835"/>
        </w:trPr>
        <w:tc>
          <w:tcPr>
            <w:tcW w:w="6804" w:type="dxa"/>
            <w:tcBorders>
              <w:top w:val="single" w:sz="4" w:space="0" w:color="auto"/>
              <w:bottom w:val="single" w:sz="12" w:space="0" w:color="auto"/>
            </w:tcBorders>
          </w:tcPr>
          <w:p w:rsidR="00A574B7" w:rsidRPr="00947920" w:rsidRDefault="00A574B7" w:rsidP="00464EEE">
            <w:pPr>
              <w:spacing w:before="120" w:line="380" w:lineRule="exact"/>
              <w:rPr>
                <w:lang w:val="en-GB"/>
              </w:rPr>
            </w:pPr>
          </w:p>
        </w:tc>
        <w:tc>
          <w:tcPr>
            <w:tcW w:w="2835" w:type="dxa"/>
            <w:tcBorders>
              <w:top w:val="single" w:sz="4" w:space="0" w:color="auto"/>
              <w:bottom w:val="single" w:sz="12" w:space="0" w:color="auto"/>
            </w:tcBorders>
          </w:tcPr>
          <w:p w:rsidR="00A574B7" w:rsidRPr="00DB58B5" w:rsidRDefault="00176EA9" w:rsidP="00595CF5">
            <w:pPr>
              <w:spacing w:before="480" w:line="240" w:lineRule="exact"/>
            </w:pPr>
            <w:r>
              <w:t>8</w:t>
            </w:r>
            <w:r w:rsidR="006917E0">
              <w:t xml:space="preserve"> </w:t>
            </w:r>
            <w:r w:rsidR="00595CF5">
              <w:t>mars</w:t>
            </w:r>
            <w:r w:rsidR="006917E0">
              <w:t xml:space="preserve"> 201</w:t>
            </w:r>
            <w:r w:rsidR="00595CF5">
              <w:t>7</w:t>
            </w:r>
          </w:p>
        </w:tc>
      </w:tr>
    </w:tbl>
    <w:p w:rsidR="00F25DF3" w:rsidRPr="006549FF" w:rsidRDefault="00F25DF3" w:rsidP="00923EA7">
      <w:pPr>
        <w:pStyle w:val="HChG"/>
      </w:pPr>
      <w:r>
        <w:tab/>
      </w:r>
      <w:r>
        <w:tab/>
        <w:t>Registre mondial</w:t>
      </w:r>
    </w:p>
    <w:p w:rsidR="00F25DF3" w:rsidRPr="00E950C1" w:rsidRDefault="00F25DF3" w:rsidP="00923EA7">
      <w:pPr>
        <w:pStyle w:val="H1G"/>
      </w:pPr>
      <w:r w:rsidRPr="00E950C1">
        <w:tab/>
      </w:r>
      <w:r w:rsidRPr="00E950C1">
        <w:tab/>
      </w:r>
      <w:r w:rsidRPr="00E950C1">
        <w:rPr>
          <w:lang w:val="fr-FR"/>
        </w:rPr>
        <w:t>Élaboré le 18</w:t>
      </w:r>
      <w:r w:rsidR="00595CF5">
        <w:rPr>
          <w:lang w:val="fr-FR"/>
        </w:rPr>
        <w:t> </w:t>
      </w:r>
      <w:r w:rsidRPr="00E950C1">
        <w:rPr>
          <w:lang w:val="fr-FR"/>
        </w:rPr>
        <w:t>novembre 2004, conformément à l</w:t>
      </w:r>
      <w:r>
        <w:rPr>
          <w:lang w:val="fr-FR"/>
        </w:rPr>
        <w:t>’</w:t>
      </w:r>
      <w:r w:rsidRPr="00E950C1">
        <w:rPr>
          <w:lang w:val="fr-FR"/>
        </w:rPr>
        <w:t>article 6 de l</w:t>
      </w:r>
      <w:r>
        <w:rPr>
          <w:lang w:val="fr-FR"/>
        </w:rPr>
        <w:t>’</w:t>
      </w:r>
      <w:r w:rsidRPr="00E950C1">
        <w:rPr>
          <w:lang w:val="fr-FR"/>
        </w:rPr>
        <w:t>Accord concernant l</w:t>
      </w:r>
      <w:r>
        <w:rPr>
          <w:lang w:val="fr-FR"/>
        </w:rPr>
        <w:t>’</w:t>
      </w:r>
      <w:r w:rsidRPr="00E950C1">
        <w:rPr>
          <w:lang w:val="fr-FR"/>
        </w:rPr>
        <w:t>établissement de règlements techniques mondiaux applicables aux véhicules à roues, ainsi qu</w:t>
      </w:r>
      <w:r>
        <w:rPr>
          <w:lang w:val="fr-FR"/>
        </w:rPr>
        <w:t>’</w:t>
      </w:r>
      <w:r w:rsidRPr="00E950C1">
        <w:rPr>
          <w:lang w:val="fr-FR"/>
        </w:rPr>
        <w:t>aux équipements et pièces</w:t>
      </w:r>
      <w:r w:rsidRPr="00E950C1">
        <w:rPr>
          <w:lang w:val="fr-FR"/>
        </w:rPr>
        <w:br/>
        <w:t xml:space="preserve">qui peuvent être montés et/ou utilisés sur les véhicules à roues (ECE/TRANS/132 et </w:t>
      </w:r>
      <w:r w:rsidRPr="00595CF5">
        <w:rPr>
          <w:rStyle w:val="HTMLAcronym"/>
        </w:rPr>
        <w:t>Corr</w:t>
      </w:r>
      <w:r w:rsidRPr="00E950C1">
        <w:rPr>
          <w:lang w:val="fr-FR"/>
        </w:rPr>
        <w:t>.1) en date, à Genève, du 25 juin 1998</w:t>
      </w:r>
    </w:p>
    <w:p w:rsidR="00F25DF3" w:rsidRPr="006549FF" w:rsidRDefault="00F25DF3" w:rsidP="00923EA7">
      <w:pPr>
        <w:pStyle w:val="HChG"/>
      </w:pPr>
      <w:r>
        <w:tab/>
      </w:r>
      <w:r>
        <w:tab/>
      </w:r>
      <w:r w:rsidRPr="006549FF">
        <w:t xml:space="preserve">Additif </w:t>
      </w:r>
      <w:r>
        <w:t>1</w:t>
      </w:r>
      <w:r w:rsidR="00176EA9">
        <w:t>6 </w:t>
      </w:r>
      <w:r>
        <w:t xml:space="preserve">: </w:t>
      </w:r>
      <w:r w:rsidRPr="006549FF">
        <w:t>Règlement</w:t>
      </w:r>
      <w:r>
        <w:t xml:space="preserve"> technique mondial </w:t>
      </w:r>
      <w:r w:rsidRPr="00B371BF">
        <w:t>n</w:t>
      </w:r>
      <w:r w:rsidRPr="00B371BF">
        <w:rPr>
          <w:vertAlign w:val="superscript"/>
        </w:rPr>
        <w:t>o</w:t>
      </w:r>
      <w:r>
        <w:t> 1</w:t>
      </w:r>
      <w:r w:rsidR="00176EA9">
        <w:t>6</w:t>
      </w:r>
    </w:p>
    <w:p w:rsidR="00F25DF3" w:rsidRPr="0029791D" w:rsidRDefault="00F25DF3" w:rsidP="00B8291F">
      <w:pPr>
        <w:pStyle w:val="H1G"/>
      </w:pPr>
      <w:r>
        <w:tab/>
      </w:r>
      <w:r>
        <w:tab/>
        <w:t xml:space="preserve">Règlement technique mondial sur les </w:t>
      </w:r>
      <w:r w:rsidR="00D75AF2">
        <w:t>pneumatiques</w:t>
      </w:r>
    </w:p>
    <w:p w:rsidR="00F25DF3" w:rsidRDefault="00D75AF2" w:rsidP="00923EA7">
      <w:pPr>
        <w:pStyle w:val="SingleTxtG"/>
      </w:pPr>
      <w:r>
        <w:t>(</w:t>
      </w:r>
      <w:r w:rsidR="00F25DF3">
        <w:t>Inscrit au Registre mondial le 1</w:t>
      </w:r>
      <w:r>
        <w:t>7</w:t>
      </w:r>
      <w:r w:rsidR="00F25DF3">
        <w:t> novembre 201</w:t>
      </w:r>
      <w:r>
        <w:t>6</w:t>
      </w:r>
    </w:p>
    <w:p w:rsidR="00B8291F" w:rsidRPr="00FB6445" w:rsidRDefault="00B8291F" w:rsidP="00B8291F">
      <w:pPr>
        <w:pStyle w:val="H1G"/>
      </w:pPr>
      <w:r>
        <w:tab/>
      </w:r>
      <w:r>
        <w:tab/>
        <w:t>Amendement 1 − Appendice</w:t>
      </w:r>
    </w:p>
    <w:p w:rsidR="00F25DF3" w:rsidRDefault="00F25DF3" w:rsidP="00B8291F">
      <w:pPr>
        <w:pStyle w:val="H23G"/>
      </w:pPr>
      <w:r>
        <w:tab/>
      </w:r>
      <w:r>
        <w:tab/>
        <w:t>Proposition et rapport conformément à l’article</w:t>
      </w:r>
      <w:r w:rsidR="00B8291F">
        <w:t xml:space="preserve"> </w:t>
      </w:r>
      <w:r>
        <w:t>6, paragraphe</w:t>
      </w:r>
      <w:r w:rsidR="00B8291F">
        <w:t xml:space="preserve"> </w:t>
      </w:r>
      <w:r>
        <w:t>6.</w:t>
      </w:r>
      <w:r w:rsidR="00F81533">
        <w:t>2</w:t>
      </w:r>
      <w:r>
        <w:t>.7 de l’Accord</w:t>
      </w:r>
    </w:p>
    <w:p w:rsidR="00F25DF3" w:rsidRPr="00923EA7" w:rsidRDefault="00F25DF3" w:rsidP="00923EA7">
      <w:pPr>
        <w:pStyle w:val="Bullet1G"/>
      </w:pPr>
      <w:r w:rsidRPr="00A43418">
        <w:t>Autorisation d</w:t>
      </w:r>
      <w:r>
        <w:t>’</w:t>
      </w:r>
      <w:r w:rsidRPr="00A43418">
        <w:t xml:space="preserve">élaborer </w:t>
      </w:r>
      <w:r w:rsidR="00FB6445">
        <w:t>des amendements au</w:t>
      </w:r>
      <w:r>
        <w:t xml:space="preserve"> Règlement technique mondial </w:t>
      </w:r>
      <w:r w:rsidRPr="00337DB8">
        <w:t>n</w:t>
      </w:r>
      <w:r w:rsidRPr="00337DB8">
        <w:rPr>
          <w:vertAlign w:val="superscript"/>
        </w:rPr>
        <w:t>o</w:t>
      </w:r>
      <w:r>
        <w:t> 1</w:t>
      </w:r>
      <w:r w:rsidR="00FB6445">
        <w:t>6</w:t>
      </w:r>
      <w:r>
        <w:t xml:space="preserve"> sur les </w:t>
      </w:r>
      <w:r w:rsidR="00FB6445" w:rsidRPr="00923EA7">
        <w:t xml:space="preserve">pneumatiques </w:t>
      </w:r>
      <w:r w:rsidRPr="00923EA7">
        <w:t>(ECE/TRANS/WP.29/AC.3/</w:t>
      </w:r>
      <w:r w:rsidR="00FB6445" w:rsidRPr="00923EA7">
        <w:t>42</w:t>
      </w:r>
      <w:r w:rsidRPr="00923EA7">
        <w:t>).</w:t>
      </w:r>
    </w:p>
    <w:p w:rsidR="00F25DF3" w:rsidRDefault="00F25DF3" w:rsidP="00923EA7">
      <w:pPr>
        <w:pStyle w:val="Bullet1G"/>
      </w:pPr>
      <w:r w:rsidRPr="00923EA7">
        <w:t>Rapport sur l’él</w:t>
      </w:r>
      <w:r>
        <w:t>aboration d</w:t>
      </w:r>
      <w:r w:rsidR="00FB6445">
        <w:t>e l’amendement 1 au</w:t>
      </w:r>
      <w:r>
        <w:t xml:space="preserve"> </w:t>
      </w:r>
      <w:r w:rsidRPr="0073336A">
        <w:t xml:space="preserve">Règlement technique mondial </w:t>
      </w:r>
      <w:r w:rsidRPr="00337DB8">
        <w:t>n</w:t>
      </w:r>
      <w:r w:rsidRPr="00337DB8">
        <w:rPr>
          <w:vertAlign w:val="superscript"/>
        </w:rPr>
        <w:t>o</w:t>
      </w:r>
      <w:r>
        <w:t> </w:t>
      </w:r>
      <w:r w:rsidRPr="0073336A">
        <w:t>1</w:t>
      </w:r>
      <w:r w:rsidR="00FB6445">
        <w:t>6</w:t>
      </w:r>
      <w:r w:rsidRPr="0073336A">
        <w:t xml:space="preserve"> sur les </w:t>
      </w:r>
      <w:r w:rsidR="00FB6445">
        <w:t xml:space="preserve">pneumatiques </w:t>
      </w:r>
      <w:r w:rsidR="00F81533">
        <w:t>(</w:t>
      </w:r>
      <w:r w:rsidR="00F81533" w:rsidRPr="0073336A">
        <w:t>ECE/TRANS/WP.29/</w:t>
      </w:r>
      <w:r w:rsidR="00F81533">
        <w:t>201</w:t>
      </w:r>
      <w:r w:rsidR="00FB6445">
        <w:t>6</w:t>
      </w:r>
      <w:r w:rsidR="00F81533">
        <w:t>/</w:t>
      </w:r>
      <w:r w:rsidR="00FB6445">
        <w:t>7</w:t>
      </w:r>
      <w:r w:rsidR="00F81533">
        <w:t xml:space="preserve">1, adopté par l’AC.3 à sa </w:t>
      </w:r>
      <w:r w:rsidR="00FB6445">
        <w:t>quarante-huit</w:t>
      </w:r>
      <w:r w:rsidR="00F81533">
        <w:t xml:space="preserve">ième session </w:t>
      </w:r>
      <w:r w:rsidRPr="0073336A">
        <w:t>(ECE/TRANS/WP.29/</w:t>
      </w:r>
      <w:r>
        <w:t>11</w:t>
      </w:r>
      <w:r w:rsidR="00FB6445">
        <w:t>2</w:t>
      </w:r>
      <w:r>
        <w:t>6, par. </w:t>
      </w:r>
      <w:r w:rsidR="00FB6445">
        <w:t>115</w:t>
      </w:r>
      <w:r w:rsidRPr="0073336A">
        <w:t>)</w:t>
      </w:r>
      <w:r w:rsidR="00F81533">
        <w:t>)</w:t>
      </w:r>
      <w:r>
        <w:t>.</w:t>
      </w:r>
    </w:p>
    <w:p w:rsidR="00595CF5" w:rsidRPr="00F25DF3" w:rsidRDefault="00F25DF3" w:rsidP="00595CF5">
      <w:pPr>
        <w:pStyle w:val="HChG"/>
        <w:rPr>
          <w:u w:val="single"/>
        </w:rPr>
      </w:pPr>
      <w:r>
        <w:br w:type="page"/>
      </w:r>
    </w:p>
    <w:p w:rsidR="00595CF5" w:rsidRPr="009B53B5" w:rsidRDefault="00595CF5" w:rsidP="00FB6445">
      <w:pPr>
        <w:pStyle w:val="HChG"/>
      </w:pPr>
      <w:r w:rsidRPr="009B53B5">
        <w:lastRenderedPageBreak/>
        <w:tab/>
      </w:r>
      <w:r w:rsidRPr="009B53B5">
        <w:tab/>
        <w:t xml:space="preserve">Autorisation d’élaborer un amendement </w:t>
      </w:r>
      <w:r w:rsidR="00923EA7">
        <w:t xml:space="preserve">1 </w:t>
      </w:r>
      <w:r w:rsidRPr="009B53B5">
        <w:t>au Règlement technique mondial n</w:t>
      </w:r>
      <w:r w:rsidRPr="009B53B5">
        <w:rPr>
          <w:vertAlign w:val="superscript"/>
        </w:rPr>
        <w:t>o</w:t>
      </w:r>
      <w:r w:rsidRPr="009B53B5">
        <w:t> 16 (Pneumatiques)</w:t>
      </w:r>
    </w:p>
    <w:p w:rsidR="00595CF5" w:rsidRPr="009B53B5" w:rsidRDefault="00595CF5" w:rsidP="00923EA7">
      <w:pPr>
        <w:pStyle w:val="H1G"/>
      </w:pPr>
      <w:r w:rsidRPr="009B53B5">
        <w:tab/>
        <w:t>A.</w:t>
      </w:r>
      <w:r w:rsidRPr="009B53B5">
        <w:tab/>
        <w:t>Objectif</w:t>
      </w:r>
    </w:p>
    <w:p w:rsidR="00595CF5" w:rsidRPr="009B53B5" w:rsidRDefault="00595CF5" w:rsidP="00923EA7">
      <w:pPr>
        <w:pStyle w:val="SingleTxtG"/>
        <w:numPr>
          <w:ilvl w:val="0"/>
          <w:numId w:val="21"/>
        </w:numPr>
        <w:ind w:left="1134" w:firstLine="0"/>
      </w:pPr>
      <w:r w:rsidRPr="009B53B5">
        <w:t>La présente proposition a pour but d’élaborer, dans le cadre de l’Accord de 1998, un amendement au Règlement technique mondial (RTM) n</w:t>
      </w:r>
      <w:r w:rsidRPr="009B53B5">
        <w:rPr>
          <w:vertAlign w:val="superscript"/>
        </w:rPr>
        <w:t>o</w:t>
      </w:r>
      <w:r w:rsidRPr="009B53B5">
        <w:t> 16 sur les pneumatiques, afin de l’adapter aux évolutions techniques en y introduisant les nouvelles dispositions qui ont été adoptées récemment dans le cadre du Règlement n</w:t>
      </w:r>
      <w:r w:rsidRPr="009B53B5">
        <w:rPr>
          <w:vertAlign w:val="superscript"/>
        </w:rPr>
        <w:t>o</w:t>
      </w:r>
      <w:r w:rsidR="00B8291F">
        <w:t> 117</w:t>
      </w:r>
      <w:r w:rsidRPr="009B53B5">
        <w:t>. Celles-ci concernent l’adhérence sur sol mouillé, la résistance au roulement ainsi que l’utilisation sur routes fortement enneigées, et elles s’appliquent tant aux pneumatiques des voitures particulières qu’à ceux des véhicules utilitaires légers.</w:t>
      </w:r>
    </w:p>
    <w:p w:rsidR="00595CF5" w:rsidRPr="009B53B5" w:rsidRDefault="00595CF5" w:rsidP="00923EA7">
      <w:pPr>
        <w:pStyle w:val="H1G"/>
      </w:pPr>
      <w:r w:rsidRPr="009B53B5">
        <w:tab/>
        <w:t>B.</w:t>
      </w:r>
      <w:r w:rsidRPr="009B53B5">
        <w:tab/>
        <w:t>Contexte</w:t>
      </w:r>
    </w:p>
    <w:p w:rsidR="00595CF5" w:rsidRPr="009B53B5" w:rsidRDefault="00595CF5" w:rsidP="00923EA7">
      <w:pPr>
        <w:pStyle w:val="SingleTxtG"/>
        <w:numPr>
          <w:ilvl w:val="0"/>
          <w:numId w:val="21"/>
        </w:numPr>
        <w:ind w:left="1134" w:firstLine="0"/>
      </w:pPr>
      <w:r w:rsidRPr="009B53B5">
        <w:t>Le RTM n</w:t>
      </w:r>
      <w:r w:rsidRPr="009B53B5">
        <w:rPr>
          <w:vertAlign w:val="superscript"/>
        </w:rPr>
        <w:t>o</w:t>
      </w:r>
      <w:r w:rsidRPr="009B53B5">
        <w:t xml:space="preserve"> 16 sur les pneumatiques a été inscrit au Registre mondial le 13 novembre 2014. Le groupe de travail informel sur le RTM concernant les pneumatiques a </w:t>
      </w:r>
      <w:r w:rsidR="00923EA7">
        <w:t xml:space="preserve">réussi à </w:t>
      </w:r>
      <w:r w:rsidRPr="009B53B5">
        <w:t xml:space="preserve">harmoniser les dispositions techniques et </w:t>
      </w:r>
      <w:r w:rsidR="00923EA7">
        <w:t>à</w:t>
      </w:r>
      <w:r w:rsidRPr="009B53B5">
        <w:t xml:space="preserve"> les rendre acceptables aussi bien pour les systèmes d’évaluation de conformité de l’autocertification que pour ceux de l’homologation de type.</w:t>
      </w:r>
    </w:p>
    <w:p w:rsidR="00595CF5" w:rsidRPr="009B53B5" w:rsidRDefault="00595CF5" w:rsidP="00923EA7">
      <w:pPr>
        <w:pStyle w:val="SingleTxtG"/>
        <w:numPr>
          <w:ilvl w:val="0"/>
          <w:numId w:val="21"/>
        </w:numPr>
        <w:ind w:left="1134" w:firstLine="0"/>
      </w:pPr>
      <w:r w:rsidRPr="009B53B5">
        <w:t>Parallèlement à l’élaboration du RTM n</w:t>
      </w:r>
      <w:r w:rsidRPr="009B53B5">
        <w:rPr>
          <w:vertAlign w:val="superscript"/>
        </w:rPr>
        <w:t>o</w:t>
      </w:r>
      <w:r w:rsidRPr="009B53B5">
        <w:t> 16, le Règlement n</w:t>
      </w:r>
      <w:r w:rsidRPr="009B53B5">
        <w:rPr>
          <w:vertAlign w:val="superscript"/>
        </w:rPr>
        <w:t>o</w:t>
      </w:r>
      <w:r w:rsidRPr="009B53B5">
        <w:t> 117, qui sert de base audit RTM, avait subi plusieurs modifications destinées à y introduire les dispositions relatives à l’adhérence sur sol mouillé, à la résistance au roulement ainsi qu’à l’utilisation sur routes fortement enneigées pour toutes les classes de pneumatiques concernées.</w:t>
      </w:r>
    </w:p>
    <w:p w:rsidR="00595CF5" w:rsidRPr="009B53B5" w:rsidRDefault="00595CF5" w:rsidP="00923EA7">
      <w:pPr>
        <w:pStyle w:val="SingleTxtG"/>
        <w:numPr>
          <w:ilvl w:val="0"/>
          <w:numId w:val="21"/>
        </w:numPr>
        <w:ind w:left="1134" w:firstLine="0"/>
      </w:pPr>
      <w:r w:rsidRPr="009B53B5">
        <w:t>Devant l’impossibilité d’uniformiser dans un délai raisonnable les nouvelles dispositions du Règlement n</w:t>
      </w:r>
      <w:r w:rsidRPr="009B53B5">
        <w:rPr>
          <w:vertAlign w:val="superscript"/>
        </w:rPr>
        <w:t>o</w:t>
      </w:r>
      <w:r w:rsidRPr="009B53B5">
        <w:t> 117, il a été décidé alors de ne pas encore envisager de les inclure dans le texte du RTM sur les pneumatiques.</w:t>
      </w:r>
    </w:p>
    <w:p w:rsidR="00595CF5" w:rsidRPr="009B53B5" w:rsidRDefault="00595CF5" w:rsidP="00923EA7">
      <w:pPr>
        <w:pStyle w:val="SingleTxtG"/>
        <w:numPr>
          <w:ilvl w:val="0"/>
          <w:numId w:val="21"/>
        </w:numPr>
        <w:ind w:left="1134" w:firstLine="0"/>
      </w:pPr>
      <w:r w:rsidRPr="009B53B5">
        <w:t>Ces nouvelles dispositions du Règlement n</w:t>
      </w:r>
      <w:r w:rsidRPr="009B53B5">
        <w:rPr>
          <w:vertAlign w:val="superscript"/>
        </w:rPr>
        <w:t>o</w:t>
      </w:r>
      <w:r w:rsidRPr="009B53B5">
        <w:t> 117 reflètent l’état des connaissances actuelles en la matière et revêtent une grande importance pour l’évaluation des performances des pneumatiques sur les marchés à l’échelle mondiale. Il convient donc de mettre à jour le RTM n</w:t>
      </w:r>
      <w:r w:rsidRPr="009B53B5">
        <w:rPr>
          <w:vertAlign w:val="superscript"/>
        </w:rPr>
        <w:t>o</w:t>
      </w:r>
      <w:r w:rsidRPr="009B53B5">
        <w:t> 16 en alignant ses dispositions sur celles qui figurent dans le Règlement n</w:t>
      </w:r>
      <w:r w:rsidRPr="009B53B5">
        <w:rPr>
          <w:vertAlign w:val="superscript"/>
        </w:rPr>
        <w:t>o</w:t>
      </w:r>
      <w:r w:rsidRPr="009B53B5">
        <w:t> 117.</w:t>
      </w:r>
    </w:p>
    <w:p w:rsidR="00595CF5" w:rsidRPr="009B53B5" w:rsidRDefault="00595CF5" w:rsidP="00923EA7">
      <w:pPr>
        <w:pStyle w:val="SingleTxtG"/>
        <w:numPr>
          <w:ilvl w:val="0"/>
          <w:numId w:val="21"/>
        </w:numPr>
        <w:ind w:left="1134" w:firstLine="0"/>
      </w:pPr>
      <w:r w:rsidRPr="009B53B5">
        <w:t>Le Gouvernement de la Fédération de Russie, qui a participé au groupe de travail informel sur le RTM concernant les pneumatiques, est désormais le responsable technique qui conduira l’élaboration d’un amendement au RTM n</w:t>
      </w:r>
      <w:r w:rsidRPr="009B53B5">
        <w:rPr>
          <w:vertAlign w:val="superscript"/>
        </w:rPr>
        <w:t>o</w:t>
      </w:r>
      <w:r w:rsidRPr="009B53B5">
        <w:t> 16.</w:t>
      </w:r>
    </w:p>
    <w:p w:rsidR="00595CF5" w:rsidRPr="009B53B5" w:rsidRDefault="00595CF5" w:rsidP="00923EA7">
      <w:pPr>
        <w:pStyle w:val="H1G"/>
      </w:pPr>
      <w:r w:rsidRPr="009B53B5">
        <w:tab/>
        <w:t>C.</w:t>
      </w:r>
      <w:r w:rsidRPr="009B53B5">
        <w:tab/>
        <w:t>Objet de l’amendement</w:t>
      </w:r>
      <w:r w:rsidR="00923EA7">
        <w:t xml:space="preserve"> 1</w:t>
      </w:r>
    </w:p>
    <w:p w:rsidR="00595CF5" w:rsidRPr="009B53B5" w:rsidRDefault="00595CF5" w:rsidP="00923EA7">
      <w:pPr>
        <w:pStyle w:val="SingleTxtG"/>
        <w:numPr>
          <w:ilvl w:val="0"/>
          <w:numId w:val="21"/>
        </w:numPr>
        <w:ind w:left="1134" w:firstLine="0"/>
      </w:pPr>
      <w:r w:rsidRPr="009B53B5">
        <w:t>L’amendement au RTM n</w:t>
      </w:r>
      <w:r w:rsidRPr="009B53B5">
        <w:rPr>
          <w:vertAlign w:val="superscript"/>
        </w:rPr>
        <w:t>o</w:t>
      </w:r>
      <w:r w:rsidRPr="009B53B5">
        <w:t> 16 doit consister à :</w:t>
      </w:r>
    </w:p>
    <w:p w:rsidR="00595CF5" w:rsidRPr="009B53B5" w:rsidRDefault="00595CF5" w:rsidP="00923EA7">
      <w:pPr>
        <w:pStyle w:val="SingleTxtG"/>
        <w:ind w:firstLine="567"/>
      </w:pPr>
      <w:r w:rsidRPr="009B53B5">
        <w:t>a)</w:t>
      </w:r>
      <w:r w:rsidRPr="009B53B5">
        <w:tab/>
        <w:t xml:space="preserve">Modifier la Partie I </w:t>
      </w:r>
      <w:r w:rsidR="00923EA7">
        <w:t>−</w:t>
      </w:r>
      <w:r w:rsidRPr="009B53B5">
        <w:t xml:space="preserve"> Exposé des motifs et justification technique, section C </w:t>
      </w:r>
      <w:r w:rsidR="00923EA7">
        <w:t>−</w:t>
      </w:r>
      <w:r w:rsidRPr="009B53B5">
        <w:t xml:space="preserve"> Étapes administratives antérieures et élaboration du Règlement technique mondial, en y</w:t>
      </w:r>
      <w:r w:rsidR="00923EA7">
        <w:t> </w:t>
      </w:r>
      <w:r w:rsidRPr="009B53B5">
        <w:t>introduisant de nouveaux essais, et en modifiant d’autres sections si nécessaire</w:t>
      </w:r>
      <w:r w:rsidR="00B8291F">
        <w:t> </w:t>
      </w:r>
      <w:r w:rsidRPr="009B53B5">
        <w:t>;</w:t>
      </w:r>
    </w:p>
    <w:p w:rsidR="00595CF5" w:rsidRPr="009B53B5" w:rsidRDefault="00595CF5" w:rsidP="00923EA7">
      <w:pPr>
        <w:pStyle w:val="SingleTxtG"/>
        <w:ind w:firstLine="567"/>
      </w:pPr>
      <w:r w:rsidRPr="009B53B5">
        <w:t>b)</w:t>
      </w:r>
      <w:r w:rsidRPr="009B53B5">
        <w:tab/>
        <w:t xml:space="preserve">Modifier la Partie II </w:t>
      </w:r>
      <w:r w:rsidR="00923EA7">
        <w:t>−</w:t>
      </w:r>
      <w:r w:rsidRPr="009B53B5">
        <w:t xml:space="preserve"> Texte du Règlement technique mondial :</w:t>
      </w:r>
    </w:p>
    <w:p w:rsidR="00595CF5" w:rsidRPr="009B53B5" w:rsidRDefault="00595CF5" w:rsidP="00923EA7">
      <w:pPr>
        <w:pStyle w:val="SingleTxt"/>
        <w:ind w:left="1701" w:right="1134"/>
        <w:rPr>
          <w:lang w:val="fr-CH"/>
        </w:rPr>
      </w:pPr>
      <w:r w:rsidRPr="009B53B5">
        <w:rPr>
          <w:lang w:val="fr-CH"/>
        </w:rPr>
        <w:t>i)</w:t>
      </w:r>
      <w:r w:rsidRPr="009B53B5">
        <w:rPr>
          <w:lang w:val="fr-CH"/>
        </w:rPr>
        <w:tab/>
        <w:t>Ajouter de nouvelles définitions (</w:t>
      </w:r>
      <w:r w:rsidR="00193F43">
        <w:rPr>
          <w:lang w:val="fr-CH"/>
        </w:rPr>
        <w:t>s</w:t>
      </w:r>
      <w:r w:rsidRPr="009B53B5">
        <w:rPr>
          <w:lang w:val="fr-CH"/>
        </w:rPr>
        <w:t>ect</w:t>
      </w:r>
      <w:r w:rsidR="00923EA7">
        <w:rPr>
          <w:lang w:val="fr-CH"/>
        </w:rPr>
        <w:t>. </w:t>
      </w:r>
      <w:r w:rsidRPr="009B53B5">
        <w:rPr>
          <w:lang w:val="fr-CH"/>
        </w:rPr>
        <w:t>2)</w:t>
      </w:r>
      <w:r w:rsidR="00923EA7">
        <w:rPr>
          <w:lang w:val="fr-CH"/>
        </w:rPr>
        <w:t> </w:t>
      </w:r>
      <w:r w:rsidRPr="009B53B5">
        <w:rPr>
          <w:lang w:val="fr-CH"/>
        </w:rPr>
        <w:t>;</w:t>
      </w:r>
    </w:p>
    <w:p w:rsidR="00595CF5" w:rsidRPr="009B53B5" w:rsidRDefault="00595CF5" w:rsidP="00923EA7">
      <w:pPr>
        <w:pStyle w:val="SingleTxt"/>
        <w:ind w:left="1701" w:right="1134"/>
        <w:rPr>
          <w:lang w:val="fr-CH"/>
        </w:rPr>
      </w:pPr>
      <w:r w:rsidRPr="009B53B5">
        <w:rPr>
          <w:lang w:val="fr-CH"/>
        </w:rPr>
        <w:t>ii)</w:t>
      </w:r>
      <w:r w:rsidRPr="009B53B5">
        <w:rPr>
          <w:lang w:val="fr-CH"/>
        </w:rPr>
        <w:tab/>
        <w:t>Modifier l’essai de mesure de l’adhérence sur sol mouillé (par. 3.12)</w:t>
      </w:r>
      <w:r w:rsidR="00923EA7">
        <w:rPr>
          <w:lang w:val="fr-CH"/>
        </w:rPr>
        <w:t> </w:t>
      </w:r>
      <w:r w:rsidRPr="009B53B5">
        <w:rPr>
          <w:lang w:val="fr-CH"/>
        </w:rPr>
        <w:t>;</w:t>
      </w:r>
    </w:p>
    <w:p w:rsidR="00595CF5" w:rsidRPr="009B53B5" w:rsidRDefault="00595CF5" w:rsidP="00193F43">
      <w:pPr>
        <w:pStyle w:val="SingleTxt"/>
        <w:ind w:left="1701" w:right="1134"/>
        <w:rPr>
          <w:lang w:val="fr-CH"/>
        </w:rPr>
      </w:pPr>
      <w:r w:rsidRPr="009B53B5">
        <w:rPr>
          <w:lang w:val="fr-CH"/>
        </w:rPr>
        <w:lastRenderedPageBreak/>
        <w:t>iii)</w:t>
      </w:r>
      <w:r w:rsidRPr="009B53B5">
        <w:rPr>
          <w:lang w:val="fr-CH"/>
        </w:rPr>
        <w:tab/>
        <w:t>Ajouter de nouvelles prescriptions relatives à la résistance au roulement (nouveau par</w:t>
      </w:r>
      <w:r w:rsidR="00B8291F">
        <w:rPr>
          <w:lang w:val="fr-CH"/>
        </w:rPr>
        <w:t xml:space="preserve">agraphe </w:t>
      </w:r>
      <w:r w:rsidRPr="009B53B5">
        <w:rPr>
          <w:lang w:val="fr-CH"/>
        </w:rPr>
        <w:t>3.22)</w:t>
      </w:r>
      <w:r w:rsidR="00193F43">
        <w:rPr>
          <w:lang w:val="fr-CH"/>
        </w:rPr>
        <w:t> </w:t>
      </w:r>
      <w:r w:rsidRPr="009B53B5">
        <w:rPr>
          <w:lang w:val="fr-CH"/>
        </w:rPr>
        <w:t>;</w:t>
      </w:r>
    </w:p>
    <w:p w:rsidR="00595CF5" w:rsidRPr="009B53B5" w:rsidRDefault="00595CF5" w:rsidP="00193F43">
      <w:pPr>
        <w:pStyle w:val="SingleTxt"/>
        <w:ind w:left="1701" w:right="1134"/>
        <w:rPr>
          <w:lang w:val="fr-CH"/>
        </w:rPr>
      </w:pPr>
      <w:r w:rsidRPr="009B53B5">
        <w:rPr>
          <w:lang w:val="fr-CH"/>
        </w:rPr>
        <w:t>iv)</w:t>
      </w:r>
      <w:r w:rsidRPr="009B53B5">
        <w:rPr>
          <w:lang w:val="fr-CH"/>
        </w:rPr>
        <w:tab/>
        <w:t xml:space="preserve">Ajouter de nouvelles prescriptions relatives à la capacité d’un pneumatique d’être utilisé sur des routes </w:t>
      </w:r>
      <w:r w:rsidR="00B8291F">
        <w:rPr>
          <w:lang w:val="fr-CH"/>
        </w:rPr>
        <w:t xml:space="preserve">fortement enneigées (nouveau paragraphe </w:t>
      </w:r>
      <w:r w:rsidRPr="009B53B5">
        <w:rPr>
          <w:lang w:val="fr-CH"/>
        </w:rPr>
        <w:t>3.23)</w:t>
      </w:r>
      <w:r w:rsidR="00193F43">
        <w:rPr>
          <w:lang w:val="fr-CH"/>
        </w:rPr>
        <w:t> </w:t>
      </w:r>
      <w:r w:rsidRPr="009B53B5">
        <w:rPr>
          <w:lang w:val="fr-CH"/>
        </w:rPr>
        <w:t>;</w:t>
      </w:r>
    </w:p>
    <w:p w:rsidR="00595CF5" w:rsidRPr="009B53B5" w:rsidRDefault="00595CF5" w:rsidP="00193F43">
      <w:pPr>
        <w:pStyle w:val="SingleTxtG"/>
        <w:ind w:firstLine="567"/>
      </w:pPr>
      <w:r w:rsidRPr="009B53B5">
        <w:t>c)</w:t>
      </w:r>
      <w:r w:rsidRPr="009B53B5">
        <w:tab/>
        <w:t>Ajouter de nouvelles annexes contenant les détails des méthodes d’essai (au besoin).</w:t>
      </w:r>
    </w:p>
    <w:p w:rsidR="00595CF5" w:rsidRPr="009B53B5" w:rsidRDefault="00595CF5" w:rsidP="00193F43">
      <w:pPr>
        <w:pStyle w:val="H1G"/>
      </w:pPr>
      <w:r w:rsidRPr="009B53B5">
        <w:tab/>
        <w:t>D.</w:t>
      </w:r>
      <w:r w:rsidRPr="009B53B5">
        <w:tab/>
        <w:t>Organisation du processus et calendrier</w:t>
      </w:r>
    </w:p>
    <w:p w:rsidR="00595CF5" w:rsidRPr="009B53B5" w:rsidRDefault="00595CF5" w:rsidP="00923EA7">
      <w:pPr>
        <w:pStyle w:val="SingleTxtG"/>
        <w:numPr>
          <w:ilvl w:val="0"/>
          <w:numId w:val="21"/>
        </w:numPr>
        <w:ind w:left="1134" w:firstLine="0"/>
      </w:pPr>
      <w:r w:rsidRPr="009B53B5">
        <w:t>La proposition sera établie par les experts de l’industrie du pneumatique en collaboration avec les experts de la Fédération de Russie. Les modifications à apporter à cette proposition seront élaborées en collaboration avec tous les experts du GRRF intéressés puis discutées et adoptées par voie électronique. Il n’est pas prévu d’organiser des réunions d’experts, mais cela sera fait en cas de besoin.</w:t>
      </w:r>
    </w:p>
    <w:p w:rsidR="00595CF5" w:rsidRPr="009B53B5" w:rsidRDefault="00595CF5" w:rsidP="00193F43">
      <w:pPr>
        <w:pStyle w:val="SingleTxtG"/>
        <w:numPr>
          <w:ilvl w:val="0"/>
          <w:numId w:val="21"/>
        </w:numPr>
        <w:ind w:left="1134" w:firstLine="0"/>
      </w:pPr>
      <w:r w:rsidRPr="009B53B5">
        <w:t>Plan d’action proposé :</w:t>
      </w:r>
    </w:p>
    <w:p w:rsidR="00595CF5" w:rsidRPr="009B53B5" w:rsidRDefault="00595CF5" w:rsidP="00193F43">
      <w:pPr>
        <w:pStyle w:val="SingleTxtG"/>
        <w:ind w:firstLine="567"/>
      </w:pPr>
      <w:r w:rsidRPr="009B53B5">
        <w:t>a)</w:t>
      </w:r>
      <w:r w:rsidRPr="009B53B5">
        <w:tab/>
        <w:t>Septembre 2015 : Introduction et examen de la proposition (document informel) à la quatre-vingtième session du GRRF</w:t>
      </w:r>
      <w:r w:rsidR="00193F43">
        <w:t> </w:t>
      </w:r>
      <w:r w:rsidRPr="009B53B5">
        <w:t>;</w:t>
      </w:r>
    </w:p>
    <w:p w:rsidR="00595CF5" w:rsidRPr="009B53B5" w:rsidRDefault="00595CF5" w:rsidP="00193F43">
      <w:pPr>
        <w:pStyle w:val="SingleTxtG"/>
        <w:ind w:firstLine="567"/>
      </w:pPr>
      <w:r w:rsidRPr="009B53B5">
        <w:t>b)</w:t>
      </w:r>
      <w:r w:rsidRPr="009B53B5">
        <w:tab/>
        <w:t>Février 2016 : Examen de la proposition modifiée et adoption éventuelle à la quatre-vingt-unième session du GRRF</w:t>
      </w:r>
      <w:r w:rsidR="00193F43">
        <w:t> </w:t>
      </w:r>
      <w:r w:rsidRPr="009B53B5">
        <w:t>;</w:t>
      </w:r>
    </w:p>
    <w:p w:rsidR="00595CF5" w:rsidRPr="009B53B5" w:rsidRDefault="00595CF5" w:rsidP="00193F43">
      <w:pPr>
        <w:pStyle w:val="SingleTxtG"/>
        <w:ind w:firstLine="567"/>
      </w:pPr>
      <w:r w:rsidRPr="009B53B5">
        <w:t>c)</w:t>
      </w:r>
      <w:r w:rsidRPr="009B53B5">
        <w:tab/>
        <w:t>Juin 2016 : Adoption de la proposition par l’AC.3, s’il n’y a plus de questions en suspens</w:t>
      </w:r>
      <w:r w:rsidR="00193F43">
        <w:t> </w:t>
      </w:r>
      <w:r w:rsidRPr="009B53B5">
        <w:t>;</w:t>
      </w:r>
    </w:p>
    <w:p w:rsidR="00595CF5" w:rsidRPr="009B53B5" w:rsidRDefault="00595CF5" w:rsidP="00193F43">
      <w:pPr>
        <w:pStyle w:val="SingleTxtG"/>
        <w:ind w:firstLine="567"/>
      </w:pPr>
      <w:r w:rsidRPr="009B53B5">
        <w:t>d)</w:t>
      </w:r>
      <w:r w:rsidRPr="009B53B5">
        <w:tab/>
        <w:t>Septembre 2016 : Examen des éventuelles questions en suspens à la quatre-vingt-deuxième session du GRRF</w:t>
      </w:r>
      <w:r w:rsidR="00193F43">
        <w:t> </w:t>
      </w:r>
      <w:r w:rsidRPr="009B53B5">
        <w:t>;</w:t>
      </w:r>
    </w:p>
    <w:p w:rsidR="00595CF5" w:rsidRPr="009B53B5" w:rsidRDefault="00595CF5" w:rsidP="00193F43">
      <w:pPr>
        <w:pStyle w:val="SingleTxtG"/>
        <w:ind w:firstLine="567"/>
      </w:pPr>
      <w:r w:rsidRPr="009B53B5">
        <w:t>e)</w:t>
      </w:r>
      <w:r w:rsidRPr="009B53B5">
        <w:tab/>
        <w:t>Novembre 2016 : Adoption de la proposition par l’AC.3, si toutes les questions en suspens ont été résolues.</w:t>
      </w:r>
    </w:p>
    <w:p w:rsidR="003B0F4C" w:rsidRDefault="00595CF5" w:rsidP="00923EA7">
      <w:pPr>
        <w:pStyle w:val="SingleTxtG"/>
        <w:numPr>
          <w:ilvl w:val="0"/>
          <w:numId w:val="21"/>
        </w:numPr>
        <w:ind w:left="1134" w:firstLine="0"/>
      </w:pPr>
      <w:r w:rsidRPr="009B53B5">
        <w:t>L’AC.3 sera tenu informé des progrès accomplis lors de ses sessions de novembre</w:t>
      </w:r>
      <w:r w:rsidR="00193F43">
        <w:t> </w:t>
      </w:r>
      <w:r w:rsidRPr="009B53B5">
        <w:t>2015 ainsi que de mars et juin 2016.</w:t>
      </w:r>
    </w:p>
    <w:p w:rsidR="00923EA7" w:rsidRDefault="00923EA7" w:rsidP="00595CF5">
      <w:pPr>
        <w:suppressAutoHyphens w:val="0"/>
        <w:spacing w:line="240" w:lineRule="auto"/>
        <w:sectPr w:rsidR="00923EA7" w:rsidSect="006917E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595CF5" w:rsidRDefault="00595CF5" w:rsidP="00193F43">
      <w:pPr>
        <w:pStyle w:val="HChG"/>
      </w:pPr>
      <w:r>
        <w:lastRenderedPageBreak/>
        <w:br w:type="page"/>
      </w:r>
      <w:r w:rsidR="00193F43">
        <w:lastRenderedPageBreak/>
        <w:tab/>
      </w:r>
      <w:r w:rsidR="00193F43">
        <w:tab/>
        <w:t>Rapport technique sur l</w:t>
      </w:r>
      <w:r w:rsidR="00193F43" w:rsidRPr="009B53B5">
        <w:t>’élabor</w:t>
      </w:r>
      <w:r w:rsidR="00B8291F">
        <w:t>ation</w:t>
      </w:r>
      <w:r w:rsidR="00193F43" w:rsidRPr="009B53B5">
        <w:t xml:space="preserve"> </w:t>
      </w:r>
      <w:r w:rsidR="00193F43">
        <w:t>de l’</w:t>
      </w:r>
      <w:r w:rsidR="00193F43" w:rsidRPr="009B53B5">
        <w:t xml:space="preserve">amendement </w:t>
      </w:r>
      <w:r w:rsidR="00193F43">
        <w:t xml:space="preserve">1 </w:t>
      </w:r>
      <w:r w:rsidR="00B8291F">
        <w:br/>
      </w:r>
      <w:r w:rsidR="00193F43" w:rsidRPr="009B53B5">
        <w:t>au Règlement technique mondial n</w:t>
      </w:r>
      <w:r w:rsidR="00193F43" w:rsidRPr="009B53B5">
        <w:rPr>
          <w:vertAlign w:val="superscript"/>
        </w:rPr>
        <w:t>o</w:t>
      </w:r>
      <w:r w:rsidR="00193F43" w:rsidRPr="009B53B5">
        <w:t> 16 (Pneumatiques)</w:t>
      </w:r>
    </w:p>
    <w:p w:rsidR="00595CF5" w:rsidRPr="005B3905" w:rsidRDefault="00595CF5" w:rsidP="00193F43">
      <w:pPr>
        <w:pStyle w:val="H1G"/>
        <w:rPr>
          <w:lang w:val="fr-FR"/>
        </w:rPr>
      </w:pPr>
      <w:r w:rsidRPr="005B3905">
        <w:rPr>
          <w:lang w:val="fr-FR"/>
        </w:rPr>
        <w:tab/>
        <w:t>A.</w:t>
      </w:r>
      <w:r w:rsidRPr="005B3905">
        <w:rPr>
          <w:lang w:val="fr-FR"/>
        </w:rPr>
        <w:tab/>
      </w:r>
      <w:r>
        <w:rPr>
          <w:lang w:val="fr-FR"/>
        </w:rPr>
        <w:t>Historique</w:t>
      </w:r>
    </w:p>
    <w:p w:rsidR="00595CF5" w:rsidRPr="005B3905" w:rsidRDefault="00595CF5" w:rsidP="00923EA7">
      <w:pPr>
        <w:pStyle w:val="SingleTxtG"/>
        <w:numPr>
          <w:ilvl w:val="0"/>
          <w:numId w:val="22"/>
        </w:numPr>
        <w:ind w:left="1134" w:firstLine="0"/>
        <w:rPr>
          <w:lang w:val="fr-FR"/>
        </w:rPr>
      </w:pPr>
      <w:r w:rsidRPr="00A856C6">
        <w:rPr>
          <w:lang w:val="fr-FR" w:eastAsia="ko-KR"/>
        </w:rPr>
        <w:t>Le Règlement technique mondial (RTM</w:t>
      </w:r>
      <w:r w:rsidRPr="005274BB">
        <w:rPr>
          <w:lang w:val="fr-FR" w:eastAsia="ko-KR"/>
        </w:rPr>
        <w:t>)</w:t>
      </w:r>
      <w:r w:rsidRPr="00A856C6">
        <w:rPr>
          <w:lang w:val="fr-FR" w:eastAsia="ko-KR"/>
        </w:rPr>
        <w:t xml:space="preserve">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856C6">
        <w:rPr>
          <w:lang w:val="fr-FR" w:eastAsia="ko-KR"/>
        </w:rPr>
        <w:t>16 relatif aux pneumatiques a été inscrit au Registre mondial le 13</w:t>
      </w:r>
      <w:r>
        <w:rPr>
          <w:lang w:val="fr-FR" w:eastAsia="ko-KR"/>
        </w:rPr>
        <w:t> </w:t>
      </w:r>
      <w:r w:rsidRPr="00A856C6">
        <w:rPr>
          <w:lang w:val="fr-FR" w:eastAsia="ko-KR"/>
        </w:rPr>
        <w:t>novembre 2014</w:t>
      </w:r>
      <w:r w:rsidRPr="005B3905">
        <w:rPr>
          <w:lang w:val="fr-FR"/>
        </w:rPr>
        <w:t xml:space="preserve">. </w:t>
      </w:r>
      <w:r w:rsidRPr="005274BB">
        <w:rPr>
          <w:lang w:val="fr-FR"/>
        </w:rPr>
        <w:t xml:space="preserve">Le groupe de travail informel </w:t>
      </w:r>
      <w:r>
        <w:rPr>
          <w:lang w:val="fr-FR"/>
        </w:rPr>
        <w:t>chargé du</w:t>
      </w:r>
      <w:r w:rsidRPr="005274BB">
        <w:rPr>
          <w:lang w:val="fr-FR"/>
        </w:rPr>
        <w:t xml:space="preserve"> RTM relatif aux pneumatiques n’</w:t>
      </w:r>
      <w:r>
        <w:rPr>
          <w:lang w:val="fr-FR"/>
        </w:rPr>
        <w:t>est</w:t>
      </w:r>
      <w:r w:rsidRPr="005274BB">
        <w:rPr>
          <w:lang w:val="fr-FR"/>
        </w:rPr>
        <w:t xml:space="preserve"> </w:t>
      </w:r>
      <w:r>
        <w:rPr>
          <w:lang w:val="fr-FR"/>
        </w:rPr>
        <w:t>pas</w:t>
      </w:r>
      <w:r w:rsidRPr="005274BB">
        <w:rPr>
          <w:lang w:val="fr-FR"/>
        </w:rPr>
        <w:t xml:space="preserve"> parven</w:t>
      </w:r>
      <w:r>
        <w:rPr>
          <w:lang w:val="fr-FR"/>
        </w:rPr>
        <w:t>u</w:t>
      </w:r>
      <w:r w:rsidRPr="005274BB">
        <w:rPr>
          <w:lang w:val="fr-FR"/>
        </w:rPr>
        <w:t xml:space="preserve"> à harmoniser les dispositions techniques de manière à les rendre acceptables à la fois pour l’homologation de type et pour les systèmes d’évaluation de la conformité en vue de l’autocertification</w:t>
      </w:r>
      <w:r>
        <w:rPr>
          <w:lang w:val="fr-FR"/>
        </w:rPr>
        <w:t>.</w:t>
      </w:r>
    </w:p>
    <w:p w:rsidR="00595CF5" w:rsidRPr="005B3905" w:rsidRDefault="00595CF5" w:rsidP="00923EA7">
      <w:pPr>
        <w:pStyle w:val="SingleTxtG"/>
        <w:numPr>
          <w:ilvl w:val="0"/>
          <w:numId w:val="22"/>
        </w:numPr>
        <w:ind w:left="1134" w:firstLine="0"/>
        <w:rPr>
          <w:lang w:val="fr-FR"/>
        </w:rPr>
      </w:pPr>
      <w:r>
        <w:t xml:space="preserve">Entre-temps,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t xml:space="preserve">117, sur lequel est fondé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t>16, a été modifié à plusieurs reprises de manière à y intégrer des dispositions relatives à l’adhérence sur sol mouillé, à la résistance au roulement et à la qualification pour une utilisation sur routes très fortement enneigées pour toutes les classes de pneumatiques faisant partie de son champ d’application</w:t>
      </w:r>
      <w:r w:rsidRPr="005B3905">
        <w:rPr>
          <w:lang w:val="fr-FR"/>
        </w:rPr>
        <w:t xml:space="preserve">. </w:t>
      </w:r>
      <w:r w:rsidRPr="005274BB">
        <w:rPr>
          <w:lang w:val="fr-FR"/>
        </w:rPr>
        <w:t xml:space="preserve">Les RTM </w:t>
      </w:r>
      <w:r w:rsidRPr="00264BE0">
        <w:rPr>
          <w:rFonts w:eastAsia="MS Mincho"/>
          <w:szCs w:val="22"/>
          <w:lang w:val="fr-FR" w:eastAsia="ko-KR"/>
        </w:rPr>
        <w:t>n</w:t>
      </w:r>
      <w:r w:rsidRPr="00264BE0">
        <w:rPr>
          <w:rFonts w:eastAsia="MS Mincho"/>
          <w:szCs w:val="22"/>
          <w:vertAlign w:val="superscript"/>
          <w:lang w:val="fr-FR" w:eastAsia="ko-KR"/>
        </w:rPr>
        <w:t>o</w:t>
      </w:r>
      <w:r>
        <w:rPr>
          <w:rFonts w:eastAsia="MS Mincho"/>
          <w:szCs w:val="22"/>
          <w:vertAlign w:val="superscript"/>
          <w:lang w:val="fr-FR" w:eastAsia="ko-KR"/>
        </w:rPr>
        <w:t>s</w:t>
      </w:r>
      <w:r>
        <w:rPr>
          <w:lang w:val="fr-FR" w:eastAsia="ko-KR"/>
        </w:rPr>
        <w:t> </w:t>
      </w:r>
      <w:r w:rsidRPr="005274BB">
        <w:rPr>
          <w:lang w:val="fr-FR"/>
        </w:rPr>
        <w:t xml:space="preserve">30 et 54, sur lesquels est également fondé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16, ont également subi certaines modifications, ce qui a rendu nécessaire d’harmoniser en conséquence les dispositions pertinentes du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w:t>
      </w:r>
      <w:r w:rsidRPr="005B3905">
        <w:rPr>
          <w:lang w:val="fr-FR"/>
        </w:rPr>
        <w:t>.</w:t>
      </w:r>
    </w:p>
    <w:p w:rsidR="00595CF5" w:rsidRPr="005B3905" w:rsidRDefault="00595CF5" w:rsidP="00923EA7">
      <w:pPr>
        <w:pStyle w:val="SingleTxtG"/>
        <w:numPr>
          <w:ilvl w:val="0"/>
          <w:numId w:val="22"/>
        </w:numPr>
        <w:ind w:left="1134" w:firstLine="0"/>
        <w:rPr>
          <w:lang w:val="fr-FR"/>
        </w:rPr>
      </w:pPr>
      <w:r w:rsidRPr="005274BB">
        <w:rPr>
          <w:lang w:val="fr-FR"/>
        </w:rPr>
        <w:t xml:space="preserve">Comme il n’était pas possible d’harmoniser dans un délai raisonnable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16 avec les dispositions nouvellement introduites du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117, il a été décidé de ne pas envisager d’intégrer ces dispositions dans le texte dudit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lors de son élaboration</w:t>
      </w:r>
      <w:r w:rsidRPr="005B3905">
        <w:rPr>
          <w:lang w:val="fr-FR"/>
        </w:rPr>
        <w:t>.</w:t>
      </w:r>
    </w:p>
    <w:p w:rsidR="00595CF5" w:rsidRPr="005B3905" w:rsidRDefault="00595CF5" w:rsidP="00923EA7">
      <w:pPr>
        <w:pStyle w:val="SingleTxtG"/>
        <w:numPr>
          <w:ilvl w:val="0"/>
          <w:numId w:val="22"/>
        </w:numPr>
        <w:ind w:left="1134" w:firstLine="0"/>
        <w:rPr>
          <w:lang w:val="fr-FR"/>
        </w:rPr>
      </w:pPr>
      <w:r w:rsidRPr="005274BB">
        <w:rPr>
          <w:lang w:val="fr-FR"/>
        </w:rPr>
        <w:t xml:space="preserve">Comme les nouvelles dispositions précitées du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117 ainsi que celles des RTM </w:t>
      </w:r>
      <w:r w:rsidRPr="00264BE0">
        <w:rPr>
          <w:rFonts w:eastAsia="MS Mincho"/>
          <w:szCs w:val="22"/>
          <w:lang w:val="fr-FR" w:eastAsia="ko-KR"/>
        </w:rPr>
        <w:t>n</w:t>
      </w:r>
      <w:r w:rsidRPr="00264BE0">
        <w:rPr>
          <w:rFonts w:eastAsia="MS Mincho"/>
          <w:szCs w:val="22"/>
          <w:vertAlign w:val="superscript"/>
          <w:lang w:val="fr-FR" w:eastAsia="ko-KR"/>
        </w:rPr>
        <w:t>o</w:t>
      </w:r>
      <w:r>
        <w:rPr>
          <w:rFonts w:eastAsia="MS Mincho"/>
          <w:szCs w:val="22"/>
          <w:vertAlign w:val="superscript"/>
          <w:lang w:val="fr-FR" w:eastAsia="ko-KR"/>
        </w:rPr>
        <w:t>s</w:t>
      </w:r>
      <w:r>
        <w:rPr>
          <w:lang w:val="fr-FR" w:eastAsia="ko-KR"/>
        </w:rPr>
        <w:t> </w:t>
      </w:r>
      <w:r w:rsidRPr="005274BB">
        <w:rPr>
          <w:lang w:val="fr-FR"/>
        </w:rPr>
        <w:t xml:space="preserve">30 et 54 tiennent compte des dernières avancées technologiques et sont importantes pour évaluer la performance des pneumatiques commercialisés dans le monde entier, le GRRF a pris la décision, à sa soixante-dix-neuvième session, d’établir un projet d’amendement visant à harmoniser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relatif aux pneumatiques avec les dernières évolutions de la réglementation (EC</w:t>
      </w:r>
      <w:r>
        <w:rPr>
          <w:lang w:val="fr-FR"/>
        </w:rPr>
        <w:t>E/TRANS/ WP.29/GRRF/79, par. </w:t>
      </w:r>
      <w:r w:rsidRPr="005B3905">
        <w:rPr>
          <w:lang w:val="fr-FR"/>
        </w:rPr>
        <w:t>27).</w:t>
      </w:r>
    </w:p>
    <w:p w:rsidR="00595CF5" w:rsidRPr="005B3905" w:rsidRDefault="00595CF5" w:rsidP="00923EA7">
      <w:pPr>
        <w:pStyle w:val="SingleTxtG"/>
        <w:numPr>
          <w:ilvl w:val="0"/>
          <w:numId w:val="22"/>
        </w:numPr>
        <w:ind w:left="1134" w:firstLine="0"/>
        <w:rPr>
          <w:lang w:val="fr-FR"/>
        </w:rPr>
      </w:pPr>
      <w:r w:rsidRPr="005274BB">
        <w:rPr>
          <w:lang w:val="fr-FR"/>
        </w:rPr>
        <w:t xml:space="preserve">L’Organisation technique européenne du pneumatique et de la jante (ETRTO) a accepté d’établir un projet d’amendement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relatif aux pneumatiques, qui serait considéré comme la phase 1b de l’élaboration dudit RTM</w:t>
      </w:r>
      <w:r w:rsidRPr="005B3905">
        <w:rPr>
          <w:lang w:val="fr-FR"/>
        </w:rPr>
        <w:t xml:space="preserve">. </w:t>
      </w:r>
      <w:r w:rsidRPr="005274BB">
        <w:rPr>
          <w:lang w:val="fr-FR"/>
        </w:rPr>
        <w:t>Le Gouvernement de la Fédération de Russie a assumé les fonctions de responsable technique pour ce travail</w:t>
      </w:r>
      <w:r w:rsidRPr="005B3905">
        <w:rPr>
          <w:lang w:val="fr-FR"/>
        </w:rPr>
        <w:t>.</w:t>
      </w:r>
    </w:p>
    <w:p w:rsidR="00595CF5" w:rsidRPr="005B3905" w:rsidRDefault="00595CF5" w:rsidP="00923EA7">
      <w:pPr>
        <w:pStyle w:val="SingleTxtG"/>
        <w:numPr>
          <w:ilvl w:val="0"/>
          <w:numId w:val="22"/>
        </w:numPr>
        <w:ind w:left="1134" w:firstLine="0"/>
        <w:rPr>
          <w:lang w:val="fr-FR"/>
        </w:rPr>
      </w:pPr>
      <w:r w:rsidRPr="005274BB">
        <w:rPr>
          <w:lang w:val="fr-FR"/>
        </w:rPr>
        <w:t>À sa quarante-quatrième session, le Comité exécutif de l’Accord de 1958 (AC.3) a adopté le document ECE/TRANS/WP.29/2015/70, soumis par la Fédération de Russie</w:t>
      </w:r>
      <w:r>
        <w:rPr>
          <w:lang w:val="fr-FR"/>
        </w:rPr>
        <w:t>,</w:t>
      </w:r>
      <w:r w:rsidRPr="005274BB">
        <w:rPr>
          <w:lang w:val="fr-FR"/>
        </w:rPr>
        <w:t xml:space="preserve"> dans lequel celle-ci demande l’autorisation de commencer à élaborer l’amendement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w:t>
      </w:r>
      <w:r w:rsidRPr="005B3905">
        <w:rPr>
          <w:lang w:val="fr-FR"/>
        </w:rPr>
        <w:t>.</w:t>
      </w:r>
    </w:p>
    <w:p w:rsidR="00595CF5" w:rsidRPr="005B3905" w:rsidRDefault="00595CF5" w:rsidP="00193F43">
      <w:pPr>
        <w:pStyle w:val="H1G"/>
        <w:rPr>
          <w:szCs w:val="24"/>
          <w:lang w:val="fr-FR"/>
        </w:rPr>
      </w:pPr>
      <w:r w:rsidRPr="005B3905">
        <w:rPr>
          <w:szCs w:val="24"/>
          <w:lang w:val="fr-FR"/>
        </w:rPr>
        <w:tab/>
        <w:t>B.</w:t>
      </w:r>
      <w:r w:rsidRPr="005B3905">
        <w:rPr>
          <w:szCs w:val="24"/>
          <w:lang w:val="fr-FR"/>
        </w:rPr>
        <w:tab/>
      </w:r>
      <w:r w:rsidRPr="005274BB">
        <w:rPr>
          <w:lang w:val="fr-FR" w:eastAsia="ko-KR"/>
        </w:rPr>
        <w:t>Organisation d</w:t>
      </w:r>
      <w:r>
        <w:rPr>
          <w:lang w:val="fr-FR" w:eastAsia="ko-KR"/>
        </w:rPr>
        <w:t>es travaux</w:t>
      </w:r>
    </w:p>
    <w:p w:rsidR="00595CF5" w:rsidRPr="005B3905" w:rsidRDefault="00595CF5" w:rsidP="00923EA7">
      <w:pPr>
        <w:pStyle w:val="SingleTxtG"/>
        <w:numPr>
          <w:ilvl w:val="0"/>
          <w:numId w:val="22"/>
        </w:numPr>
        <w:ind w:left="1134" w:firstLine="0"/>
        <w:rPr>
          <w:lang w:val="fr-FR"/>
        </w:rPr>
      </w:pPr>
      <w:r w:rsidRPr="00826B87">
        <w:rPr>
          <w:lang w:val="fr-FR" w:eastAsia="ko-KR"/>
        </w:rPr>
        <w:t xml:space="preserve">La proposition d’amendement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826B87">
        <w:rPr>
          <w:lang w:val="fr-FR" w:eastAsia="ko-KR"/>
        </w:rPr>
        <w:t>16, y</w:t>
      </w:r>
      <w:r>
        <w:rPr>
          <w:lang w:val="fr-FR" w:eastAsia="ko-KR"/>
        </w:rPr>
        <w:t> </w:t>
      </w:r>
      <w:r w:rsidRPr="00826B87">
        <w:rPr>
          <w:lang w:val="fr-FR" w:eastAsia="ko-KR"/>
        </w:rPr>
        <w:t xml:space="preserve">compris les modifications approuvées dans les Normes fédérales des États-Unis applicables aux véhicules à moteur en matière de sécurité (FMVSS) pertinentes ainsi que dans les compléments et rectificatifs aux </w:t>
      </w:r>
      <w:r>
        <w:rPr>
          <w:lang w:val="fr-FR" w:eastAsia="ko-KR"/>
        </w:rPr>
        <w:t>R</w:t>
      </w:r>
      <w:r w:rsidRPr="00826B87">
        <w:rPr>
          <w:lang w:val="fr-FR" w:eastAsia="ko-KR"/>
        </w:rPr>
        <w:t>èglements de l’ONU, a été établie par les experts de l’ETRTO avec l’intention de rendre le texte proposé neutre à l’égard des systèmes d’évaluation de la conformité</w:t>
      </w:r>
      <w:r>
        <w:rPr>
          <w:lang w:val="fr-FR"/>
        </w:rPr>
        <w:t>.</w:t>
      </w:r>
    </w:p>
    <w:p w:rsidR="00595CF5" w:rsidRPr="005B3905" w:rsidRDefault="00595CF5" w:rsidP="00923EA7">
      <w:pPr>
        <w:pStyle w:val="SingleTxtG"/>
        <w:numPr>
          <w:ilvl w:val="0"/>
          <w:numId w:val="22"/>
        </w:numPr>
        <w:ind w:left="1134" w:firstLine="0"/>
        <w:rPr>
          <w:lang w:val="fr-FR"/>
        </w:rPr>
      </w:pPr>
      <w:r w:rsidRPr="003A5A62">
        <w:rPr>
          <w:lang w:val="fr-FR"/>
        </w:rPr>
        <w:t>Le projet de document a été examiné par les experts intéressés à la réunion informelle tenue les 25 et 26</w:t>
      </w:r>
      <w:r>
        <w:rPr>
          <w:lang w:val="fr-FR"/>
        </w:rPr>
        <w:t> </w:t>
      </w:r>
      <w:r w:rsidRPr="003A5A62">
        <w:rPr>
          <w:lang w:val="fr-FR"/>
        </w:rPr>
        <w:t>juin 2015 au Palais des Nations, à Genève, en marge de la 166</w:t>
      </w:r>
      <w:r w:rsidRPr="00264BE0">
        <w:rPr>
          <w:vertAlign w:val="superscript"/>
          <w:lang w:val="fr-FR"/>
        </w:rPr>
        <w:t>e</w:t>
      </w:r>
      <w:r>
        <w:rPr>
          <w:lang w:val="fr-FR"/>
        </w:rPr>
        <w:t> </w:t>
      </w:r>
      <w:r w:rsidRPr="003A5A62">
        <w:rPr>
          <w:lang w:val="fr-FR"/>
        </w:rPr>
        <w:t>session du WP.29</w:t>
      </w:r>
      <w:r w:rsidRPr="005B3905">
        <w:rPr>
          <w:lang w:val="fr-FR"/>
        </w:rPr>
        <w:t xml:space="preserve">. </w:t>
      </w:r>
      <w:r w:rsidRPr="003A5A62">
        <w:rPr>
          <w:lang w:val="fr-FR"/>
        </w:rPr>
        <w:t xml:space="preserve">Ont participé à cette réunion les représentants de Parties contractantes à l’Accord de 1998 </w:t>
      </w:r>
      <w:r w:rsidR="00193F43">
        <w:rPr>
          <w:lang w:val="fr-FR"/>
        </w:rPr>
        <w:t>(</w:t>
      </w:r>
      <w:r w:rsidRPr="003A5A62">
        <w:rPr>
          <w:lang w:val="fr-FR"/>
        </w:rPr>
        <w:t>Canada, Égypte, Espagne, États-Unis d’Amérique, Fédération de Russie, Hongrie, Portugal</w:t>
      </w:r>
      <w:r>
        <w:rPr>
          <w:lang w:val="fr-FR"/>
        </w:rPr>
        <w:t>,</w:t>
      </w:r>
      <w:r w:rsidRPr="003A5A62">
        <w:rPr>
          <w:lang w:val="fr-FR"/>
        </w:rPr>
        <w:t xml:space="preserve"> Royaume-Uni </w:t>
      </w:r>
      <w:r>
        <w:rPr>
          <w:lang w:val="fr-FR"/>
        </w:rPr>
        <w:t xml:space="preserve">et </w:t>
      </w:r>
      <w:r w:rsidRPr="003A5A62">
        <w:rPr>
          <w:lang w:val="fr-FR"/>
        </w:rPr>
        <w:t>Commission européenne</w:t>
      </w:r>
      <w:r w:rsidR="00193F43">
        <w:rPr>
          <w:lang w:val="fr-FR"/>
        </w:rPr>
        <w:t>),</w:t>
      </w:r>
      <w:r w:rsidRPr="003A5A62">
        <w:rPr>
          <w:lang w:val="fr-FR"/>
        </w:rPr>
        <w:t xml:space="preserve"> les représentants </w:t>
      </w:r>
      <w:r w:rsidR="00193F43">
        <w:rPr>
          <w:lang w:val="fr-FR"/>
        </w:rPr>
        <w:t>du secteur des pneumatiques (</w:t>
      </w:r>
      <w:r w:rsidRPr="003A5A62">
        <w:rPr>
          <w:lang w:val="fr-FR"/>
        </w:rPr>
        <w:t>Organisation technique européenne du pneumatique et de la jante (ETRTO), Japan Auto Parts Industries Association (JAPIA), Indian Tyre Technical Advisory Committee (ITTAC) et Rubber Manufacturers Association (RMA)</w:t>
      </w:r>
      <w:r w:rsidR="00193F43">
        <w:rPr>
          <w:lang w:val="fr-FR"/>
        </w:rPr>
        <w:t>)</w:t>
      </w:r>
      <w:r w:rsidRPr="003A5A62">
        <w:rPr>
          <w:lang w:val="fr-FR"/>
        </w:rPr>
        <w:t xml:space="preserve"> et le représentant du secrétariat de la CEE</w:t>
      </w:r>
      <w:r>
        <w:rPr>
          <w:lang w:val="fr-FR"/>
        </w:rPr>
        <w:t>.</w:t>
      </w:r>
    </w:p>
    <w:p w:rsidR="00595CF5" w:rsidRPr="005B3905" w:rsidRDefault="00595CF5" w:rsidP="00923EA7">
      <w:pPr>
        <w:pStyle w:val="SingleTxtG"/>
        <w:numPr>
          <w:ilvl w:val="0"/>
          <w:numId w:val="22"/>
        </w:numPr>
        <w:ind w:left="1134" w:firstLine="0"/>
        <w:rPr>
          <w:lang w:val="fr-FR"/>
        </w:rPr>
      </w:pPr>
      <w:r w:rsidRPr="003A5A62">
        <w:rPr>
          <w:lang w:val="fr-FR"/>
        </w:rPr>
        <w:t>Le projet de texte révisé a été établi en fonction des résultats de la réunion et débattu lors de la réunion informelle des experts intéressés</w:t>
      </w:r>
      <w:r>
        <w:rPr>
          <w:lang w:val="fr-FR"/>
        </w:rPr>
        <w:t xml:space="preserve"> du</w:t>
      </w:r>
      <w:r w:rsidRPr="003A5A62">
        <w:rPr>
          <w:lang w:val="fr-FR"/>
        </w:rPr>
        <w:t xml:space="preserve"> 14</w:t>
      </w:r>
      <w:r>
        <w:rPr>
          <w:lang w:val="fr-FR"/>
        </w:rPr>
        <w:t> </w:t>
      </w:r>
      <w:r w:rsidRPr="003A5A62">
        <w:rPr>
          <w:lang w:val="fr-FR"/>
        </w:rPr>
        <w:t>septembre 2015, avant la quatre-vingtième session du GRRF, dans l’objectif de clarifier les questions encore en suspens</w:t>
      </w:r>
      <w:r>
        <w:rPr>
          <w:lang w:val="fr-FR"/>
        </w:rPr>
        <w:t>.</w:t>
      </w:r>
    </w:p>
    <w:p w:rsidR="00595CF5" w:rsidRPr="005B3905" w:rsidRDefault="00595CF5" w:rsidP="00923EA7">
      <w:pPr>
        <w:pStyle w:val="SingleTxtG"/>
        <w:numPr>
          <w:ilvl w:val="0"/>
          <w:numId w:val="22"/>
        </w:numPr>
        <w:ind w:left="1134" w:firstLine="0"/>
        <w:rPr>
          <w:lang w:val="fr-FR"/>
        </w:rPr>
      </w:pPr>
      <w:r w:rsidRPr="003A5A62">
        <w:rPr>
          <w:lang w:val="fr-FR"/>
        </w:rPr>
        <w:t xml:space="preserve">Le projet d’amendement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3A5A62">
        <w:rPr>
          <w:lang w:val="fr-FR"/>
        </w:rPr>
        <w:t>16</w:t>
      </w:r>
      <w:r>
        <w:rPr>
          <w:lang w:val="fr-FR"/>
        </w:rPr>
        <w:t>,</w:t>
      </w:r>
      <w:r w:rsidRPr="003A5A62">
        <w:rPr>
          <w:lang w:val="fr-FR"/>
        </w:rPr>
        <w:t xml:space="preserve"> a</w:t>
      </w:r>
      <w:r w:rsidR="00193F43">
        <w:rPr>
          <w:lang w:val="fr-FR"/>
        </w:rPr>
        <w:t>dap</w:t>
      </w:r>
      <w:r w:rsidRPr="003A5A62">
        <w:rPr>
          <w:lang w:val="fr-FR"/>
        </w:rPr>
        <w:t>té en fonction des résultats de la réunion</w:t>
      </w:r>
      <w:r>
        <w:rPr>
          <w:lang w:val="fr-FR"/>
        </w:rPr>
        <w:t>,</w:t>
      </w:r>
      <w:r w:rsidRPr="003A5A62">
        <w:rPr>
          <w:lang w:val="fr-FR"/>
        </w:rPr>
        <w:t xml:space="preserve"> ainsi que les points au sujet desquels des orientations étaient demandées au GRRF</w:t>
      </w:r>
      <w:r>
        <w:rPr>
          <w:lang w:val="fr-FR"/>
        </w:rPr>
        <w:t>,</w:t>
      </w:r>
      <w:r w:rsidRPr="003A5A62">
        <w:rPr>
          <w:lang w:val="fr-FR"/>
        </w:rPr>
        <w:t xml:space="preserve"> ont été soumis à la quatre-vingtième session du GRRF</w:t>
      </w:r>
      <w:r>
        <w:rPr>
          <w:lang w:val="fr-FR"/>
        </w:rPr>
        <w:t>.</w:t>
      </w:r>
    </w:p>
    <w:p w:rsidR="00595CF5" w:rsidRPr="005B3905" w:rsidRDefault="00595CF5" w:rsidP="00923EA7">
      <w:pPr>
        <w:pStyle w:val="SingleTxtG"/>
        <w:numPr>
          <w:ilvl w:val="0"/>
          <w:numId w:val="22"/>
        </w:numPr>
        <w:ind w:left="1134" w:firstLine="0"/>
        <w:rPr>
          <w:lang w:val="fr-FR"/>
        </w:rPr>
      </w:pPr>
      <w:r w:rsidRPr="00A33615">
        <w:rPr>
          <w:lang w:val="fr-FR"/>
        </w:rPr>
        <w:t>À sa quatre-vingtième session, le GRRF a approuvé le travail accompli par les experts de l’ETRTO et de la Fédération de Russie avec l’aide d’autres experts intéressés</w:t>
      </w:r>
      <w:r w:rsidRPr="005B3905">
        <w:rPr>
          <w:lang w:val="fr-FR"/>
        </w:rPr>
        <w:t xml:space="preserve">. </w:t>
      </w:r>
      <w:r w:rsidRPr="00A33615">
        <w:rPr>
          <w:lang w:val="fr-FR"/>
        </w:rPr>
        <w:t xml:space="preserve">Afin de mettre la dernière main en temps utile au texte du projet d’amendement 1, le </w:t>
      </w:r>
      <w:r w:rsidR="00B8291F">
        <w:rPr>
          <w:lang w:val="fr-FR"/>
        </w:rPr>
        <w:t>P</w:t>
      </w:r>
      <w:r w:rsidRPr="00A33615">
        <w:rPr>
          <w:lang w:val="fr-FR"/>
        </w:rPr>
        <w:t>résident du GRRF a invité tous les experts du GRRF à soumettre à l’ETRTO, au plus tard le 2</w:t>
      </w:r>
      <w:r>
        <w:rPr>
          <w:lang w:val="fr-FR"/>
        </w:rPr>
        <w:t> </w:t>
      </w:r>
      <w:r w:rsidRPr="00A33615">
        <w:rPr>
          <w:lang w:val="fr-FR"/>
        </w:rPr>
        <w:t xml:space="preserve">octobre 2015, leurs observations sur les documents qui leur avaient été soumis afin que ces observations soient débattues à la </w:t>
      </w:r>
      <w:r>
        <w:rPr>
          <w:lang w:val="fr-FR"/>
        </w:rPr>
        <w:t>W</w:t>
      </w:r>
      <w:r w:rsidRPr="00A33615">
        <w:rPr>
          <w:lang w:val="fr-FR"/>
        </w:rPr>
        <w:t>ebconférence prévue à la mi-octobre</w:t>
      </w:r>
      <w:r w:rsidRPr="005B3905">
        <w:rPr>
          <w:lang w:val="fr-FR"/>
        </w:rPr>
        <w:t>.</w:t>
      </w:r>
    </w:p>
    <w:p w:rsidR="00595CF5" w:rsidRPr="005B3905" w:rsidRDefault="00595CF5" w:rsidP="00923EA7">
      <w:pPr>
        <w:pStyle w:val="SingleTxtG"/>
        <w:numPr>
          <w:ilvl w:val="0"/>
          <w:numId w:val="22"/>
        </w:numPr>
        <w:ind w:left="1134" w:firstLine="0"/>
        <w:rPr>
          <w:lang w:val="fr-FR"/>
        </w:rPr>
      </w:pPr>
      <w:r w:rsidRPr="00A33615">
        <w:rPr>
          <w:lang w:val="fr-FR"/>
        </w:rPr>
        <w:t xml:space="preserve">Lors de la </w:t>
      </w:r>
      <w:r>
        <w:rPr>
          <w:lang w:val="fr-FR"/>
        </w:rPr>
        <w:t>W</w:t>
      </w:r>
      <w:r w:rsidRPr="00A33615">
        <w:rPr>
          <w:lang w:val="fr-FR"/>
        </w:rPr>
        <w:t>ebconférence, qui a eu lieu le 16</w:t>
      </w:r>
      <w:r>
        <w:rPr>
          <w:lang w:val="fr-FR"/>
        </w:rPr>
        <w:t> </w:t>
      </w:r>
      <w:r w:rsidRPr="00A33615">
        <w:rPr>
          <w:lang w:val="fr-FR"/>
        </w:rPr>
        <w:t>octobre 2015, les experts intéressés ont examiné les documents de travail dans lesquels figuraient la proposition d’amendement ainsi que les commentaires des experts du GRRF et d’autres reçus après la quatre-vingtième session du GRRF</w:t>
      </w:r>
      <w:r w:rsidRPr="005B3905">
        <w:rPr>
          <w:lang w:val="fr-FR"/>
        </w:rPr>
        <w:t>.</w:t>
      </w:r>
    </w:p>
    <w:p w:rsidR="00595CF5" w:rsidRPr="005B3905" w:rsidRDefault="00595CF5" w:rsidP="00923EA7">
      <w:pPr>
        <w:pStyle w:val="SingleTxtG"/>
        <w:numPr>
          <w:ilvl w:val="0"/>
          <w:numId w:val="22"/>
        </w:numPr>
        <w:ind w:left="1134" w:firstLine="0"/>
        <w:rPr>
          <w:lang w:val="fr-FR"/>
        </w:rPr>
      </w:pPr>
      <w:r w:rsidRPr="00A33615">
        <w:rPr>
          <w:lang w:val="fr-FR"/>
        </w:rPr>
        <w:t xml:space="preserve">Les résultats du débat tenu lors de la </w:t>
      </w:r>
      <w:r>
        <w:rPr>
          <w:lang w:val="fr-FR"/>
        </w:rPr>
        <w:t>W</w:t>
      </w:r>
      <w:r w:rsidRPr="00A33615">
        <w:rPr>
          <w:lang w:val="fr-FR"/>
        </w:rPr>
        <w:t xml:space="preserve">ebconférence ont été pris en compte dans les documents de travail relatifs à l’amendement 1 au RTM </w:t>
      </w:r>
      <w:r w:rsidRPr="00A709B7">
        <w:rPr>
          <w:rFonts w:eastAsia="MS Mincho"/>
          <w:szCs w:val="22"/>
          <w:lang w:val="fr-FR"/>
        </w:rPr>
        <w:t>n</w:t>
      </w:r>
      <w:r w:rsidRPr="00A709B7">
        <w:rPr>
          <w:rFonts w:eastAsia="MS Mincho"/>
          <w:szCs w:val="22"/>
          <w:vertAlign w:val="superscript"/>
          <w:lang w:val="fr-FR"/>
        </w:rPr>
        <w:t>o</w:t>
      </w:r>
      <w:r>
        <w:rPr>
          <w:lang w:val="fr-FR"/>
        </w:rPr>
        <w:t> </w:t>
      </w:r>
      <w:r w:rsidRPr="00A33615">
        <w:rPr>
          <w:lang w:val="fr-FR"/>
        </w:rPr>
        <w:t xml:space="preserve">16 et dans le rapport final sur la phase 1b de l’élaboration dudit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rPr>
        <w:t>16, auquel l’ETRTO avait par ailleurs mis la dernière main et qu’elle avait soumis pour examen et adoption éventuelle à la quatre-vingt-unième session du GRRF</w:t>
      </w:r>
      <w:r w:rsidRPr="005B3905">
        <w:rPr>
          <w:lang w:val="fr-FR"/>
        </w:rPr>
        <w:t>.</w:t>
      </w:r>
    </w:p>
    <w:p w:rsidR="00595CF5" w:rsidRPr="005B3905" w:rsidRDefault="00595CF5" w:rsidP="00923EA7">
      <w:pPr>
        <w:pStyle w:val="SingleTxtG"/>
        <w:numPr>
          <w:ilvl w:val="0"/>
          <w:numId w:val="22"/>
        </w:numPr>
        <w:ind w:left="1134" w:firstLine="0"/>
        <w:rPr>
          <w:lang w:val="fr-FR"/>
        </w:rPr>
      </w:pPr>
      <w:r w:rsidRPr="00A33615">
        <w:rPr>
          <w:lang w:val="fr-FR"/>
        </w:rPr>
        <w:t xml:space="preserve">À sa quatre-vingt-unième session, le GRRF a adopté les documents de travail relatifs à l’amendement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rPr>
        <w:t xml:space="preserve">16 et le rapport final sur la phase 1b de l’élaboration dudit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rPr>
        <w:t>16, sous réserve de leur examen par le WP.29 et l’AC.3 à leurs sessions de mars</w:t>
      </w:r>
      <w:r w:rsidR="003D0717">
        <w:rPr>
          <w:lang w:val="fr-FR"/>
        </w:rPr>
        <w:t> </w:t>
      </w:r>
      <w:r w:rsidRPr="00A33615">
        <w:rPr>
          <w:lang w:val="fr-FR"/>
        </w:rPr>
        <w:t>2016</w:t>
      </w:r>
      <w:r w:rsidRPr="005B3905">
        <w:rPr>
          <w:lang w:val="fr-FR"/>
        </w:rPr>
        <w:t>.</w:t>
      </w:r>
    </w:p>
    <w:p w:rsidR="00595CF5" w:rsidRPr="005B3905" w:rsidRDefault="00595CF5" w:rsidP="00193F43">
      <w:pPr>
        <w:pStyle w:val="H1G"/>
        <w:rPr>
          <w:lang w:val="fr-FR"/>
        </w:rPr>
      </w:pPr>
      <w:r w:rsidRPr="005B3905">
        <w:rPr>
          <w:lang w:val="fr-FR"/>
        </w:rPr>
        <w:tab/>
        <w:t>C.</w:t>
      </w:r>
      <w:r w:rsidRPr="005B3905">
        <w:rPr>
          <w:lang w:val="fr-FR"/>
        </w:rPr>
        <w:tab/>
      </w:r>
      <w:r w:rsidRPr="00A33615">
        <w:rPr>
          <w:lang w:val="fr-FR"/>
        </w:rPr>
        <w:t>Élaboration du RTM</w:t>
      </w:r>
    </w:p>
    <w:p w:rsidR="00595CF5" w:rsidRPr="005B3905" w:rsidRDefault="00595CF5" w:rsidP="00923EA7">
      <w:pPr>
        <w:pStyle w:val="SingleTxtG"/>
        <w:numPr>
          <w:ilvl w:val="0"/>
          <w:numId w:val="22"/>
        </w:numPr>
        <w:ind w:left="1134" w:firstLine="0"/>
        <w:rPr>
          <w:lang w:val="fr-FR" w:eastAsia="ko-KR"/>
        </w:rPr>
      </w:pPr>
      <w:r>
        <w:rPr>
          <w:lang w:val="fr-FR" w:eastAsia="ko-KR"/>
        </w:rPr>
        <w:t>La</w:t>
      </w:r>
      <w:r w:rsidRPr="00A33615">
        <w:rPr>
          <w:lang w:val="fr-FR" w:eastAsia="ko-KR"/>
        </w:rPr>
        <w:t xml:space="preserve"> proposition </w:t>
      </w:r>
      <w:r>
        <w:rPr>
          <w:lang w:val="fr-FR" w:eastAsia="ko-KR"/>
        </w:rPr>
        <w:t xml:space="preserve">ci-après </w:t>
      </w:r>
      <w:r w:rsidRPr="00A33615">
        <w:rPr>
          <w:lang w:val="fr-FR" w:eastAsia="ko-KR"/>
        </w:rPr>
        <w:t>a pour objectif d’élaborer, dans le cadre de l’Accord de</w:t>
      </w:r>
      <w:r w:rsidR="00B8291F">
        <w:rPr>
          <w:lang w:val="fr-FR" w:eastAsia="ko-KR"/>
        </w:rPr>
        <w:t> </w:t>
      </w:r>
      <w:r w:rsidRPr="00A33615">
        <w:rPr>
          <w:lang w:val="fr-FR" w:eastAsia="ko-KR"/>
        </w:rPr>
        <w:t xml:space="preserve">1998, un amendement 1 au RTM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A33615">
        <w:rPr>
          <w:lang w:val="fr-FR" w:eastAsia="ko-KR"/>
        </w:rPr>
        <w:t xml:space="preserve">16 relatif aux pneumatiques visant à adapter ledit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eastAsia="ko-KR"/>
        </w:rPr>
        <w:t>16 au</w:t>
      </w:r>
      <w:r>
        <w:rPr>
          <w:lang w:val="fr-FR" w:eastAsia="ko-KR"/>
        </w:rPr>
        <w:t>x</w:t>
      </w:r>
      <w:r w:rsidRPr="00A33615">
        <w:rPr>
          <w:lang w:val="fr-FR" w:eastAsia="ko-KR"/>
        </w:rPr>
        <w:t xml:space="preserve"> progrès technique</w:t>
      </w:r>
      <w:r>
        <w:rPr>
          <w:lang w:val="fr-FR" w:eastAsia="ko-KR"/>
        </w:rPr>
        <w:t>s</w:t>
      </w:r>
      <w:r w:rsidRPr="00A33615">
        <w:rPr>
          <w:lang w:val="fr-FR" w:eastAsia="ko-KR"/>
        </w:rPr>
        <w:t xml:space="preserve"> en y intégrant les dispositions relatives à l’adhérence sur sol mouillé, à la résistance au roulement et à la qualification pour une utilisation sur routes très fortement enneigées des pneumatiques tant des voitures particulières que des véhicules utilitaires légers, récemment adoptées et intégrées dans le Règlement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eastAsia="ko-KR"/>
        </w:rPr>
        <w:t>117</w:t>
      </w:r>
      <w:r w:rsidRPr="005B3905">
        <w:rPr>
          <w:lang w:val="fr-FR" w:eastAsia="ko-KR"/>
        </w:rPr>
        <w:t xml:space="preserve">. </w:t>
      </w:r>
      <w:r w:rsidRPr="00A33615">
        <w:rPr>
          <w:lang w:val="fr-FR"/>
        </w:rPr>
        <w:t xml:space="preserve">Les changements approuvés et intégrés dans les Normes fédérales en matière de sécurité des véhicules automobiles (FMVSS, États-Unis) pertinentes et dans les </w:t>
      </w:r>
      <w:r>
        <w:rPr>
          <w:lang w:val="fr-FR"/>
        </w:rPr>
        <w:t>R</w:t>
      </w:r>
      <w:r w:rsidRPr="00A33615">
        <w:rPr>
          <w:lang w:val="fr-FR"/>
        </w:rPr>
        <w:t>èglements n</w:t>
      </w:r>
      <w:r w:rsidRPr="00CC59AC">
        <w:rPr>
          <w:vertAlign w:val="superscript"/>
          <w:lang w:val="fr-FR"/>
        </w:rPr>
        <w:t>os</w:t>
      </w:r>
      <w:r>
        <w:rPr>
          <w:lang w:val="fr-FR"/>
        </w:rPr>
        <w:t> </w:t>
      </w:r>
      <w:r w:rsidRPr="00A33615">
        <w:rPr>
          <w:lang w:val="fr-FR"/>
        </w:rPr>
        <w:t>30 et 54 y ont également été intégrés</w:t>
      </w:r>
      <w:r w:rsidRPr="005B3905">
        <w:rPr>
          <w:lang w:val="fr-FR" w:eastAsia="ko-KR"/>
        </w:rPr>
        <w:t>.</w:t>
      </w:r>
    </w:p>
    <w:p w:rsidR="00595CF5" w:rsidRPr="005B3905" w:rsidRDefault="00595CF5" w:rsidP="00923EA7">
      <w:pPr>
        <w:pStyle w:val="SingleTxtG"/>
        <w:numPr>
          <w:ilvl w:val="0"/>
          <w:numId w:val="22"/>
        </w:numPr>
        <w:ind w:left="1134" w:firstLine="0"/>
        <w:rPr>
          <w:lang w:val="fr-FR" w:eastAsia="ko-KR"/>
        </w:rPr>
      </w:pPr>
      <w:r w:rsidRPr="00CC59AC">
        <w:rPr>
          <w:lang w:val="fr-FR" w:eastAsia="ko-KR"/>
        </w:rPr>
        <w:t xml:space="preserve">L’amendement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CC59AC">
        <w:rPr>
          <w:lang w:val="fr-FR" w:eastAsia="ko-KR"/>
        </w:rPr>
        <w:t>16 comprend</w:t>
      </w:r>
      <w:r>
        <w:rPr>
          <w:lang w:val="fr-FR" w:eastAsia="ko-KR"/>
        </w:rPr>
        <w:t> </w:t>
      </w:r>
      <w:r w:rsidRPr="005B3905">
        <w:rPr>
          <w:lang w:val="fr-FR" w:eastAsia="ko-KR"/>
        </w:rPr>
        <w:t>:</w:t>
      </w:r>
    </w:p>
    <w:p w:rsidR="00595CF5" w:rsidRPr="005B3905" w:rsidRDefault="00595CF5" w:rsidP="00595CF5">
      <w:pPr>
        <w:pStyle w:val="SingleTxtG"/>
        <w:ind w:left="2268" w:hanging="567"/>
        <w:rPr>
          <w:lang w:val="fr-FR" w:eastAsia="ko-KR"/>
        </w:rPr>
      </w:pPr>
      <w:r w:rsidRPr="005B3905">
        <w:rPr>
          <w:lang w:val="fr-FR"/>
        </w:rPr>
        <w:t>a)</w:t>
      </w:r>
      <w:r w:rsidRPr="005B3905">
        <w:rPr>
          <w:lang w:val="fr-FR"/>
        </w:rPr>
        <w:tab/>
      </w:r>
      <w:r w:rsidR="00FA6E2B">
        <w:rPr>
          <w:spacing w:val="-4"/>
          <w:lang w:val="fr-FR" w:eastAsia="ko-KR"/>
        </w:rPr>
        <w:t>L’ajout dans</w:t>
      </w:r>
      <w:r w:rsidRPr="00CC59AC">
        <w:rPr>
          <w:spacing w:val="-4"/>
          <w:lang w:val="fr-FR" w:eastAsia="ko-KR"/>
        </w:rPr>
        <w:t xml:space="preserve"> la première Partie des nouveaux paragraphes 4</w:t>
      </w:r>
      <w:r>
        <w:rPr>
          <w:spacing w:val="-4"/>
          <w:lang w:val="fr-FR" w:eastAsia="ko-KR"/>
        </w:rPr>
        <w:t> </w:t>
      </w:r>
      <w:r w:rsidRPr="00264BE0">
        <w:rPr>
          <w:i/>
          <w:spacing w:val="-4"/>
          <w:lang w:val="fr-FR" w:eastAsia="ko-KR"/>
        </w:rPr>
        <w:t>bis</w:t>
      </w:r>
      <w:r w:rsidRPr="00CC59AC">
        <w:rPr>
          <w:spacing w:val="-4"/>
          <w:lang w:val="fr-FR" w:eastAsia="ko-KR"/>
        </w:rPr>
        <w:t>, 23</w:t>
      </w:r>
      <w:r>
        <w:rPr>
          <w:spacing w:val="-4"/>
          <w:lang w:val="fr-FR" w:eastAsia="ko-KR"/>
        </w:rPr>
        <w:t> </w:t>
      </w:r>
      <w:r w:rsidRPr="00264BE0">
        <w:rPr>
          <w:i/>
          <w:spacing w:val="-4"/>
          <w:lang w:val="fr-FR" w:eastAsia="ko-KR"/>
        </w:rPr>
        <w:t>bis</w:t>
      </w:r>
      <w:r w:rsidRPr="00CC59AC">
        <w:rPr>
          <w:spacing w:val="-4"/>
          <w:lang w:val="fr-FR" w:eastAsia="ko-KR"/>
        </w:rPr>
        <w:t>, 28</w:t>
      </w:r>
      <w:r>
        <w:rPr>
          <w:spacing w:val="-4"/>
          <w:lang w:val="fr-FR" w:eastAsia="ko-KR"/>
        </w:rPr>
        <w:t> </w:t>
      </w:r>
      <w:r w:rsidRPr="00264BE0">
        <w:rPr>
          <w:i/>
          <w:spacing w:val="-4"/>
          <w:lang w:val="fr-FR" w:eastAsia="ko-KR"/>
        </w:rPr>
        <w:t>bis</w:t>
      </w:r>
      <w:r w:rsidRPr="00CC59AC">
        <w:rPr>
          <w:spacing w:val="-4"/>
          <w:lang w:val="fr-FR" w:eastAsia="ko-KR"/>
        </w:rPr>
        <w:t xml:space="preserve"> et 28</w:t>
      </w:r>
      <w:r>
        <w:rPr>
          <w:spacing w:val="-4"/>
          <w:lang w:val="fr-FR" w:eastAsia="ko-KR"/>
        </w:rPr>
        <w:t> </w:t>
      </w:r>
      <w:r w:rsidRPr="00264BE0">
        <w:rPr>
          <w:i/>
          <w:spacing w:val="-4"/>
          <w:lang w:val="fr-FR" w:eastAsia="ko-KR"/>
        </w:rPr>
        <w:t>ter</w:t>
      </w:r>
      <w:r>
        <w:rPr>
          <w:i/>
          <w:spacing w:val="-4"/>
          <w:lang w:val="fr-FR" w:eastAsia="ko-KR"/>
        </w:rPr>
        <w:t> </w:t>
      </w:r>
      <w:r w:rsidRPr="005B3905">
        <w:rPr>
          <w:spacing w:val="-4"/>
          <w:lang w:val="fr-FR" w:eastAsia="ko-KR"/>
        </w:rPr>
        <w:t>;</w:t>
      </w:r>
    </w:p>
    <w:p w:rsidR="00595CF5" w:rsidRPr="005B3905" w:rsidRDefault="00595CF5" w:rsidP="00B8291F">
      <w:pPr>
        <w:pStyle w:val="SingleTxtG"/>
        <w:keepNext/>
        <w:ind w:left="2268" w:hanging="567"/>
        <w:rPr>
          <w:lang w:val="fr-FR" w:eastAsia="ko-KR"/>
        </w:rPr>
      </w:pPr>
      <w:r w:rsidRPr="005B3905">
        <w:rPr>
          <w:lang w:val="fr-FR"/>
        </w:rPr>
        <w:t>b)</w:t>
      </w:r>
      <w:r w:rsidRPr="005B3905">
        <w:rPr>
          <w:lang w:val="fr-FR"/>
        </w:rPr>
        <w:tab/>
      </w:r>
      <w:r w:rsidRPr="00CC59AC">
        <w:rPr>
          <w:lang w:val="fr-FR" w:eastAsia="ko-KR"/>
        </w:rPr>
        <w:t>Des modifications de la deuxième Partie, comme suit</w:t>
      </w:r>
      <w:r>
        <w:rPr>
          <w:lang w:val="fr-FR" w:eastAsia="ko-KR"/>
        </w:rPr>
        <w:t> </w:t>
      </w:r>
      <w:r w:rsidRPr="005B3905">
        <w:rPr>
          <w:lang w:val="fr-FR" w:eastAsia="ko-KR"/>
        </w:rPr>
        <w:t>:</w:t>
      </w:r>
    </w:p>
    <w:p w:rsidR="00595CF5" w:rsidRPr="005B3905" w:rsidRDefault="00595CF5" w:rsidP="00FA6E2B">
      <w:pPr>
        <w:pStyle w:val="SingleTxtG"/>
        <w:keepNext/>
        <w:ind w:left="2268" w:hanging="567"/>
        <w:rPr>
          <w:lang w:val="fr-FR" w:eastAsia="ko-KR"/>
        </w:rPr>
      </w:pPr>
      <w:r w:rsidRPr="005B3905">
        <w:rPr>
          <w:lang w:val="fr-FR" w:eastAsia="ko-KR"/>
        </w:rPr>
        <w:t>i</w:t>
      </w:r>
      <w:r w:rsidRPr="005B3905">
        <w:rPr>
          <w:lang w:val="fr-FR"/>
        </w:rPr>
        <w:t>)</w:t>
      </w:r>
      <w:r w:rsidRPr="005B3905">
        <w:rPr>
          <w:lang w:val="fr-FR"/>
        </w:rPr>
        <w:tab/>
      </w:r>
      <w:r w:rsidRPr="00CC59AC">
        <w:rPr>
          <w:lang w:val="fr-FR" w:eastAsia="ko-KR"/>
        </w:rPr>
        <w:t>Ajout de nouvelles définitions (sect.</w:t>
      </w:r>
      <w:r>
        <w:rPr>
          <w:lang w:val="fr-FR" w:eastAsia="ko-KR"/>
        </w:rPr>
        <w:t> </w:t>
      </w:r>
      <w:r w:rsidRPr="00CC59AC">
        <w:rPr>
          <w:lang w:val="fr-FR" w:eastAsia="ko-KR"/>
        </w:rPr>
        <w:t>2</w:t>
      </w:r>
      <w:r w:rsidRPr="005B3905">
        <w:rPr>
          <w:lang w:val="fr-FR" w:eastAsia="ko-KR"/>
        </w:rPr>
        <w:t>)</w:t>
      </w:r>
      <w:r>
        <w:rPr>
          <w:lang w:val="fr-FR" w:eastAsia="ko-KR"/>
        </w:rPr>
        <w:t> </w:t>
      </w:r>
      <w:r w:rsidRPr="005B3905">
        <w:rPr>
          <w:lang w:val="fr-FR" w:eastAsia="ko-KR"/>
        </w:rPr>
        <w:t>:</w:t>
      </w:r>
    </w:p>
    <w:p w:rsidR="00595CF5" w:rsidRPr="005B3905" w:rsidRDefault="00595CF5" w:rsidP="00FA6E2B">
      <w:pPr>
        <w:pStyle w:val="SingleTxtG"/>
        <w:keepNext/>
        <w:ind w:left="2268"/>
        <w:rPr>
          <w:b/>
          <w:lang w:val="fr-FR"/>
        </w:rPr>
      </w:pPr>
      <w:r w:rsidRPr="00CC59AC">
        <w:rPr>
          <w:b/>
          <w:lang w:val="fr-FR"/>
        </w:rPr>
        <w:t xml:space="preserve">Règlement </w:t>
      </w:r>
      <w:r w:rsidRPr="00264BE0">
        <w:rPr>
          <w:rFonts w:eastAsia="MS Mincho"/>
          <w:b/>
          <w:szCs w:val="22"/>
          <w:lang w:val="fr-FR" w:eastAsia="ko-KR"/>
        </w:rPr>
        <w:t>n</w:t>
      </w:r>
      <w:r w:rsidRPr="00264BE0">
        <w:rPr>
          <w:rFonts w:eastAsia="MS Mincho"/>
          <w:b/>
          <w:szCs w:val="22"/>
          <w:vertAlign w:val="superscript"/>
          <w:lang w:val="fr-FR" w:eastAsia="ko-KR"/>
        </w:rPr>
        <w:t>o</w:t>
      </w:r>
      <w:r w:rsidRPr="00264BE0">
        <w:rPr>
          <w:b/>
          <w:lang w:val="fr-FR" w:eastAsia="ko-KR"/>
        </w:rPr>
        <w:t> </w:t>
      </w:r>
      <w:r w:rsidRPr="00CC59AC">
        <w:rPr>
          <w:b/>
          <w:lang w:val="fr-FR"/>
        </w:rPr>
        <w:t>117</w:t>
      </w:r>
    </w:p>
    <w:p w:rsidR="00595CF5" w:rsidRPr="005B3905" w:rsidRDefault="00595CF5" w:rsidP="00FA6E2B">
      <w:pPr>
        <w:pStyle w:val="SingleTxtG"/>
        <w:ind w:left="2268"/>
        <w:rPr>
          <w:lang w:val="fr-FR"/>
        </w:rPr>
      </w:pPr>
      <w:r w:rsidRPr="00B8291F">
        <w:rPr>
          <w:spacing w:val="-2"/>
          <w:lang w:val="fr-FR"/>
        </w:rPr>
        <w:t xml:space="preserve">Complément 1 à la série 02 </w:t>
      </w:r>
      <w:r w:rsidRPr="00CC5F2E">
        <w:rPr>
          <w:lang w:val="fr-FR"/>
        </w:rPr>
        <w:t>d’amendements</w:t>
      </w:r>
      <w:r>
        <w:rPr>
          <w:lang w:val="fr-FR"/>
        </w:rPr>
        <w:t> </w:t>
      </w:r>
      <w:r w:rsidR="00B8291F">
        <w:rPr>
          <w:lang w:val="fr-FR"/>
        </w:rPr>
        <w:t>: document ECE/TRANS/</w:t>
      </w:r>
      <w:r w:rsidRPr="00CC59AC">
        <w:rPr>
          <w:lang w:val="fr-FR"/>
        </w:rPr>
        <w:t>WP.29/</w:t>
      </w:r>
      <w:r w:rsidR="00B8291F">
        <w:rPr>
          <w:lang w:val="fr-FR"/>
        </w:rPr>
        <w:t xml:space="preserve"> </w:t>
      </w:r>
      <w:r w:rsidRPr="00CC59AC">
        <w:rPr>
          <w:lang w:val="fr-FR"/>
        </w:rPr>
        <w:t>2012/2, tel qu’amendé par le paragraphe</w:t>
      </w:r>
      <w:r w:rsidR="00B8291F">
        <w:rPr>
          <w:lang w:val="fr-FR"/>
        </w:rPr>
        <w:t xml:space="preserve"> </w:t>
      </w:r>
      <w:r w:rsidRPr="00CC59AC">
        <w:rPr>
          <w:lang w:val="fr-FR"/>
        </w:rPr>
        <w:t>65 du rapport de la 156</w:t>
      </w:r>
      <w:r w:rsidRPr="00615036">
        <w:rPr>
          <w:vertAlign w:val="superscript"/>
          <w:lang w:val="fr-FR"/>
        </w:rPr>
        <w:t>e</w:t>
      </w:r>
      <w:r>
        <w:rPr>
          <w:lang w:val="fr-FR"/>
        </w:rPr>
        <w:t> </w:t>
      </w:r>
      <w:r w:rsidRPr="00CC59AC">
        <w:rPr>
          <w:lang w:val="fr-FR"/>
        </w:rPr>
        <w:t>session du WP.29 (ECE/TRANS/WP.29/1095</w:t>
      </w:r>
      <w:r w:rsidRPr="005B3905">
        <w:rPr>
          <w:lang w:val="fr-FR"/>
        </w:rPr>
        <w:t>)</w:t>
      </w:r>
      <w:r>
        <w:rPr>
          <w:lang w:val="fr-FR"/>
        </w:rPr>
        <w:t> </w:t>
      </w:r>
      <w:r w:rsidRPr="005B3905">
        <w:rPr>
          <w:spacing w:val="-2"/>
          <w:lang w:val="fr-FR"/>
        </w:rPr>
        <w:t>;</w:t>
      </w:r>
    </w:p>
    <w:p w:rsidR="00595CF5" w:rsidRPr="005B3905" w:rsidRDefault="00595CF5" w:rsidP="00595CF5">
      <w:pPr>
        <w:pStyle w:val="SingleTxtG"/>
        <w:ind w:left="2268"/>
        <w:rPr>
          <w:spacing w:val="-2"/>
          <w:lang w:val="fr-FR"/>
        </w:rPr>
      </w:pPr>
      <w:r w:rsidRPr="00FA6E2B">
        <w:rPr>
          <w:lang w:val="fr-FR"/>
        </w:rPr>
        <w:t>Complément</w:t>
      </w:r>
      <w:r w:rsidRPr="00CC59AC">
        <w:rPr>
          <w:spacing w:val="-2"/>
          <w:lang w:val="fr-FR"/>
        </w:rPr>
        <w:t xml:space="preserve"> 2 à la série 02 d’amendements</w:t>
      </w:r>
      <w:r>
        <w:rPr>
          <w:spacing w:val="-2"/>
          <w:lang w:val="fr-FR"/>
        </w:rPr>
        <w:t> </w:t>
      </w:r>
      <w:r w:rsidR="00B8291F">
        <w:rPr>
          <w:spacing w:val="-2"/>
          <w:lang w:val="fr-FR"/>
        </w:rPr>
        <w:t>: document ECE/TRANS/</w:t>
      </w:r>
      <w:r w:rsidRPr="00CC59AC">
        <w:rPr>
          <w:spacing w:val="-2"/>
          <w:lang w:val="fr-FR"/>
        </w:rPr>
        <w:t>WP.29/</w:t>
      </w:r>
      <w:r w:rsidR="00B8291F">
        <w:rPr>
          <w:spacing w:val="-2"/>
          <w:lang w:val="fr-FR"/>
        </w:rPr>
        <w:t xml:space="preserve"> </w:t>
      </w:r>
      <w:r w:rsidRPr="00CC59AC">
        <w:rPr>
          <w:spacing w:val="-2"/>
          <w:lang w:val="fr-FR"/>
        </w:rPr>
        <w:t>2012/54, tel qu’amendé par le paragraphe</w:t>
      </w:r>
      <w:r w:rsidR="00B8291F">
        <w:rPr>
          <w:spacing w:val="-2"/>
          <w:lang w:val="fr-FR"/>
        </w:rPr>
        <w:t xml:space="preserve"> </w:t>
      </w:r>
      <w:r w:rsidRPr="00CC59AC">
        <w:rPr>
          <w:spacing w:val="-2"/>
          <w:lang w:val="fr-FR"/>
        </w:rPr>
        <w:t>63 du rapport de la 158</w:t>
      </w:r>
      <w:r w:rsidRPr="002F1B3E">
        <w:rPr>
          <w:spacing w:val="-2"/>
          <w:vertAlign w:val="superscript"/>
          <w:lang w:val="fr-FR"/>
        </w:rPr>
        <w:t>e</w:t>
      </w:r>
      <w:r>
        <w:rPr>
          <w:spacing w:val="-2"/>
          <w:lang w:val="fr-FR"/>
        </w:rPr>
        <w:t> </w:t>
      </w:r>
      <w:r w:rsidRPr="00CC59AC">
        <w:rPr>
          <w:spacing w:val="-2"/>
          <w:lang w:val="fr-FR"/>
        </w:rPr>
        <w:t>session du WP.29 (ECE/TRANS/WP.29/1099</w:t>
      </w:r>
      <w:r w:rsidRPr="005B3905">
        <w:rPr>
          <w:lang w:val="fr-FR"/>
        </w:rPr>
        <w:t>)</w:t>
      </w:r>
      <w:r>
        <w:rPr>
          <w:lang w:val="fr-FR"/>
        </w:rPr>
        <w:t> </w:t>
      </w:r>
      <w:r w:rsidRPr="005B3905">
        <w:rPr>
          <w:spacing w:val="-2"/>
          <w:lang w:val="fr-FR"/>
        </w:rPr>
        <w:t>;</w:t>
      </w:r>
    </w:p>
    <w:p w:rsidR="00595CF5" w:rsidRPr="005B3905" w:rsidRDefault="00595CF5" w:rsidP="00595CF5">
      <w:pPr>
        <w:pStyle w:val="SingleTxtG"/>
        <w:ind w:left="2268"/>
        <w:rPr>
          <w:lang w:val="fr-FR"/>
        </w:rPr>
      </w:pPr>
      <w:r w:rsidRPr="00CC5F2E">
        <w:rPr>
          <w:spacing w:val="-2"/>
          <w:lang w:val="fr-FR"/>
        </w:rPr>
        <w:t>Complément 7 à la série 02</w:t>
      </w:r>
      <w:r w:rsidRPr="00CC59AC">
        <w:rPr>
          <w:lang w:val="fr-FR"/>
        </w:rPr>
        <w:t xml:space="preserve"> d’amendements</w:t>
      </w:r>
      <w:r>
        <w:rPr>
          <w:lang w:val="fr-FR"/>
        </w:rPr>
        <w:t> </w:t>
      </w:r>
      <w:r w:rsidR="00CC5F2E">
        <w:rPr>
          <w:lang w:val="fr-FR"/>
        </w:rPr>
        <w:t>: document ECE/TRANS/</w:t>
      </w:r>
      <w:r w:rsidRPr="00CC59AC">
        <w:rPr>
          <w:lang w:val="fr-FR"/>
        </w:rPr>
        <w:t>WP.29/</w:t>
      </w:r>
      <w:r w:rsidR="00CC5F2E">
        <w:rPr>
          <w:lang w:val="fr-FR"/>
        </w:rPr>
        <w:t xml:space="preserve"> </w:t>
      </w:r>
      <w:r w:rsidRPr="00CC59AC">
        <w:rPr>
          <w:lang w:val="fr-FR"/>
        </w:rPr>
        <w:t>2015/5, adopté à la 165</w:t>
      </w:r>
      <w:r w:rsidRPr="002F1B3E">
        <w:rPr>
          <w:vertAlign w:val="superscript"/>
          <w:lang w:val="fr-FR"/>
        </w:rPr>
        <w:t>e</w:t>
      </w:r>
      <w:r>
        <w:rPr>
          <w:lang w:val="fr-FR"/>
        </w:rPr>
        <w:t> </w:t>
      </w:r>
      <w:r w:rsidRPr="00CC59AC">
        <w:rPr>
          <w:lang w:val="fr-FR"/>
        </w:rPr>
        <w:t>session du WP.29 (ECE/TRANS/WP.29/1114</w:t>
      </w:r>
      <w:r w:rsidRPr="005B3905">
        <w:rPr>
          <w:lang w:val="fr-FR"/>
        </w:rPr>
        <w:t>)</w:t>
      </w:r>
      <w:r>
        <w:rPr>
          <w:lang w:val="fr-FR"/>
        </w:rPr>
        <w:t> </w:t>
      </w:r>
      <w:r w:rsidRPr="005B3905">
        <w:rPr>
          <w:lang w:val="fr-FR"/>
        </w:rPr>
        <w:t>;</w:t>
      </w:r>
    </w:p>
    <w:p w:rsidR="00595CF5" w:rsidRPr="005B3905" w:rsidRDefault="00595CF5" w:rsidP="00595CF5">
      <w:pPr>
        <w:pStyle w:val="SingleTxtG"/>
        <w:ind w:left="2268"/>
        <w:rPr>
          <w:b/>
          <w:lang w:val="fr-FR"/>
        </w:rPr>
      </w:pPr>
      <w:r w:rsidRPr="00CC59AC">
        <w:rPr>
          <w:b/>
          <w:lang w:val="fr-FR"/>
        </w:rPr>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C59AC">
        <w:rPr>
          <w:b/>
          <w:lang w:val="fr-FR"/>
        </w:rPr>
        <w:t>30</w:t>
      </w:r>
    </w:p>
    <w:p w:rsidR="00595CF5" w:rsidRPr="005B3905" w:rsidRDefault="00595CF5" w:rsidP="00595CF5">
      <w:pPr>
        <w:pStyle w:val="SingleTxtG"/>
        <w:ind w:left="2268"/>
        <w:rPr>
          <w:lang w:val="fr-FR"/>
        </w:rPr>
      </w:pPr>
      <w:r w:rsidRPr="00CC59AC">
        <w:rPr>
          <w:spacing w:val="-2"/>
          <w:lang w:val="fr-FR"/>
        </w:rPr>
        <w:t>Complément 17 à la série 02 d’amendements</w:t>
      </w:r>
      <w:r>
        <w:rPr>
          <w:spacing w:val="-2"/>
          <w:lang w:val="fr-FR"/>
        </w:rPr>
        <w:t> </w:t>
      </w:r>
      <w:r w:rsidRPr="00CC59AC">
        <w:rPr>
          <w:spacing w:val="-2"/>
          <w:lang w:val="fr-FR"/>
        </w:rPr>
        <w:t>: document ECE/TRANS/ WP.29/2012/48, tel qu’amendé par le paragraphe</w:t>
      </w:r>
      <w:r>
        <w:rPr>
          <w:spacing w:val="-2"/>
          <w:lang w:val="fr-FR"/>
        </w:rPr>
        <w:t> </w:t>
      </w:r>
      <w:r w:rsidRPr="00CC59AC">
        <w:rPr>
          <w:spacing w:val="-2"/>
          <w:lang w:val="fr-FR"/>
        </w:rPr>
        <w:t>50 du rapport de la 157</w:t>
      </w:r>
      <w:r w:rsidRPr="002F1B3E">
        <w:rPr>
          <w:spacing w:val="-2"/>
          <w:vertAlign w:val="superscript"/>
          <w:lang w:val="fr-FR"/>
        </w:rPr>
        <w:t>e</w:t>
      </w:r>
      <w:r>
        <w:rPr>
          <w:spacing w:val="-2"/>
          <w:lang w:val="fr-FR"/>
        </w:rPr>
        <w:t> </w:t>
      </w:r>
      <w:r w:rsidRPr="00CC59AC">
        <w:rPr>
          <w:spacing w:val="-2"/>
          <w:lang w:val="fr-FR"/>
        </w:rPr>
        <w:t>session du WP.29 (ECE/TRANS/WP.29/1097</w:t>
      </w:r>
      <w:r w:rsidRPr="005B3905">
        <w:rPr>
          <w:lang w:val="fr-FR"/>
        </w:rPr>
        <w:t>)</w:t>
      </w:r>
      <w:r>
        <w:rPr>
          <w:lang w:val="fr-FR"/>
        </w:rPr>
        <w:t> </w:t>
      </w:r>
      <w:r w:rsidRPr="005B3905">
        <w:rPr>
          <w:lang w:val="fr-FR"/>
        </w:rPr>
        <w:t>;</w:t>
      </w:r>
    </w:p>
    <w:p w:rsidR="00595CF5" w:rsidRPr="005B3905" w:rsidRDefault="00595CF5" w:rsidP="00595CF5">
      <w:pPr>
        <w:pStyle w:val="SingleTxtG"/>
        <w:ind w:left="2268"/>
        <w:rPr>
          <w:b/>
          <w:lang w:val="fr-FR"/>
        </w:rPr>
      </w:pPr>
      <w:r w:rsidRPr="00CC59AC">
        <w:rPr>
          <w:b/>
          <w:lang w:val="fr-FR"/>
        </w:rPr>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C59AC">
        <w:rPr>
          <w:b/>
          <w:lang w:val="fr-FR"/>
        </w:rPr>
        <w:t>54</w:t>
      </w:r>
    </w:p>
    <w:p w:rsidR="00595CF5" w:rsidRPr="005B3905" w:rsidRDefault="00595CF5" w:rsidP="00595CF5">
      <w:pPr>
        <w:pStyle w:val="SingleTxtG"/>
        <w:ind w:left="2268"/>
        <w:rPr>
          <w:lang w:val="fr-FR"/>
        </w:rPr>
      </w:pPr>
      <w:r w:rsidRPr="00CC59AC">
        <w:rPr>
          <w:lang w:val="fr-FR"/>
        </w:rPr>
        <w:t>Complément 18 à la version originale du Règlement</w:t>
      </w:r>
      <w:r>
        <w:rPr>
          <w:lang w:val="fr-FR"/>
        </w:rPr>
        <w:t> </w:t>
      </w:r>
      <w:r w:rsidRPr="00CC59AC">
        <w:rPr>
          <w:lang w:val="fr-FR"/>
        </w:rPr>
        <w:t>: document ECE/</w:t>
      </w:r>
      <w:r w:rsidR="00CC5F2E">
        <w:rPr>
          <w:lang w:val="fr-FR"/>
        </w:rPr>
        <w:t xml:space="preserve"> </w:t>
      </w:r>
      <w:r w:rsidRPr="00CC59AC">
        <w:rPr>
          <w:lang w:val="fr-FR"/>
        </w:rPr>
        <w:t>TRANS/WP.29/2012/49, adopté à la 157</w:t>
      </w:r>
      <w:r w:rsidRPr="00831A94">
        <w:rPr>
          <w:vertAlign w:val="superscript"/>
          <w:lang w:val="fr-FR"/>
        </w:rPr>
        <w:t>e</w:t>
      </w:r>
      <w:r>
        <w:rPr>
          <w:lang w:val="fr-FR"/>
        </w:rPr>
        <w:t> </w:t>
      </w:r>
      <w:r w:rsidRPr="00CC59AC">
        <w:rPr>
          <w:lang w:val="fr-FR"/>
        </w:rPr>
        <w:t>session du WP.29 (ECE/TRANS/</w:t>
      </w:r>
      <w:r w:rsidR="00CC5F2E">
        <w:rPr>
          <w:lang w:val="fr-FR"/>
        </w:rPr>
        <w:t xml:space="preserve"> </w:t>
      </w:r>
      <w:r w:rsidRPr="00CC59AC">
        <w:rPr>
          <w:lang w:val="fr-FR"/>
        </w:rPr>
        <w:t>WP.29/1097</w:t>
      </w:r>
      <w:r>
        <w:rPr>
          <w:lang w:val="fr-FR"/>
        </w:rPr>
        <w:t>) ;</w:t>
      </w:r>
    </w:p>
    <w:p w:rsidR="00595CF5" w:rsidRPr="005B3905" w:rsidRDefault="00595CF5" w:rsidP="00595CF5">
      <w:pPr>
        <w:pStyle w:val="SingleTxtG"/>
        <w:ind w:left="2268" w:hanging="567"/>
        <w:rPr>
          <w:lang w:val="fr-FR" w:eastAsia="ko-KR"/>
        </w:rPr>
      </w:pPr>
      <w:r w:rsidRPr="005B3905">
        <w:rPr>
          <w:lang w:val="fr-FR" w:eastAsia="ko-KR"/>
        </w:rPr>
        <w:t>ii)</w:t>
      </w:r>
      <w:r w:rsidRPr="005B3905">
        <w:rPr>
          <w:lang w:val="fr-FR" w:eastAsia="ko-KR"/>
        </w:rPr>
        <w:tab/>
      </w:r>
      <w:r w:rsidRPr="00CC59AC">
        <w:rPr>
          <w:lang w:val="fr-FR" w:eastAsia="ko-KR"/>
        </w:rPr>
        <w:t>Marquage (sect.</w:t>
      </w:r>
      <w:r>
        <w:rPr>
          <w:lang w:val="fr-FR" w:eastAsia="ko-KR"/>
        </w:rPr>
        <w:t> </w:t>
      </w:r>
      <w:r w:rsidRPr="00CC59AC">
        <w:rPr>
          <w:lang w:val="fr-FR" w:eastAsia="ko-KR"/>
        </w:rPr>
        <w:t>3.2</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CC59AC">
        <w:rPr>
          <w:b/>
          <w:lang w:val="fr-FR"/>
        </w:rPr>
        <w:t>Règle définitive normalisant le numéro d’identification du pneumatique (TIN)</w:t>
      </w:r>
    </w:p>
    <w:p w:rsidR="00595CF5" w:rsidRPr="005B3905" w:rsidRDefault="00595CF5" w:rsidP="00595CF5">
      <w:pPr>
        <w:spacing w:after="120"/>
        <w:ind w:left="2268"/>
        <w:rPr>
          <w:lang w:val="fr-FR"/>
        </w:rPr>
      </w:pPr>
      <w:r w:rsidRPr="00CC59AC">
        <w:rPr>
          <w:lang w:val="fr-FR"/>
        </w:rPr>
        <w:t xml:space="preserve">Registre fédéral, vol. 80,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CC59AC">
        <w:rPr>
          <w:lang w:val="fr-FR"/>
        </w:rPr>
        <w:t>70 (lundi 13 avril 2015, Règles et règlements</w:t>
      </w:r>
      <w:r>
        <w:rPr>
          <w:lang w:val="fr-FR"/>
        </w:rPr>
        <w:t>) ;</w:t>
      </w:r>
    </w:p>
    <w:p w:rsidR="00595CF5" w:rsidRPr="005B3905" w:rsidRDefault="00595CF5" w:rsidP="00595CF5">
      <w:pPr>
        <w:pStyle w:val="SingleTxtG"/>
        <w:ind w:left="2268" w:hanging="567"/>
        <w:rPr>
          <w:lang w:val="fr-FR" w:eastAsia="ko-KR"/>
        </w:rPr>
      </w:pPr>
      <w:r w:rsidRPr="005B3905">
        <w:rPr>
          <w:lang w:val="fr-FR" w:eastAsia="ko-KR"/>
        </w:rPr>
        <w:t>iii)</w:t>
      </w:r>
      <w:r w:rsidRPr="005B3905">
        <w:rPr>
          <w:lang w:val="fr-FR" w:eastAsia="ko-KR"/>
        </w:rPr>
        <w:tab/>
      </w:r>
      <w:r w:rsidRPr="00CC59AC">
        <w:rPr>
          <w:lang w:val="fr-FR" w:eastAsia="ko-KR"/>
        </w:rPr>
        <w:t>Autres marques apposées sur les flancs (sect.</w:t>
      </w:r>
      <w:r>
        <w:rPr>
          <w:lang w:val="fr-FR" w:eastAsia="ko-KR"/>
        </w:rPr>
        <w:t> </w:t>
      </w:r>
      <w:r w:rsidRPr="00CC59AC">
        <w:rPr>
          <w:lang w:val="fr-FR" w:eastAsia="ko-KR"/>
        </w:rPr>
        <w:t>3.3</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CC59AC">
        <w:rPr>
          <w:b/>
          <w:lang w:val="fr-FR"/>
        </w:rPr>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C59AC">
        <w:rPr>
          <w:b/>
          <w:lang w:val="fr-FR"/>
        </w:rPr>
        <w:t>117</w:t>
      </w:r>
    </w:p>
    <w:p w:rsidR="00595CF5" w:rsidRPr="005B3905" w:rsidRDefault="00595CF5" w:rsidP="00595CF5">
      <w:pPr>
        <w:pStyle w:val="SingleTxtG"/>
        <w:ind w:left="2268"/>
        <w:rPr>
          <w:spacing w:val="-2"/>
          <w:lang w:val="fr-FR"/>
        </w:rPr>
      </w:pPr>
      <w:r w:rsidRPr="00CC59AC">
        <w:rPr>
          <w:spacing w:val="-2"/>
          <w:lang w:val="fr-FR"/>
        </w:rPr>
        <w:t>Complément 2 à la série 02 d’amendements</w:t>
      </w:r>
      <w:r>
        <w:rPr>
          <w:spacing w:val="-2"/>
          <w:lang w:val="fr-FR"/>
        </w:rPr>
        <w:t> </w:t>
      </w:r>
      <w:r w:rsidR="00CC5F2E">
        <w:rPr>
          <w:spacing w:val="-2"/>
          <w:lang w:val="fr-FR"/>
        </w:rPr>
        <w:t>: document ECE/TRANS/</w:t>
      </w:r>
      <w:r w:rsidRPr="00CC59AC">
        <w:rPr>
          <w:spacing w:val="-2"/>
          <w:lang w:val="fr-FR"/>
        </w:rPr>
        <w:t>WP.29/</w:t>
      </w:r>
      <w:r w:rsidR="00CC5F2E">
        <w:rPr>
          <w:spacing w:val="-2"/>
          <w:lang w:val="fr-FR"/>
        </w:rPr>
        <w:t xml:space="preserve"> </w:t>
      </w:r>
      <w:r w:rsidRPr="00CC59AC">
        <w:rPr>
          <w:spacing w:val="-2"/>
          <w:lang w:val="fr-FR"/>
        </w:rPr>
        <w:t>2012/54, tel qu’amendé par le paragraphe 63 du rapport de la 158</w:t>
      </w:r>
      <w:r w:rsidRPr="009408AF">
        <w:rPr>
          <w:spacing w:val="-2"/>
          <w:vertAlign w:val="superscript"/>
          <w:lang w:val="fr-FR"/>
        </w:rPr>
        <w:t>e</w:t>
      </w:r>
      <w:r>
        <w:rPr>
          <w:spacing w:val="-2"/>
          <w:lang w:val="fr-FR"/>
        </w:rPr>
        <w:t> </w:t>
      </w:r>
      <w:r w:rsidRPr="00CC59AC">
        <w:rPr>
          <w:spacing w:val="-2"/>
          <w:lang w:val="fr-FR"/>
        </w:rPr>
        <w:t>session du WP.29 (ECE/TRANS/WP.29/1099</w:t>
      </w:r>
      <w:r w:rsidRPr="005B3905">
        <w:rPr>
          <w:lang w:val="fr-FR"/>
        </w:rPr>
        <w:t>)</w:t>
      </w:r>
      <w:r>
        <w:rPr>
          <w:lang w:val="fr-FR"/>
        </w:rPr>
        <w:t> </w:t>
      </w:r>
      <w:r w:rsidRPr="005B3905">
        <w:rPr>
          <w:spacing w:val="-2"/>
          <w:lang w:val="fr-FR"/>
        </w:rPr>
        <w:t>;</w:t>
      </w:r>
    </w:p>
    <w:p w:rsidR="00595CF5" w:rsidRPr="005B3905" w:rsidRDefault="00595CF5" w:rsidP="00595CF5">
      <w:pPr>
        <w:pStyle w:val="SingleTxtG"/>
        <w:ind w:left="2268"/>
        <w:rPr>
          <w:b/>
          <w:lang w:val="fr-FR"/>
        </w:rPr>
      </w:pPr>
      <w:r w:rsidRPr="00CC59AC">
        <w:rPr>
          <w:b/>
          <w:lang w:val="fr-FR"/>
        </w:rPr>
        <w:tab/>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C59AC">
        <w:rPr>
          <w:b/>
          <w:lang w:val="fr-FR"/>
        </w:rPr>
        <w:t>54</w:t>
      </w:r>
    </w:p>
    <w:p w:rsidR="00595CF5" w:rsidRPr="005B3905" w:rsidRDefault="00595CF5" w:rsidP="00595CF5">
      <w:pPr>
        <w:pStyle w:val="SingleTxtG"/>
        <w:ind w:left="2268"/>
        <w:rPr>
          <w:lang w:val="fr-FR"/>
        </w:rPr>
      </w:pPr>
      <w:r w:rsidRPr="00CC59AC">
        <w:rPr>
          <w:lang w:val="fr-FR"/>
        </w:rPr>
        <w:t>Complément 18 à la version originale du Règlement</w:t>
      </w:r>
      <w:r>
        <w:rPr>
          <w:lang w:val="fr-FR"/>
        </w:rPr>
        <w:t> </w:t>
      </w:r>
      <w:r w:rsidRPr="00CC59AC">
        <w:rPr>
          <w:lang w:val="fr-FR"/>
        </w:rPr>
        <w:t>: document ECE/</w:t>
      </w:r>
      <w:r w:rsidR="00CC5F2E">
        <w:rPr>
          <w:lang w:val="fr-FR"/>
        </w:rPr>
        <w:t xml:space="preserve"> </w:t>
      </w:r>
      <w:r w:rsidRPr="00CC59AC">
        <w:rPr>
          <w:lang w:val="fr-FR"/>
        </w:rPr>
        <w:t>TRANS/WP.29/2012/49, adopté à la 157</w:t>
      </w:r>
      <w:r w:rsidRPr="009408AF">
        <w:rPr>
          <w:vertAlign w:val="superscript"/>
          <w:lang w:val="fr-FR"/>
        </w:rPr>
        <w:t>e</w:t>
      </w:r>
      <w:r>
        <w:rPr>
          <w:lang w:val="fr-FR"/>
        </w:rPr>
        <w:t> </w:t>
      </w:r>
      <w:r w:rsidRPr="00CC59AC">
        <w:rPr>
          <w:lang w:val="fr-FR"/>
        </w:rPr>
        <w:t>session du WP.29 (ECE/TRANS/</w:t>
      </w:r>
      <w:r w:rsidR="00CC5F2E">
        <w:rPr>
          <w:lang w:val="fr-FR"/>
        </w:rPr>
        <w:t xml:space="preserve"> </w:t>
      </w:r>
      <w:r w:rsidRPr="00CC59AC">
        <w:rPr>
          <w:lang w:val="fr-FR"/>
        </w:rPr>
        <w:t>WP.29/1097</w:t>
      </w:r>
      <w:r w:rsidRPr="005B3905">
        <w:rPr>
          <w:lang w:val="fr-FR"/>
        </w:rPr>
        <w:t>)</w:t>
      </w:r>
      <w:r>
        <w:rPr>
          <w:lang w:val="fr-FR"/>
        </w:rPr>
        <w:t> </w:t>
      </w:r>
      <w:r w:rsidRPr="005B3905">
        <w:rPr>
          <w:lang w:val="fr-FR"/>
        </w:rPr>
        <w:t>;</w:t>
      </w:r>
    </w:p>
    <w:p w:rsidR="00595CF5" w:rsidRPr="005B3905" w:rsidRDefault="00595CF5" w:rsidP="00595CF5">
      <w:pPr>
        <w:pStyle w:val="SingleTxtG"/>
        <w:ind w:left="2268" w:hanging="567"/>
        <w:rPr>
          <w:lang w:val="fr-FR" w:eastAsia="ko-KR"/>
        </w:rPr>
      </w:pPr>
      <w:r w:rsidRPr="005B3905">
        <w:rPr>
          <w:spacing w:val="-3"/>
          <w:lang w:val="fr-FR"/>
        </w:rPr>
        <w:t>iv)</w:t>
      </w:r>
      <w:r w:rsidRPr="005B3905">
        <w:rPr>
          <w:lang w:val="fr-FR" w:eastAsia="ko-KR"/>
        </w:rPr>
        <w:tab/>
      </w:r>
      <w:r w:rsidRPr="00CB43BB">
        <w:rPr>
          <w:lang w:val="fr-FR" w:eastAsia="ko-KR"/>
        </w:rPr>
        <w:t>Dimensions physiques des pneumatiques pour voitures particulières (sect.</w:t>
      </w:r>
      <w:r>
        <w:rPr>
          <w:lang w:val="fr-FR" w:eastAsia="ko-KR"/>
        </w:rPr>
        <w:t> </w:t>
      </w:r>
      <w:r w:rsidRPr="00CB43BB">
        <w:rPr>
          <w:lang w:val="fr-FR" w:eastAsia="ko-KR"/>
        </w:rPr>
        <w:t>3.5</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CB43BB">
        <w:rPr>
          <w:b/>
          <w:lang w:val="fr-FR"/>
        </w:rPr>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B43BB">
        <w:rPr>
          <w:b/>
          <w:lang w:val="fr-FR"/>
        </w:rPr>
        <w:t>30</w:t>
      </w:r>
    </w:p>
    <w:p w:rsidR="00595CF5" w:rsidRPr="005B3905" w:rsidRDefault="00595CF5" w:rsidP="00595CF5">
      <w:pPr>
        <w:pStyle w:val="SingleTxtG"/>
        <w:ind w:left="2268"/>
        <w:rPr>
          <w:lang w:val="fr-FR"/>
        </w:rPr>
      </w:pPr>
      <w:r w:rsidRPr="00CB43BB">
        <w:rPr>
          <w:lang w:val="fr-FR"/>
        </w:rPr>
        <w:t>Complément 17 à la série 02 d’amendements</w:t>
      </w:r>
      <w:r>
        <w:rPr>
          <w:lang w:val="fr-FR"/>
        </w:rPr>
        <w:t> </w:t>
      </w:r>
      <w:r w:rsidRPr="00CB43BB">
        <w:rPr>
          <w:lang w:val="fr-FR"/>
        </w:rPr>
        <w:t>: document ECE/TRANS/ WP.29/2012/48, tel qu’amendé par le paragraphe 50 du rapport de la 157</w:t>
      </w:r>
      <w:r w:rsidRPr="009408AF">
        <w:rPr>
          <w:vertAlign w:val="superscript"/>
          <w:lang w:val="fr-FR"/>
        </w:rPr>
        <w:t>e</w:t>
      </w:r>
      <w:r>
        <w:rPr>
          <w:lang w:val="fr-FR"/>
        </w:rPr>
        <w:t> </w:t>
      </w:r>
      <w:r w:rsidRPr="00CB43BB">
        <w:rPr>
          <w:lang w:val="fr-FR"/>
        </w:rPr>
        <w:t>session du WP.29 (ECE/TRANS/WP.29/1097</w:t>
      </w:r>
      <w:r w:rsidRPr="005B3905">
        <w:rPr>
          <w:lang w:val="fr-FR"/>
        </w:rPr>
        <w:t>)</w:t>
      </w:r>
      <w:r>
        <w:rPr>
          <w:lang w:val="fr-FR"/>
        </w:rPr>
        <w:t> </w:t>
      </w:r>
      <w:r w:rsidRPr="005B3905">
        <w:rPr>
          <w:lang w:val="fr-FR"/>
        </w:rPr>
        <w:t>;</w:t>
      </w:r>
    </w:p>
    <w:p w:rsidR="00595CF5" w:rsidRPr="005B3905" w:rsidRDefault="00595CF5" w:rsidP="00FA6E2B">
      <w:pPr>
        <w:pStyle w:val="SingleTxtG"/>
        <w:keepNext/>
        <w:ind w:left="2268" w:hanging="567"/>
        <w:rPr>
          <w:lang w:val="fr-FR" w:eastAsia="ko-KR"/>
        </w:rPr>
      </w:pPr>
      <w:bookmarkStart w:id="1" w:name="_Toc279589253"/>
      <w:bookmarkStart w:id="2" w:name="_Toc279589454"/>
      <w:bookmarkStart w:id="3" w:name="_Toc279589937"/>
      <w:bookmarkStart w:id="4" w:name="_Toc279590463"/>
      <w:bookmarkStart w:id="5" w:name="_Toc279590516"/>
      <w:bookmarkStart w:id="6" w:name="_Toc279590793"/>
      <w:bookmarkStart w:id="7" w:name="_Toc279590927"/>
      <w:bookmarkStart w:id="8" w:name="_Toc279590966"/>
      <w:bookmarkStart w:id="9" w:name="_Toc279591004"/>
      <w:bookmarkStart w:id="10" w:name="_Toc279591080"/>
      <w:bookmarkStart w:id="11" w:name="_Toc280015570"/>
      <w:bookmarkStart w:id="12" w:name="_Ref318296720"/>
      <w:bookmarkStart w:id="13" w:name="_Toc329088808"/>
      <w:r w:rsidRPr="005B3905">
        <w:rPr>
          <w:lang w:val="fr-FR" w:eastAsia="ko-KR"/>
        </w:rPr>
        <w:t>v)</w:t>
      </w:r>
      <w:r w:rsidRPr="005B3905">
        <w:rPr>
          <w:lang w:val="fr-FR" w:eastAsia="ko-KR"/>
        </w:rPr>
        <w:tab/>
      </w:r>
      <w:bookmarkEnd w:id="1"/>
      <w:bookmarkEnd w:id="2"/>
      <w:bookmarkEnd w:id="3"/>
      <w:bookmarkEnd w:id="4"/>
      <w:bookmarkEnd w:id="5"/>
      <w:bookmarkEnd w:id="6"/>
      <w:bookmarkEnd w:id="7"/>
      <w:bookmarkEnd w:id="8"/>
      <w:bookmarkEnd w:id="9"/>
      <w:bookmarkEnd w:id="10"/>
      <w:bookmarkEnd w:id="11"/>
      <w:bookmarkEnd w:id="12"/>
      <w:bookmarkEnd w:id="13"/>
      <w:r w:rsidRPr="00CB43BB">
        <w:rPr>
          <w:lang w:val="fr-FR" w:eastAsia="ko-KR"/>
        </w:rPr>
        <w:t>Essai de résistance des pneumatiques pour voitures particulières (sect.</w:t>
      </w:r>
      <w:r>
        <w:rPr>
          <w:lang w:val="fr-FR" w:eastAsia="ko-KR"/>
        </w:rPr>
        <w:t> </w:t>
      </w:r>
      <w:r w:rsidRPr="00CB43BB">
        <w:rPr>
          <w:lang w:val="fr-FR" w:eastAsia="ko-KR"/>
        </w:rPr>
        <w:t>3.6</w:t>
      </w:r>
      <w:r w:rsidRPr="005B3905">
        <w:rPr>
          <w:lang w:val="fr-FR" w:eastAsia="ko-KR"/>
        </w:rPr>
        <w:t>)</w:t>
      </w:r>
      <w:r>
        <w:rPr>
          <w:lang w:val="fr-FR" w:eastAsia="ko-KR"/>
        </w:rPr>
        <w:t> :</w:t>
      </w:r>
    </w:p>
    <w:p w:rsidR="00595CF5" w:rsidRPr="005B3905" w:rsidRDefault="00595CF5" w:rsidP="00FA6E2B">
      <w:pPr>
        <w:pStyle w:val="SingleTxtG"/>
        <w:keepNext/>
        <w:ind w:left="2268"/>
        <w:rPr>
          <w:b/>
          <w:lang w:val="fr-FR"/>
        </w:rPr>
      </w:pPr>
      <w:r w:rsidRPr="00CB43BB">
        <w:rPr>
          <w:b/>
          <w:lang w:val="fr-FR"/>
        </w:rPr>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B43BB">
        <w:rPr>
          <w:b/>
          <w:lang w:val="fr-FR"/>
        </w:rPr>
        <w:t>30</w:t>
      </w:r>
    </w:p>
    <w:p w:rsidR="00595CF5" w:rsidRPr="005B3905" w:rsidRDefault="00595CF5" w:rsidP="00595CF5">
      <w:pPr>
        <w:pStyle w:val="SingleTxtG"/>
        <w:ind w:left="2268"/>
        <w:rPr>
          <w:lang w:val="fr-FR"/>
        </w:rPr>
      </w:pPr>
      <w:r w:rsidRPr="00CB43BB">
        <w:rPr>
          <w:spacing w:val="-2"/>
          <w:lang w:val="fr-FR"/>
        </w:rPr>
        <w:t>Complément 17 à la série 02 d’amendements</w:t>
      </w:r>
      <w:r>
        <w:rPr>
          <w:spacing w:val="-2"/>
          <w:lang w:val="fr-FR"/>
        </w:rPr>
        <w:t> </w:t>
      </w:r>
      <w:r w:rsidRPr="00CB43BB">
        <w:rPr>
          <w:spacing w:val="-2"/>
          <w:lang w:val="fr-FR"/>
        </w:rPr>
        <w:t>: document ECE/TRANS/ WP.29/2012/48, tel qu’amendé par le paragraphe 50 du rapport de la 157</w:t>
      </w:r>
      <w:r w:rsidRPr="009408AF">
        <w:rPr>
          <w:spacing w:val="-2"/>
          <w:vertAlign w:val="superscript"/>
          <w:lang w:val="fr-FR"/>
        </w:rPr>
        <w:t>e</w:t>
      </w:r>
      <w:r>
        <w:rPr>
          <w:spacing w:val="-2"/>
          <w:lang w:val="fr-FR"/>
        </w:rPr>
        <w:t> </w:t>
      </w:r>
      <w:r w:rsidRPr="00CB43BB">
        <w:rPr>
          <w:spacing w:val="-2"/>
          <w:lang w:val="fr-FR"/>
        </w:rPr>
        <w:t>session du WP.29 (ECE/TRANS/WP.29/1097</w:t>
      </w:r>
      <w:r w:rsidRPr="005B3905">
        <w:rPr>
          <w:lang w:val="fr-FR"/>
        </w:rPr>
        <w:t>)</w:t>
      </w:r>
      <w:r>
        <w:rPr>
          <w:lang w:val="fr-FR"/>
        </w:rPr>
        <w:t> </w:t>
      </w:r>
      <w:r w:rsidRPr="005B3905">
        <w:rPr>
          <w:lang w:val="fr-FR"/>
        </w:rPr>
        <w:t>;</w:t>
      </w:r>
    </w:p>
    <w:p w:rsidR="00595CF5" w:rsidRPr="005B3905" w:rsidRDefault="00595CF5" w:rsidP="00595CF5">
      <w:pPr>
        <w:pStyle w:val="SingleTxtG"/>
        <w:ind w:left="2268" w:hanging="567"/>
        <w:rPr>
          <w:lang w:val="fr-FR" w:eastAsia="ko-KR"/>
        </w:rPr>
      </w:pPr>
      <w:r w:rsidRPr="005B3905">
        <w:rPr>
          <w:lang w:val="fr-FR" w:eastAsia="ko-KR"/>
        </w:rPr>
        <w:t xml:space="preserve">vi) </w:t>
      </w:r>
      <w:r w:rsidRPr="005B3905">
        <w:rPr>
          <w:lang w:val="fr-FR" w:eastAsia="ko-KR"/>
        </w:rPr>
        <w:tab/>
      </w:r>
      <w:r w:rsidRPr="00CB43BB">
        <w:rPr>
          <w:lang w:val="fr-FR" w:eastAsia="ko-KR"/>
        </w:rPr>
        <w:t>Essai d’émissio</w:t>
      </w:r>
      <w:r w:rsidR="00FA6E2B">
        <w:rPr>
          <w:lang w:val="fr-FR" w:eastAsia="ko-KR"/>
        </w:rPr>
        <w:t>ns de bruit de roulement (sect. </w:t>
      </w:r>
      <w:r w:rsidRPr="00CB43BB">
        <w:rPr>
          <w:lang w:val="fr-FR" w:eastAsia="ko-KR"/>
        </w:rPr>
        <w:t>3.8</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CB43BB">
        <w:rPr>
          <w:b/>
          <w:lang w:val="fr-FR"/>
        </w:rPr>
        <w:t xml:space="preserve">Règlement </w:t>
      </w:r>
      <w:r w:rsidRPr="002F1B3E">
        <w:rPr>
          <w:rFonts w:eastAsia="MS Mincho"/>
          <w:b/>
          <w:szCs w:val="22"/>
          <w:lang w:val="fr-FR" w:eastAsia="ko-KR"/>
        </w:rPr>
        <w:t>n</w:t>
      </w:r>
      <w:r w:rsidRPr="002F1B3E">
        <w:rPr>
          <w:rFonts w:eastAsia="MS Mincho"/>
          <w:b/>
          <w:szCs w:val="22"/>
          <w:vertAlign w:val="superscript"/>
          <w:lang w:val="fr-FR" w:eastAsia="ko-KR"/>
        </w:rPr>
        <w:t>o</w:t>
      </w:r>
      <w:r w:rsidRPr="002F1B3E">
        <w:rPr>
          <w:b/>
          <w:lang w:val="fr-FR" w:eastAsia="ko-KR"/>
        </w:rPr>
        <w:t> </w:t>
      </w:r>
      <w:r w:rsidRPr="00CB43BB">
        <w:rPr>
          <w:b/>
          <w:lang w:val="fr-FR"/>
        </w:rPr>
        <w:t>117</w:t>
      </w:r>
    </w:p>
    <w:p w:rsidR="00595CF5" w:rsidRPr="005B3905" w:rsidRDefault="00595CF5" w:rsidP="00595CF5">
      <w:pPr>
        <w:pStyle w:val="SingleTxtG"/>
        <w:ind w:left="2268"/>
        <w:rPr>
          <w:lang w:val="fr-FR"/>
        </w:rPr>
      </w:pPr>
      <w:r w:rsidRPr="00CB43BB">
        <w:rPr>
          <w:lang w:val="fr-FR"/>
        </w:rPr>
        <w:t>Exemptions ajoutées comme dans la série 02 d’amendements</w:t>
      </w:r>
      <w:r>
        <w:rPr>
          <w:lang w:val="fr-FR"/>
        </w:rPr>
        <w:t> </w:t>
      </w:r>
      <w:r w:rsidRPr="005B3905">
        <w:rPr>
          <w:lang w:val="fr-FR"/>
        </w:rPr>
        <w:t>;</w:t>
      </w:r>
    </w:p>
    <w:p w:rsidR="00595CF5" w:rsidRPr="005B3905" w:rsidRDefault="00595CF5" w:rsidP="00595CF5">
      <w:pPr>
        <w:pStyle w:val="SingleTxtG"/>
        <w:ind w:left="2268"/>
        <w:rPr>
          <w:lang w:val="fr-FR"/>
        </w:rPr>
      </w:pPr>
      <w:r w:rsidRPr="00CB43BB">
        <w:rPr>
          <w:lang w:val="fr-FR"/>
        </w:rPr>
        <w:t>En ce qui concerne le revêtement de la zone d’essai, il es</w:t>
      </w:r>
      <w:r>
        <w:rPr>
          <w:lang w:val="fr-FR"/>
        </w:rPr>
        <w:t>t fait référence à la norme ISO </w:t>
      </w:r>
      <w:r w:rsidRPr="00CB43BB">
        <w:rPr>
          <w:lang w:val="fr-FR"/>
        </w:rPr>
        <w:t>10844:2014 (complément 4 à la série 02 d’amendements, document ECE/TRANS/WP.29/2013/55</w:t>
      </w:r>
      <w:r>
        <w:rPr>
          <w:lang w:val="fr-FR"/>
        </w:rPr>
        <w:t>) </w:t>
      </w:r>
      <w:r w:rsidRPr="005B3905">
        <w:rPr>
          <w:lang w:val="fr-FR"/>
        </w:rPr>
        <w:t>;</w:t>
      </w:r>
    </w:p>
    <w:p w:rsidR="00595CF5" w:rsidRPr="005B3905" w:rsidRDefault="00595CF5" w:rsidP="00595CF5">
      <w:pPr>
        <w:pStyle w:val="SingleTxtG"/>
        <w:ind w:left="2268"/>
        <w:rPr>
          <w:spacing w:val="-2"/>
          <w:lang w:val="fr-FR"/>
        </w:rPr>
      </w:pPr>
      <w:r w:rsidRPr="00CB43BB">
        <w:rPr>
          <w:spacing w:val="-2"/>
          <w:lang w:val="fr-FR"/>
        </w:rPr>
        <w:t xml:space="preserve">Complément 8 à la série 02 d’amendements au Règlement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CB43BB">
        <w:rPr>
          <w:spacing w:val="-2"/>
          <w:lang w:val="fr-FR"/>
        </w:rPr>
        <w:t>117 (Pneumatiques : Résistance au roulement, bruit de roulement et adhérence sur sol mouillé) : document ECE/TRANS/WP.29/2015/65, tel qu’amendé par le paragraphe 66 du rapport de la 166</w:t>
      </w:r>
      <w:r w:rsidRPr="00454015">
        <w:rPr>
          <w:spacing w:val="-2"/>
          <w:vertAlign w:val="superscript"/>
          <w:lang w:val="fr-FR"/>
        </w:rPr>
        <w:t>e</w:t>
      </w:r>
      <w:r>
        <w:rPr>
          <w:spacing w:val="-2"/>
          <w:lang w:val="fr-FR"/>
        </w:rPr>
        <w:t> </w:t>
      </w:r>
      <w:r w:rsidRPr="00CB43BB">
        <w:rPr>
          <w:spacing w:val="-2"/>
          <w:lang w:val="fr-FR"/>
        </w:rPr>
        <w:t>session du WP.29 (ECE/TRANS/</w:t>
      </w:r>
      <w:r>
        <w:rPr>
          <w:spacing w:val="-2"/>
          <w:lang w:val="fr-FR"/>
        </w:rPr>
        <w:br/>
      </w:r>
      <w:r w:rsidRPr="00CB43BB">
        <w:rPr>
          <w:spacing w:val="-2"/>
          <w:lang w:val="fr-FR"/>
        </w:rPr>
        <w:t>WP.29/1116</w:t>
      </w:r>
      <w:r w:rsidRPr="005B3905">
        <w:rPr>
          <w:spacing w:val="-2"/>
          <w:lang w:val="fr-FR"/>
        </w:rPr>
        <w:t>)</w:t>
      </w:r>
      <w:r>
        <w:rPr>
          <w:spacing w:val="-2"/>
          <w:lang w:val="fr-FR"/>
        </w:rPr>
        <w:t> </w:t>
      </w:r>
      <w:r w:rsidRPr="005B3905">
        <w:rPr>
          <w:spacing w:val="-2"/>
          <w:lang w:val="fr-FR"/>
        </w:rPr>
        <w:t>;</w:t>
      </w:r>
    </w:p>
    <w:p w:rsidR="00595CF5" w:rsidRPr="005B3905" w:rsidRDefault="00595CF5" w:rsidP="00595CF5">
      <w:pPr>
        <w:pStyle w:val="SingleTxtG"/>
        <w:ind w:left="2268" w:hanging="567"/>
        <w:rPr>
          <w:lang w:val="fr-FR" w:eastAsia="ko-KR"/>
        </w:rPr>
      </w:pPr>
      <w:r w:rsidRPr="005B3905">
        <w:rPr>
          <w:lang w:val="fr-FR" w:eastAsia="ko-KR"/>
        </w:rPr>
        <w:t>vii)</w:t>
      </w:r>
      <w:r w:rsidRPr="005B3905">
        <w:rPr>
          <w:lang w:val="fr-FR" w:eastAsia="ko-KR"/>
        </w:rPr>
        <w:tab/>
      </w:r>
      <w:r w:rsidRPr="00CB43BB">
        <w:rPr>
          <w:lang w:val="fr-FR" w:eastAsia="ko-KR"/>
        </w:rPr>
        <w:t>Modification de l’essai de mesure de l’adhérence sur sol mouillé (sect.</w:t>
      </w:r>
      <w:r>
        <w:rPr>
          <w:lang w:val="fr-FR" w:eastAsia="ko-KR"/>
        </w:rPr>
        <w:t> </w:t>
      </w:r>
      <w:r w:rsidRPr="00CB43BB">
        <w:rPr>
          <w:lang w:val="fr-FR" w:eastAsia="ko-KR"/>
        </w:rPr>
        <w:t>3.12</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CB43BB">
        <w:rPr>
          <w:b/>
          <w:lang w:val="fr-FR"/>
        </w:rPr>
        <w:t xml:space="preserve">Règlement </w:t>
      </w:r>
      <w:r w:rsidRPr="001E07F6">
        <w:rPr>
          <w:rFonts w:eastAsia="MS Mincho"/>
          <w:b/>
          <w:spacing w:val="-2"/>
          <w:szCs w:val="22"/>
          <w:lang w:val="fr-FR"/>
        </w:rPr>
        <w:t>n</w:t>
      </w:r>
      <w:r w:rsidRPr="001E07F6">
        <w:rPr>
          <w:rFonts w:eastAsia="MS Mincho"/>
          <w:b/>
          <w:spacing w:val="-2"/>
          <w:szCs w:val="22"/>
          <w:vertAlign w:val="superscript"/>
          <w:lang w:val="fr-FR"/>
        </w:rPr>
        <w:t>o</w:t>
      </w:r>
      <w:r w:rsidRPr="001E07F6">
        <w:rPr>
          <w:b/>
          <w:spacing w:val="-2"/>
          <w:lang w:val="fr-FR"/>
        </w:rPr>
        <w:t> </w:t>
      </w:r>
      <w:r w:rsidRPr="00CB43BB">
        <w:rPr>
          <w:b/>
          <w:lang w:val="fr-FR"/>
        </w:rPr>
        <w:t>117</w:t>
      </w:r>
    </w:p>
    <w:p w:rsidR="00595CF5" w:rsidRPr="005B3905" w:rsidRDefault="00595CF5" w:rsidP="00595CF5">
      <w:pPr>
        <w:pStyle w:val="SingleTxtG"/>
        <w:ind w:left="2268"/>
        <w:rPr>
          <w:lang w:val="fr-FR"/>
        </w:rPr>
      </w:pPr>
      <w:r w:rsidRPr="00DD71C4">
        <w:rPr>
          <w:lang w:val="fr-FR"/>
        </w:rPr>
        <w:t>Exemptions ajoutées comme dans la série 02 d’amendements</w:t>
      </w:r>
      <w:r>
        <w:rPr>
          <w:lang w:val="fr-FR"/>
        </w:rPr>
        <w:t> </w:t>
      </w:r>
      <w:r w:rsidRPr="005B3905">
        <w:rPr>
          <w:lang w:val="fr-FR"/>
        </w:rPr>
        <w:t>;</w:t>
      </w:r>
    </w:p>
    <w:p w:rsidR="00595CF5" w:rsidRPr="005B3905" w:rsidRDefault="00595CF5" w:rsidP="00595CF5">
      <w:pPr>
        <w:pStyle w:val="SingleTxtG"/>
        <w:ind w:left="2268"/>
        <w:rPr>
          <w:lang w:val="fr-FR"/>
        </w:rPr>
      </w:pPr>
      <w:r w:rsidRPr="00DD71C4">
        <w:rPr>
          <w:lang w:val="fr-FR"/>
        </w:rPr>
        <w:t>Complément 1 à la série 02 d’amendements</w:t>
      </w:r>
      <w:r>
        <w:rPr>
          <w:lang w:val="fr-FR"/>
        </w:rPr>
        <w:t> </w:t>
      </w:r>
      <w:r w:rsidRPr="00DD71C4">
        <w:rPr>
          <w:lang w:val="fr-FR"/>
        </w:rPr>
        <w:t>: document ECE/TRANS/ WP.29/2012/2, tel qu’amendé par le paragraphe 65 du rapport de la 156</w:t>
      </w:r>
      <w:r w:rsidRPr="001E07F6">
        <w:rPr>
          <w:vertAlign w:val="superscript"/>
          <w:lang w:val="fr-FR"/>
        </w:rPr>
        <w:t>e</w:t>
      </w:r>
      <w:r>
        <w:rPr>
          <w:lang w:val="fr-FR"/>
        </w:rPr>
        <w:t> </w:t>
      </w:r>
      <w:r w:rsidRPr="00DD71C4">
        <w:rPr>
          <w:lang w:val="fr-FR"/>
        </w:rPr>
        <w:t>session du WP.29 (ECE/TRANS/WP.29/1095</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D71C4">
        <w:rPr>
          <w:lang w:val="fr-FR"/>
        </w:rPr>
        <w:t>Complément 6 à la série 02 d’amendements</w:t>
      </w:r>
      <w:r>
        <w:rPr>
          <w:lang w:val="fr-FR"/>
        </w:rPr>
        <w:t> </w:t>
      </w:r>
      <w:r w:rsidRPr="00DD71C4">
        <w:rPr>
          <w:lang w:val="fr-FR"/>
        </w:rPr>
        <w:t>: document ECE/TRANS/ WP.29/2013/66, tel qu’amendé par le paragraphe 56 du rapport de la 162</w:t>
      </w:r>
      <w:r w:rsidRPr="001E07F6">
        <w:rPr>
          <w:vertAlign w:val="superscript"/>
          <w:lang w:val="fr-FR"/>
        </w:rPr>
        <w:t>e</w:t>
      </w:r>
      <w:r>
        <w:rPr>
          <w:lang w:val="fr-FR"/>
        </w:rPr>
        <w:t> </w:t>
      </w:r>
      <w:r w:rsidRPr="00DD71C4">
        <w:rPr>
          <w:lang w:val="fr-FR"/>
        </w:rPr>
        <w:t>session du WP.29 (ECE/TRANS/WP.29/1108</w:t>
      </w:r>
      <w:r w:rsidRPr="005B3905">
        <w:rPr>
          <w:lang w:val="fr-FR"/>
        </w:rPr>
        <w:t>)</w:t>
      </w:r>
      <w:r>
        <w:rPr>
          <w:lang w:val="fr-FR"/>
        </w:rPr>
        <w:t> </w:t>
      </w:r>
      <w:r w:rsidRPr="005B3905">
        <w:rPr>
          <w:lang w:val="fr-FR"/>
        </w:rPr>
        <w:t>;</w:t>
      </w:r>
    </w:p>
    <w:p w:rsidR="00595CF5" w:rsidRPr="005B3905" w:rsidRDefault="00595CF5" w:rsidP="00595CF5">
      <w:pPr>
        <w:pStyle w:val="SingleTxtG"/>
        <w:ind w:left="2268"/>
        <w:rPr>
          <w:b/>
          <w:lang w:val="fr-FR"/>
        </w:rPr>
      </w:pPr>
      <w:r w:rsidRPr="00DD71C4">
        <w:rPr>
          <w:b/>
          <w:lang w:val="fr-FR"/>
        </w:rPr>
        <w:t xml:space="preserve">Session extraordinaire </w:t>
      </w:r>
      <w:r w:rsidRPr="00B02EDE">
        <w:rPr>
          <w:b/>
          <w:lang w:val="fr-FR"/>
        </w:rPr>
        <w:t>(</w:t>
      </w:r>
      <w:r>
        <w:rPr>
          <w:b/>
          <w:lang w:val="fr-FR"/>
        </w:rPr>
        <w:t>soixante-dix-septième</w:t>
      </w:r>
      <w:r w:rsidRPr="00B02EDE">
        <w:rPr>
          <w:b/>
          <w:lang w:val="fr-FR"/>
        </w:rPr>
        <w:t>)</w:t>
      </w:r>
      <w:r>
        <w:rPr>
          <w:b/>
          <w:lang w:val="fr-FR"/>
        </w:rPr>
        <w:t xml:space="preserve"> </w:t>
      </w:r>
      <w:r w:rsidRPr="00DD71C4">
        <w:rPr>
          <w:b/>
          <w:lang w:val="fr-FR"/>
        </w:rPr>
        <w:t>du GRRF tenue pendant la 163</w:t>
      </w:r>
      <w:r w:rsidRPr="001E07F6">
        <w:rPr>
          <w:b/>
          <w:vertAlign w:val="superscript"/>
          <w:lang w:val="fr-FR"/>
        </w:rPr>
        <w:t>e</w:t>
      </w:r>
      <w:r>
        <w:rPr>
          <w:b/>
          <w:lang w:val="fr-FR"/>
        </w:rPr>
        <w:t> </w:t>
      </w:r>
      <w:r w:rsidRPr="00DD71C4">
        <w:rPr>
          <w:b/>
          <w:lang w:val="fr-FR"/>
        </w:rPr>
        <w:t>session du WP.29</w:t>
      </w:r>
    </w:p>
    <w:p w:rsidR="00595CF5" w:rsidRPr="005B3905" w:rsidRDefault="00595CF5" w:rsidP="00595CF5">
      <w:pPr>
        <w:pStyle w:val="SingleTxtG"/>
        <w:ind w:left="2268"/>
        <w:rPr>
          <w:lang w:val="fr-FR"/>
        </w:rPr>
      </w:pPr>
      <w:r w:rsidRPr="00DD71C4">
        <w:rPr>
          <w:lang w:val="fr-FR"/>
        </w:rPr>
        <w:t>Document ECE/TRANS/WP.29/GRRF/77, approuvé au paragraphe 28 du rapport de la 164</w:t>
      </w:r>
      <w:r w:rsidRPr="001E07F6">
        <w:rPr>
          <w:vertAlign w:val="superscript"/>
          <w:lang w:val="fr-FR"/>
        </w:rPr>
        <w:t>e</w:t>
      </w:r>
      <w:r>
        <w:rPr>
          <w:lang w:val="fr-FR"/>
        </w:rPr>
        <w:t> </w:t>
      </w:r>
      <w:r w:rsidRPr="00DD71C4">
        <w:rPr>
          <w:lang w:val="fr-FR"/>
        </w:rPr>
        <w:t>session du WP.29 (ECE/TRANS/WP.29/1112</w:t>
      </w:r>
      <w:r>
        <w:rPr>
          <w:lang w:val="fr-FR"/>
        </w:rPr>
        <w:t>) ;</w:t>
      </w:r>
    </w:p>
    <w:p w:rsidR="00595CF5" w:rsidRPr="005B3905" w:rsidRDefault="00595CF5" w:rsidP="00595CF5">
      <w:pPr>
        <w:pStyle w:val="SingleTxtG"/>
        <w:ind w:left="2268" w:hanging="567"/>
        <w:rPr>
          <w:spacing w:val="-3"/>
          <w:lang w:val="fr-FR"/>
        </w:rPr>
      </w:pPr>
      <w:bookmarkStart w:id="14" w:name="_Toc279589950"/>
      <w:bookmarkStart w:id="15" w:name="_Toc279590476"/>
      <w:bookmarkStart w:id="16" w:name="_Toc279590529"/>
      <w:bookmarkStart w:id="17" w:name="_Toc279590833"/>
      <w:bookmarkStart w:id="18" w:name="_Toc279590940"/>
      <w:bookmarkStart w:id="19" w:name="_Toc279590979"/>
      <w:bookmarkStart w:id="20" w:name="_Toc279591017"/>
      <w:bookmarkStart w:id="21" w:name="_Toc279591093"/>
      <w:bookmarkStart w:id="22" w:name="_Toc280015583"/>
      <w:bookmarkStart w:id="23" w:name="_Ref318453099"/>
      <w:bookmarkStart w:id="24" w:name="_Toc329088816"/>
      <w:r w:rsidRPr="005B3905">
        <w:rPr>
          <w:spacing w:val="-3"/>
          <w:lang w:val="fr-FR"/>
        </w:rPr>
        <w:t>viii)</w:t>
      </w:r>
      <w:r w:rsidRPr="005B3905">
        <w:rPr>
          <w:spacing w:val="-3"/>
          <w:lang w:val="fr-FR"/>
        </w:rPr>
        <w:tab/>
      </w:r>
      <w:bookmarkEnd w:id="14"/>
      <w:bookmarkEnd w:id="15"/>
      <w:bookmarkEnd w:id="16"/>
      <w:bookmarkEnd w:id="17"/>
      <w:bookmarkEnd w:id="18"/>
      <w:bookmarkEnd w:id="19"/>
      <w:bookmarkEnd w:id="20"/>
      <w:bookmarkEnd w:id="21"/>
      <w:bookmarkEnd w:id="22"/>
      <w:bookmarkEnd w:id="23"/>
      <w:bookmarkEnd w:id="24"/>
      <w:r w:rsidRPr="007272D4">
        <w:rPr>
          <w:spacing w:val="-3"/>
          <w:lang w:val="fr-FR"/>
        </w:rPr>
        <w:t>Essai de résistance pour les pneumatiques des catégories LT/C (sect.</w:t>
      </w:r>
      <w:r>
        <w:rPr>
          <w:spacing w:val="-3"/>
          <w:lang w:val="fr-FR"/>
        </w:rPr>
        <w:t> </w:t>
      </w:r>
      <w:r w:rsidRPr="007272D4">
        <w:rPr>
          <w:spacing w:val="-3"/>
          <w:lang w:val="fr-FR"/>
        </w:rPr>
        <w:t>3.14</w:t>
      </w:r>
      <w:r w:rsidRPr="005B3905">
        <w:rPr>
          <w:spacing w:val="-3"/>
          <w:lang w:val="fr-FR"/>
        </w:rPr>
        <w:t>)</w:t>
      </w:r>
      <w:r>
        <w:rPr>
          <w:spacing w:val="-3"/>
          <w:lang w:val="fr-FR"/>
        </w:rPr>
        <w:t> </w:t>
      </w:r>
      <w:r w:rsidRPr="005B3905">
        <w:rPr>
          <w:spacing w:val="-3"/>
          <w:lang w:val="fr-FR"/>
        </w:rPr>
        <w:t>:</w:t>
      </w:r>
    </w:p>
    <w:p w:rsidR="00595CF5" w:rsidRPr="005B3905" w:rsidRDefault="00595CF5" w:rsidP="00595CF5">
      <w:pPr>
        <w:pStyle w:val="SingleTxtG"/>
        <w:ind w:left="2268"/>
        <w:rPr>
          <w:lang w:val="fr-FR"/>
        </w:rPr>
      </w:pPr>
      <w:r w:rsidRPr="005B3905">
        <w:rPr>
          <w:lang w:val="fr-FR"/>
        </w:rPr>
        <w:tab/>
      </w:r>
      <w:r w:rsidRPr="007272D4">
        <w:rPr>
          <w:lang w:val="fr-FR"/>
        </w:rPr>
        <w:t>Dans un souci de cohérence avec la section 3.6 (Essai de résistance des pneumatiques pour voitures particulières) et la définition énoncée au paragraphe</w:t>
      </w:r>
      <w:r>
        <w:rPr>
          <w:lang w:val="fr-FR"/>
        </w:rPr>
        <w:t> </w:t>
      </w:r>
      <w:r w:rsidRPr="007272D4">
        <w:rPr>
          <w:lang w:val="fr-FR"/>
        </w:rPr>
        <w:t>2.89, ont été ajoutées les modifications suivantes</w:t>
      </w:r>
      <w:r>
        <w:rPr>
          <w:lang w:val="fr-FR"/>
        </w:rPr>
        <w:t> </w:t>
      </w:r>
      <w:r w:rsidRPr="005B3905">
        <w:rPr>
          <w:lang w:val="fr-FR"/>
        </w:rPr>
        <w:t>:</w:t>
      </w:r>
    </w:p>
    <w:p w:rsidR="00595CF5" w:rsidRPr="005B3905" w:rsidRDefault="00595CF5" w:rsidP="00595CF5">
      <w:pPr>
        <w:pStyle w:val="SingleTxtG"/>
        <w:ind w:left="2268"/>
        <w:rPr>
          <w:b/>
          <w:lang w:val="fr-FR"/>
        </w:rPr>
      </w:pPr>
      <w:r>
        <w:rPr>
          <w:b/>
          <w:lang w:val="fr-FR"/>
        </w:rPr>
        <w:t xml:space="preserve">Règlement </w:t>
      </w:r>
      <w:r w:rsidRPr="00D47D64">
        <w:rPr>
          <w:rFonts w:eastAsia="MS Mincho"/>
          <w:b/>
          <w:szCs w:val="22"/>
          <w:lang w:val="fr-FR"/>
        </w:rPr>
        <w:t>n</w:t>
      </w:r>
      <w:r w:rsidRPr="00D47D64">
        <w:rPr>
          <w:rFonts w:eastAsia="MS Mincho"/>
          <w:b/>
          <w:szCs w:val="22"/>
          <w:vertAlign w:val="superscript"/>
          <w:lang w:val="fr-FR"/>
        </w:rPr>
        <w:t>o</w:t>
      </w:r>
      <w:r>
        <w:rPr>
          <w:b/>
          <w:lang w:val="fr-FR"/>
        </w:rPr>
        <w:t> </w:t>
      </w:r>
      <w:r w:rsidRPr="005B3905">
        <w:rPr>
          <w:b/>
          <w:lang w:val="fr-FR"/>
        </w:rPr>
        <w:t>30</w:t>
      </w:r>
    </w:p>
    <w:p w:rsidR="00595CF5" w:rsidRPr="005B3905" w:rsidRDefault="00595CF5" w:rsidP="00595CF5">
      <w:pPr>
        <w:pStyle w:val="SingleTxtG"/>
        <w:ind w:left="2268"/>
        <w:rPr>
          <w:lang w:val="fr-FR"/>
        </w:rPr>
      </w:pPr>
      <w:r w:rsidRPr="007272D4">
        <w:rPr>
          <w:spacing w:val="-2"/>
          <w:lang w:val="fr-FR"/>
        </w:rPr>
        <w:t>Complément 17 à la série 02 d’amendements</w:t>
      </w:r>
      <w:r>
        <w:rPr>
          <w:spacing w:val="-2"/>
          <w:lang w:val="fr-FR"/>
        </w:rPr>
        <w:t> </w:t>
      </w:r>
      <w:r w:rsidRPr="007272D4">
        <w:rPr>
          <w:spacing w:val="-2"/>
          <w:lang w:val="fr-FR"/>
        </w:rPr>
        <w:t>: document ECE/TRANS/ WP.29/2012/48, tel qu’amendé par le paragraphe 50 du rapport de la 157</w:t>
      </w:r>
      <w:r w:rsidRPr="001E07F6">
        <w:rPr>
          <w:spacing w:val="-2"/>
          <w:vertAlign w:val="superscript"/>
          <w:lang w:val="fr-FR"/>
        </w:rPr>
        <w:t>e</w:t>
      </w:r>
      <w:r>
        <w:rPr>
          <w:spacing w:val="-2"/>
          <w:lang w:val="fr-FR"/>
        </w:rPr>
        <w:t> </w:t>
      </w:r>
      <w:r w:rsidRPr="007272D4">
        <w:rPr>
          <w:spacing w:val="-2"/>
          <w:lang w:val="fr-FR"/>
        </w:rPr>
        <w:t>session du WP.29 (ECE/TRANS/WP.29/1097</w:t>
      </w:r>
      <w:r w:rsidRPr="005B3905">
        <w:rPr>
          <w:lang w:val="fr-FR"/>
        </w:rPr>
        <w:t>)</w:t>
      </w:r>
      <w:r>
        <w:rPr>
          <w:lang w:val="fr-FR"/>
        </w:rPr>
        <w:t> </w:t>
      </w:r>
      <w:r w:rsidRPr="005B3905">
        <w:rPr>
          <w:lang w:val="fr-FR"/>
        </w:rPr>
        <w:t>;</w:t>
      </w:r>
    </w:p>
    <w:p w:rsidR="00595CF5" w:rsidRPr="005B3905" w:rsidRDefault="00595CF5" w:rsidP="00595CF5">
      <w:pPr>
        <w:pStyle w:val="SingleTxtG"/>
        <w:ind w:left="2268" w:hanging="567"/>
        <w:rPr>
          <w:lang w:val="fr-FR" w:eastAsia="ko-KR"/>
        </w:rPr>
      </w:pPr>
      <w:r w:rsidRPr="005B3905">
        <w:rPr>
          <w:lang w:val="fr-FR" w:eastAsia="ko-KR"/>
        </w:rPr>
        <w:t>ix)</w:t>
      </w:r>
      <w:r w:rsidRPr="005B3905">
        <w:rPr>
          <w:lang w:val="fr-FR" w:eastAsia="ko-KR"/>
        </w:rPr>
        <w:tab/>
      </w:r>
      <w:r w:rsidRPr="007272D4">
        <w:rPr>
          <w:lang w:val="fr-FR" w:eastAsia="ko-KR"/>
        </w:rPr>
        <w:t>Ajout de nouvelles prescriptions relatives à la résistance au roulement (nouvelle sect</w:t>
      </w:r>
      <w:r>
        <w:rPr>
          <w:lang w:val="fr-FR" w:eastAsia="ko-KR"/>
        </w:rPr>
        <w:t>ion </w:t>
      </w:r>
      <w:r w:rsidRPr="007272D4">
        <w:rPr>
          <w:lang w:val="fr-FR" w:eastAsia="ko-KR"/>
        </w:rPr>
        <w:t>3.22</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7272D4">
        <w:rPr>
          <w:b/>
          <w:lang w:val="fr-FR"/>
        </w:rPr>
        <w:t xml:space="preserve">Règlement </w:t>
      </w:r>
      <w:r w:rsidRPr="001E07F6">
        <w:rPr>
          <w:rFonts w:eastAsia="MS Mincho"/>
          <w:b/>
          <w:spacing w:val="-2"/>
          <w:szCs w:val="22"/>
          <w:lang w:val="fr-FR"/>
        </w:rPr>
        <w:t>n</w:t>
      </w:r>
      <w:r w:rsidRPr="001E07F6">
        <w:rPr>
          <w:rFonts w:eastAsia="MS Mincho"/>
          <w:b/>
          <w:spacing w:val="-2"/>
          <w:szCs w:val="22"/>
          <w:vertAlign w:val="superscript"/>
          <w:lang w:val="fr-FR"/>
        </w:rPr>
        <w:t>o</w:t>
      </w:r>
      <w:r w:rsidRPr="001E07F6">
        <w:rPr>
          <w:b/>
          <w:spacing w:val="-2"/>
          <w:lang w:val="fr-FR"/>
        </w:rPr>
        <w:t> </w:t>
      </w:r>
      <w:r w:rsidRPr="007272D4">
        <w:rPr>
          <w:b/>
          <w:lang w:val="fr-FR"/>
        </w:rPr>
        <w:t>117</w:t>
      </w:r>
    </w:p>
    <w:p w:rsidR="00595CF5" w:rsidRPr="005B3905" w:rsidRDefault="00595CF5" w:rsidP="00595CF5">
      <w:pPr>
        <w:pStyle w:val="SingleTxtG"/>
        <w:ind w:left="2268"/>
        <w:rPr>
          <w:lang w:val="fr-FR"/>
        </w:rPr>
      </w:pPr>
      <w:r w:rsidRPr="007272D4">
        <w:rPr>
          <w:lang w:val="fr-FR"/>
        </w:rPr>
        <w:t>Série 02 d’amendements</w:t>
      </w:r>
      <w:r>
        <w:rPr>
          <w:lang w:val="fr-FR"/>
        </w:rPr>
        <w:t> </w:t>
      </w:r>
      <w:r w:rsidRPr="007272D4">
        <w:rPr>
          <w:lang w:val="fr-FR"/>
        </w:rPr>
        <w:t>: document ECE/TRANS/WP.29/2010/63, tel qu’amendé par le paragraphe 45 du rapport de la 151</w:t>
      </w:r>
      <w:r w:rsidRPr="001E07F6">
        <w:rPr>
          <w:vertAlign w:val="superscript"/>
          <w:lang w:val="fr-FR"/>
        </w:rPr>
        <w:t>e</w:t>
      </w:r>
      <w:r>
        <w:rPr>
          <w:lang w:val="fr-FR"/>
        </w:rPr>
        <w:t> </w:t>
      </w:r>
      <w:r w:rsidRPr="007272D4">
        <w:rPr>
          <w:lang w:val="fr-FR"/>
        </w:rPr>
        <w:t>session du WP.29 (ECE/TRANS/WP.29/1085</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7272D4">
        <w:rPr>
          <w:lang w:val="fr-FR"/>
        </w:rPr>
        <w:t>Complément 1 à la série 02 d’amendements</w:t>
      </w:r>
      <w:r>
        <w:rPr>
          <w:lang w:val="fr-FR"/>
        </w:rPr>
        <w:t> </w:t>
      </w:r>
      <w:r w:rsidRPr="007272D4">
        <w:rPr>
          <w:lang w:val="fr-FR"/>
        </w:rPr>
        <w:t>: document ECE/TRANS/ WP.29/2012/6, adopté à la 156</w:t>
      </w:r>
      <w:r w:rsidRPr="001E07F6">
        <w:rPr>
          <w:vertAlign w:val="superscript"/>
          <w:lang w:val="fr-FR"/>
        </w:rPr>
        <w:t>e</w:t>
      </w:r>
      <w:r>
        <w:rPr>
          <w:lang w:val="fr-FR"/>
        </w:rPr>
        <w:t> </w:t>
      </w:r>
      <w:r w:rsidRPr="007272D4">
        <w:rPr>
          <w:lang w:val="fr-FR"/>
        </w:rPr>
        <w:t>session du WP.29 (ECE/TRANS/</w:t>
      </w:r>
      <w:r w:rsidR="003D0717">
        <w:rPr>
          <w:lang w:val="fr-FR"/>
        </w:rPr>
        <w:t xml:space="preserve"> </w:t>
      </w:r>
      <w:r w:rsidRPr="007272D4">
        <w:rPr>
          <w:lang w:val="fr-FR"/>
        </w:rPr>
        <w:t>WP.29/1095</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7272D4">
        <w:rPr>
          <w:lang w:val="fr-FR"/>
        </w:rPr>
        <w:t>Complémen</w:t>
      </w:r>
      <w:r>
        <w:rPr>
          <w:lang w:val="fr-FR"/>
        </w:rPr>
        <w:t>t 2 à la série 02 d’amendements </w:t>
      </w:r>
      <w:r w:rsidRPr="007272D4">
        <w:rPr>
          <w:lang w:val="fr-FR"/>
        </w:rPr>
        <w:t>: documents ECE/TRANS/ WP.29/2012/54 et ECE/TRANS/WP.29/2012/55, tels qu’amendés par le paragraphe 63 du rapport de la 158</w:t>
      </w:r>
      <w:r w:rsidRPr="001E07F6">
        <w:rPr>
          <w:vertAlign w:val="superscript"/>
          <w:lang w:val="fr-FR"/>
        </w:rPr>
        <w:t>e</w:t>
      </w:r>
      <w:r>
        <w:rPr>
          <w:lang w:val="fr-FR"/>
        </w:rPr>
        <w:t> </w:t>
      </w:r>
      <w:r w:rsidRPr="007272D4">
        <w:rPr>
          <w:lang w:val="fr-FR"/>
        </w:rPr>
        <w:t>session du WP.29 (ECE/TRANS/</w:t>
      </w:r>
      <w:r>
        <w:rPr>
          <w:lang w:val="fr-FR"/>
        </w:rPr>
        <w:br/>
      </w:r>
      <w:r w:rsidRPr="007272D4">
        <w:rPr>
          <w:lang w:val="fr-FR"/>
        </w:rPr>
        <w:t>WP.29/1099</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3D0717">
        <w:rPr>
          <w:spacing w:val="-2"/>
          <w:lang w:val="fr-FR"/>
        </w:rPr>
        <w:t>Complément 3 à la série</w:t>
      </w:r>
      <w:r w:rsidRPr="007272D4">
        <w:rPr>
          <w:lang w:val="fr-FR"/>
        </w:rPr>
        <w:t xml:space="preserve"> 02 d’amendements</w:t>
      </w:r>
      <w:r w:rsidR="003D0717">
        <w:rPr>
          <w:lang w:val="fr-FR"/>
        </w:rPr>
        <w:t> </w:t>
      </w:r>
      <w:r w:rsidRPr="007272D4">
        <w:rPr>
          <w:lang w:val="fr-FR"/>
        </w:rPr>
        <w:t>: document ECE/TRANS/WP.29/</w:t>
      </w:r>
      <w:r w:rsidR="003D0717">
        <w:rPr>
          <w:lang w:val="fr-FR"/>
        </w:rPr>
        <w:t xml:space="preserve"> </w:t>
      </w:r>
      <w:r w:rsidRPr="007272D4">
        <w:rPr>
          <w:lang w:val="fr-FR"/>
        </w:rPr>
        <w:t>2013/7, adopté à la 159</w:t>
      </w:r>
      <w:r w:rsidRPr="001E07F6">
        <w:rPr>
          <w:vertAlign w:val="superscript"/>
          <w:lang w:val="fr-FR"/>
        </w:rPr>
        <w:t>e</w:t>
      </w:r>
      <w:r>
        <w:rPr>
          <w:lang w:val="fr-FR"/>
        </w:rPr>
        <w:t> </w:t>
      </w:r>
      <w:r w:rsidR="003D0717">
        <w:rPr>
          <w:lang w:val="fr-FR"/>
        </w:rPr>
        <w:t>session du WP.29 (ECE/TRANS/</w:t>
      </w:r>
      <w:r w:rsidRPr="007272D4">
        <w:rPr>
          <w:lang w:val="fr-FR"/>
        </w:rPr>
        <w:t>WP.29/</w:t>
      </w:r>
      <w:r w:rsidR="003D0717">
        <w:rPr>
          <w:lang w:val="fr-FR"/>
        </w:rPr>
        <w:t xml:space="preserve"> </w:t>
      </w:r>
      <w:r w:rsidRPr="007272D4">
        <w:rPr>
          <w:lang w:val="fr-FR"/>
        </w:rPr>
        <w:t>1102</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96526">
        <w:rPr>
          <w:lang w:val="fr-FR"/>
        </w:rPr>
        <w:t>Complément 7 à la série 02 d’amendements</w:t>
      </w:r>
      <w:r w:rsidR="003D0717">
        <w:rPr>
          <w:lang w:val="fr-FR"/>
        </w:rPr>
        <w:t> </w:t>
      </w:r>
      <w:r w:rsidRPr="00D96526">
        <w:rPr>
          <w:lang w:val="fr-FR"/>
        </w:rPr>
        <w:t>: document ECE/TRANS/ WP.29/2015/5, adopté à la 165</w:t>
      </w:r>
      <w:r w:rsidRPr="001E07F6">
        <w:rPr>
          <w:vertAlign w:val="superscript"/>
          <w:lang w:val="fr-FR"/>
        </w:rPr>
        <w:t>e</w:t>
      </w:r>
      <w:r>
        <w:rPr>
          <w:lang w:val="fr-FR"/>
        </w:rPr>
        <w:t> </w:t>
      </w:r>
      <w:r w:rsidRPr="00D96526">
        <w:rPr>
          <w:lang w:val="fr-FR"/>
        </w:rPr>
        <w:t>session du WP.29 (ECE/TRANS/WP.29/</w:t>
      </w:r>
      <w:r w:rsidR="003D0717">
        <w:rPr>
          <w:lang w:val="fr-FR"/>
        </w:rPr>
        <w:t xml:space="preserve"> </w:t>
      </w:r>
      <w:r w:rsidRPr="00D96526">
        <w:rPr>
          <w:lang w:val="fr-FR"/>
        </w:rPr>
        <w:t>1114</w:t>
      </w:r>
      <w:r w:rsidRPr="005B3905">
        <w:rPr>
          <w:lang w:val="fr-FR"/>
        </w:rPr>
        <w:t>)</w:t>
      </w:r>
      <w:r>
        <w:rPr>
          <w:lang w:val="fr-FR"/>
        </w:rPr>
        <w:t> </w:t>
      </w:r>
      <w:r w:rsidRPr="005B3905">
        <w:rPr>
          <w:lang w:val="fr-FR"/>
        </w:rPr>
        <w:t>;</w:t>
      </w:r>
    </w:p>
    <w:p w:rsidR="00595CF5" w:rsidRPr="005B3905" w:rsidRDefault="00595CF5" w:rsidP="00FA6E2B">
      <w:pPr>
        <w:pStyle w:val="SingleTxtG"/>
        <w:ind w:left="2268" w:hanging="567"/>
        <w:rPr>
          <w:lang w:val="fr-FR" w:eastAsia="ko-KR"/>
        </w:rPr>
      </w:pPr>
      <w:r w:rsidRPr="005B3905">
        <w:rPr>
          <w:lang w:val="fr-FR" w:eastAsia="ko-KR"/>
        </w:rPr>
        <w:t>x)</w:t>
      </w:r>
      <w:r w:rsidRPr="005B3905">
        <w:rPr>
          <w:lang w:val="fr-FR" w:eastAsia="ko-KR"/>
        </w:rPr>
        <w:tab/>
      </w:r>
      <w:r w:rsidRPr="00D96526">
        <w:rPr>
          <w:lang w:val="fr-FR" w:eastAsia="ko-KR"/>
        </w:rPr>
        <w:t>Ajout de nouvelles prescriptions relatives aux critères de qualification des pneumatiques pour une utilisation sur routes très fortement enneigées (nouvelle section 3.23</w:t>
      </w:r>
      <w:r w:rsidRPr="005B3905">
        <w:rPr>
          <w:lang w:val="fr-FR" w:eastAsia="ko-KR"/>
        </w:rPr>
        <w:t>)</w:t>
      </w:r>
      <w:r>
        <w:rPr>
          <w:lang w:val="fr-FR" w:eastAsia="ko-KR"/>
        </w:rPr>
        <w:t> </w:t>
      </w:r>
      <w:r w:rsidRPr="005B3905">
        <w:rPr>
          <w:lang w:val="fr-FR" w:eastAsia="ko-KR"/>
        </w:rPr>
        <w:t>:</w:t>
      </w:r>
    </w:p>
    <w:p w:rsidR="00595CF5" w:rsidRPr="005B3905" w:rsidRDefault="00595CF5" w:rsidP="00595CF5">
      <w:pPr>
        <w:pStyle w:val="SingleTxtG"/>
        <w:ind w:left="2268"/>
        <w:rPr>
          <w:b/>
          <w:lang w:val="fr-FR"/>
        </w:rPr>
      </w:pPr>
      <w:r w:rsidRPr="00D96526">
        <w:rPr>
          <w:b/>
          <w:lang w:val="fr-FR"/>
        </w:rPr>
        <w:t xml:space="preserve">Règlement </w:t>
      </w:r>
      <w:r w:rsidRPr="001E07F6">
        <w:rPr>
          <w:rFonts w:eastAsia="MS Mincho"/>
          <w:b/>
          <w:spacing w:val="-2"/>
          <w:szCs w:val="22"/>
          <w:lang w:val="fr-FR"/>
        </w:rPr>
        <w:t>n</w:t>
      </w:r>
      <w:r w:rsidRPr="001E07F6">
        <w:rPr>
          <w:rFonts w:eastAsia="MS Mincho"/>
          <w:b/>
          <w:spacing w:val="-2"/>
          <w:szCs w:val="22"/>
          <w:vertAlign w:val="superscript"/>
          <w:lang w:val="fr-FR"/>
        </w:rPr>
        <w:t>o</w:t>
      </w:r>
      <w:r w:rsidRPr="001E07F6">
        <w:rPr>
          <w:b/>
          <w:spacing w:val="-2"/>
          <w:lang w:val="fr-FR"/>
        </w:rPr>
        <w:t> </w:t>
      </w:r>
      <w:r w:rsidRPr="00D96526">
        <w:rPr>
          <w:b/>
          <w:lang w:val="fr-FR"/>
        </w:rPr>
        <w:t>117</w:t>
      </w:r>
    </w:p>
    <w:p w:rsidR="00595CF5" w:rsidRPr="005B3905" w:rsidRDefault="00595CF5" w:rsidP="00595CF5">
      <w:pPr>
        <w:pStyle w:val="SingleTxtG"/>
        <w:ind w:left="2268"/>
        <w:rPr>
          <w:lang w:val="fr-FR"/>
        </w:rPr>
      </w:pPr>
      <w:r w:rsidRPr="003D0717">
        <w:rPr>
          <w:spacing w:val="-2"/>
          <w:lang w:val="fr-FR"/>
        </w:rPr>
        <w:t>Complément 1 à la série 02 d</w:t>
      </w:r>
      <w:r>
        <w:rPr>
          <w:lang w:val="fr-FR"/>
        </w:rPr>
        <w:t>’amendements </w:t>
      </w:r>
      <w:r w:rsidRPr="00D96526">
        <w:rPr>
          <w:lang w:val="fr-FR"/>
        </w:rPr>
        <w:t>: document ECE/TRANS/WP.29/</w:t>
      </w:r>
      <w:r w:rsidR="003D0717">
        <w:rPr>
          <w:lang w:val="fr-FR"/>
        </w:rPr>
        <w:t xml:space="preserve"> </w:t>
      </w:r>
      <w:r w:rsidRPr="00D96526">
        <w:rPr>
          <w:lang w:val="fr-FR"/>
        </w:rPr>
        <w:t>2012/2, tel qu’amendé par le paragraphe 65 du rapport de la 156</w:t>
      </w:r>
      <w:r w:rsidRPr="001E07F6">
        <w:rPr>
          <w:vertAlign w:val="superscript"/>
          <w:lang w:val="fr-FR"/>
        </w:rPr>
        <w:t>e</w:t>
      </w:r>
      <w:r>
        <w:rPr>
          <w:lang w:val="fr-FR"/>
        </w:rPr>
        <w:t> </w:t>
      </w:r>
      <w:r w:rsidRPr="00D96526">
        <w:rPr>
          <w:lang w:val="fr-FR"/>
        </w:rPr>
        <w:t>session du WP.29 (ECE/TRANS/WP.29/1095</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3D0717">
        <w:rPr>
          <w:spacing w:val="-2"/>
          <w:lang w:val="fr-FR"/>
        </w:rPr>
        <w:t>Complément 2 à la série 02 d’amendements</w:t>
      </w:r>
      <w:r>
        <w:rPr>
          <w:lang w:val="fr-FR"/>
        </w:rPr>
        <w:t> </w:t>
      </w:r>
      <w:r w:rsidR="003D0717">
        <w:rPr>
          <w:lang w:val="fr-FR"/>
        </w:rPr>
        <w:t>: document ECE/TRANS/</w:t>
      </w:r>
      <w:r w:rsidRPr="00D96526">
        <w:rPr>
          <w:lang w:val="fr-FR"/>
        </w:rPr>
        <w:t>WP.29/</w:t>
      </w:r>
      <w:r w:rsidR="003D0717">
        <w:rPr>
          <w:lang w:val="fr-FR"/>
        </w:rPr>
        <w:t xml:space="preserve"> </w:t>
      </w:r>
      <w:r w:rsidRPr="00D96526">
        <w:rPr>
          <w:lang w:val="fr-FR"/>
        </w:rPr>
        <w:t>2012/54, tel qu’amendé par le paragraphe 63 du rapport de la 158</w:t>
      </w:r>
      <w:r w:rsidRPr="001E07F6">
        <w:rPr>
          <w:vertAlign w:val="superscript"/>
          <w:lang w:val="fr-FR"/>
        </w:rPr>
        <w:t>e</w:t>
      </w:r>
      <w:r>
        <w:rPr>
          <w:lang w:val="fr-FR"/>
        </w:rPr>
        <w:t> </w:t>
      </w:r>
      <w:r w:rsidRPr="00D96526">
        <w:rPr>
          <w:lang w:val="fr-FR"/>
        </w:rPr>
        <w:t>session du WP.29 (ECE/TRANS/WP.29/1099</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3D0717">
        <w:rPr>
          <w:spacing w:val="-2"/>
          <w:lang w:val="fr-FR"/>
        </w:rPr>
        <w:t>Complément 5 à la série 02</w:t>
      </w:r>
      <w:r w:rsidRPr="00D96526">
        <w:rPr>
          <w:lang w:val="fr-FR"/>
        </w:rPr>
        <w:t xml:space="preserve"> d’amendements : document ECE/TRANS/WP.29/</w:t>
      </w:r>
      <w:r w:rsidR="003D0717">
        <w:rPr>
          <w:lang w:val="fr-FR"/>
        </w:rPr>
        <w:t xml:space="preserve"> </w:t>
      </w:r>
      <w:r w:rsidRPr="00D96526">
        <w:rPr>
          <w:lang w:val="fr-FR"/>
        </w:rPr>
        <w:t>2013/59, adopté à la 161</w:t>
      </w:r>
      <w:r w:rsidRPr="001E07F6">
        <w:rPr>
          <w:vertAlign w:val="superscript"/>
          <w:lang w:val="fr-FR"/>
        </w:rPr>
        <w:t>e</w:t>
      </w:r>
      <w:r>
        <w:rPr>
          <w:lang w:val="fr-FR"/>
        </w:rPr>
        <w:t> </w:t>
      </w:r>
      <w:r w:rsidRPr="00D96526">
        <w:rPr>
          <w:lang w:val="fr-FR"/>
        </w:rPr>
        <w:t>session du WP.29 (ECE/TRANS/WP.29/</w:t>
      </w:r>
      <w:r w:rsidR="003D0717">
        <w:rPr>
          <w:lang w:val="fr-FR"/>
        </w:rPr>
        <w:t xml:space="preserve"> </w:t>
      </w:r>
      <w:r w:rsidRPr="00D96526">
        <w:rPr>
          <w:lang w:val="fr-FR"/>
        </w:rPr>
        <w:t>1106</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3D0717">
        <w:rPr>
          <w:spacing w:val="-2"/>
          <w:lang w:val="fr-FR"/>
        </w:rPr>
        <w:t>Complément 7 à la série 02</w:t>
      </w:r>
      <w:r w:rsidRPr="00D96526">
        <w:rPr>
          <w:lang w:val="fr-FR"/>
        </w:rPr>
        <w:t xml:space="preserve"> d’amendements</w:t>
      </w:r>
      <w:r>
        <w:rPr>
          <w:lang w:val="fr-FR"/>
        </w:rPr>
        <w:t> </w:t>
      </w:r>
      <w:r w:rsidRPr="00D96526">
        <w:rPr>
          <w:lang w:val="fr-FR"/>
        </w:rPr>
        <w:t>: document ECE/TRANS/WP.29/</w:t>
      </w:r>
      <w:r w:rsidR="003D0717">
        <w:rPr>
          <w:lang w:val="fr-FR"/>
        </w:rPr>
        <w:t xml:space="preserve"> </w:t>
      </w:r>
      <w:r w:rsidRPr="00D96526">
        <w:rPr>
          <w:lang w:val="fr-FR"/>
        </w:rPr>
        <w:t>2015/5, adopté à la 165</w:t>
      </w:r>
      <w:r w:rsidRPr="001E07F6">
        <w:rPr>
          <w:vertAlign w:val="superscript"/>
          <w:lang w:val="fr-FR"/>
        </w:rPr>
        <w:t>e</w:t>
      </w:r>
      <w:r>
        <w:rPr>
          <w:lang w:val="fr-FR"/>
        </w:rPr>
        <w:t> </w:t>
      </w:r>
      <w:r w:rsidRPr="00D96526">
        <w:rPr>
          <w:lang w:val="fr-FR"/>
        </w:rPr>
        <w:t>session du WP.29 (ECE/TRANS/WP.29/1114</w:t>
      </w:r>
      <w:r w:rsidRPr="005B3905">
        <w:rPr>
          <w:lang w:val="fr-FR"/>
        </w:rPr>
        <w:t>)</w:t>
      </w:r>
      <w:r>
        <w:rPr>
          <w:lang w:val="fr-FR"/>
        </w:rPr>
        <w:t> </w:t>
      </w:r>
      <w:r w:rsidRPr="005B3905">
        <w:rPr>
          <w:lang w:val="fr-FR"/>
        </w:rPr>
        <w:t>;</w:t>
      </w:r>
    </w:p>
    <w:p w:rsidR="00595CF5" w:rsidRPr="005B3905" w:rsidRDefault="00595CF5" w:rsidP="00595CF5">
      <w:pPr>
        <w:pStyle w:val="SingleTxtG"/>
        <w:ind w:left="2268" w:hanging="567"/>
        <w:rPr>
          <w:noProof/>
          <w:lang w:val="fr-FR"/>
        </w:rPr>
      </w:pPr>
      <w:r w:rsidRPr="005B3905">
        <w:rPr>
          <w:noProof/>
          <w:lang w:val="fr-FR"/>
        </w:rPr>
        <w:t>xi)</w:t>
      </w:r>
      <w:r w:rsidRPr="005B3905">
        <w:rPr>
          <w:noProof/>
          <w:lang w:val="fr-FR"/>
        </w:rPr>
        <w:tab/>
        <w:t xml:space="preserve">Modifications </w:t>
      </w:r>
      <w:r>
        <w:rPr>
          <w:lang w:val="fr-FR" w:eastAsia="ko-KR"/>
        </w:rPr>
        <w:t>apportées aux</w:t>
      </w:r>
      <w:r w:rsidRPr="00D96526">
        <w:rPr>
          <w:lang w:val="fr-FR" w:eastAsia="ko-KR"/>
        </w:rPr>
        <w:t xml:space="preserve"> annexes</w:t>
      </w:r>
      <w:r>
        <w:rPr>
          <w:lang w:val="fr-FR" w:eastAsia="ko-KR"/>
        </w:rPr>
        <w:t> </w:t>
      </w:r>
      <w:r w:rsidRPr="005B3905">
        <w:rPr>
          <w:noProof/>
          <w:lang w:val="fr-FR"/>
        </w:rPr>
        <w:t>:</w:t>
      </w:r>
    </w:p>
    <w:p w:rsidR="00595CF5" w:rsidRPr="005B3905" w:rsidRDefault="00595CF5" w:rsidP="00595CF5">
      <w:pPr>
        <w:pStyle w:val="SingleTxtG"/>
        <w:ind w:left="2268"/>
        <w:rPr>
          <w:lang w:val="fr-FR"/>
        </w:rPr>
      </w:pPr>
      <w:r w:rsidRPr="00D96526">
        <w:rPr>
          <w:b/>
          <w:lang w:val="fr-FR"/>
        </w:rPr>
        <w:t>L’annexe</w:t>
      </w:r>
      <w:r>
        <w:rPr>
          <w:b/>
          <w:lang w:val="fr-FR"/>
        </w:rPr>
        <w:t> </w:t>
      </w:r>
      <w:r w:rsidRPr="00D96526">
        <w:rPr>
          <w:b/>
          <w:lang w:val="fr-FR"/>
        </w:rPr>
        <w:t xml:space="preserve">7 </w:t>
      </w:r>
      <w:r w:rsidRPr="00D96526">
        <w:rPr>
          <w:lang w:val="fr-FR"/>
        </w:rPr>
        <w:t>(Désignation et cotes d’encombrement des pneumatiques) est devenue l’annexe</w:t>
      </w:r>
      <w:r>
        <w:rPr>
          <w:lang w:val="fr-FR"/>
        </w:rPr>
        <w:t> </w:t>
      </w:r>
      <w:r w:rsidRPr="00D96526">
        <w:rPr>
          <w:lang w:val="fr-FR"/>
        </w:rPr>
        <w:t>6 par décision prise à la quatre-vingtième session du GRRF</w:t>
      </w:r>
      <w:r>
        <w:rPr>
          <w:lang w:val="fr-FR"/>
        </w:rPr>
        <w:t>.</w:t>
      </w:r>
    </w:p>
    <w:p w:rsidR="00595CF5" w:rsidRPr="005B3905" w:rsidRDefault="00595CF5" w:rsidP="00595CF5">
      <w:pPr>
        <w:pStyle w:val="SingleTxtG"/>
        <w:ind w:left="2268"/>
        <w:rPr>
          <w:lang w:val="fr-FR"/>
        </w:rPr>
      </w:pPr>
      <w:r w:rsidRPr="005B3905">
        <w:rPr>
          <w:b/>
          <w:lang w:val="fr-FR"/>
        </w:rPr>
        <w:t>Annex</w:t>
      </w:r>
      <w:r>
        <w:rPr>
          <w:b/>
          <w:lang w:val="fr-FR"/>
        </w:rPr>
        <w:t>e </w:t>
      </w:r>
      <w:r w:rsidRPr="005B3905">
        <w:rPr>
          <w:b/>
          <w:lang w:val="fr-FR"/>
        </w:rPr>
        <w:t>6</w:t>
      </w:r>
      <w:r w:rsidRPr="005B3905">
        <w:rPr>
          <w:lang w:val="fr-FR"/>
        </w:rPr>
        <w:t xml:space="preserve"> </w:t>
      </w:r>
      <w:r>
        <w:rPr>
          <w:lang w:val="fr-FR"/>
        </w:rPr>
        <w:t>(</w:t>
      </w:r>
      <w:r w:rsidRPr="00D96526">
        <w:rPr>
          <w:lang w:val="fr-FR"/>
        </w:rPr>
        <w:t>Désignation et cotes d’encombrement des pneumatiques</w:t>
      </w:r>
      <w:r>
        <w:rPr>
          <w:lang w:val="fr-FR"/>
        </w:rPr>
        <w:t>) :</w:t>
      </w:r>
    </w:p>
    <w:p w:rsidR="00595CF5" w:rsidRPr="005B3905" w:rsidRDefault="00595CF5" w:rsidP="00595CF5">
      <w:pPr>
        <w:pStyle w:val="SingleTxtG"/>
        <w:ind w:left="2268"/>
        <w:rPr>
          <w:lang w:val="fr-FR"/>
        </w:rPr>
      </w:pPr>
      <w:r w:rsidRPr="003D0717">
        <w:rPr>
          <w:lang w:val="fr-FR"/>
        </w:rPr>
        <w:t xml:space="preserve">Complément 20 à la série 00 d’amendements au Règlement </w:t>
      </w:r>
      <w:r w:rsidRPr="003D0717">
        <w:rPr>
          <w:rFonts w:eastAsia="MS Mincho"/>
          <w:szCs w:val="22"/>
          <w:lang w:val="fr-FR"/>
        </w:rPr>
        <w:t>n</w:t>
      </w:r>
      <w:r w:rsidRPr="003D0717">
        <w:rPr>
          <w:rFonts w:eastAsia="MS Mincho"/>
          <w:szCs w:val="22"/>
          <w:vertAlign w:val="superscript"/>
          <w:lang w:val="fr-FR"/>
        </w:rPr>
        <w:t>o</w:t>
      </w:r>
      <w:r w:rsidRPr="003D0717">
        <w:rPr>
          <w:lang w:val="fr-FR"/>
        </w:rPr>
        <w:t> 54 : document</w:t>
      </w:r>
      <w:r w:rsidRPr="003D0717">
        <w:rPr>
          <w:spacing w:val="-2"/>
          <w:lang w:val="fr-FR"/>
        </w:rPr>
        <w:t xml:space="preserve"> ECE/TRANS/WP.29/2015/66, adopté</w:t>
      </w:r>
      <w:r w:rsidRPr="00D96526">
        <w:rPr>
          <w:lang w:val="fr-FR"/>
        </w:rPr>
        <w:t xml:space="preserve"> à la 166</w:t>
      </w:r>
      <w:r w:rsidRPr="001E07F6">
        <w:rPr>
          <w:vertAlign w:val="superscript"/>
          <w:lang w:val="fr-FR"/>
        </w:rPr>
        <w:t>e</w:t>
      </w:r>
      <w:r>
        <w:rPr>
          <w:lang w:val="fr-FR"/>
        </w:rPr>
        <w:t> </w:t>
      </w:r>
      <w:r w:rsidRPr="00D96526">
        <w:rPr>
          <w:lang w:val="fr-FR"/>
        </w:rPr>
        <w:t>session du WP.29 (ECE/</w:t>
      </w:r>
      <w:r w:rsidR="003D0717">
        <w:rPr>
          <w:lang w:val="fr-FR"/>
        </w:rPr>
        <w:t xml:space="preserve"> </w:t>
      </w:r>
      <w:r w:rsidRPr="00D96526">
        <w:rPr>
          <w:lang w:val="fr-FR"/>
        </w:rPr>
        <w:t>TRANS/WP.29/1116</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96526">
        <w:rPr>
          <w:b/>
          <w:lang w:val="fr-FR"/>
        </w:rPr>
        <w:t>L’annexe</w:t>
      </w:r>
      <w:r>
        <w:rPr>
          <w:b/>
          <w:lang w:val="fr-FR"/>
        </w:rPr>
        <w:t> </w:t>
      </w:r>
      <w:r w:rsidRPr="00D96526">
        <w:rPr>
          <w:b/>
          <w:lang w:val="fr-FR"/>
        </w:rPr>
        <w:t xml:space="preserve">10 </w:t>
      </w:r>
      <w:r w:rsidRPr="00D96526">
        <w:rPr>
          <w:lang w:val="fr-FR"/>
        </w:rPr>
        <w:t>(Organismes de normalisation des pneumatiques) est devenue l’annexe 7 par décision prise à la quatre-vingtième session du GRRF.</w:t>
      </w:r>
    </w:p>
    <w:p w:rsidR="00595CF5" w:rsidRPr="005B3905" w:rsidRDefault="00595CF5" w:rsidP="00595CF5">
      <w:pPr>
        <w:pStyle w:val="SingleTxtG"/>
        <w:ind w:left="2268"/>
        <w:rPr>
          <w:lang w:val="fr-FR"/>
        </w:rPr>
      </w:pPr>
      <w:r w:rsidRPr="00D96526">
        <w:rPr>
          <w:b/>
          <w:lang w:val="fr-FR"/>
        </w:rPr>
        <w:t>L’annexe</w:t>
      </w:r>
      <w:r>
        <w:rPr>
          <w:b/>
          <w:lang w:val="fr-FR"/>
        </w:rPr>
        <w:t> </w:t>
      </w:r>
      <w:r w:rsidRPr="00D96526">
        <w:rPr>
          <w:b/>
          <w:lang w:val="fr-FR"/>
        </w:rPr>
        <w:t xml:space="preserve">11 </w:t>
      </w:r>
      <w:r w:rsidRPr="00D96526">
        <w:rPr>
          <w:lang w:val="fr-FR"/>
        </w:rPr>
        <w:t>(Tolérances des équipements d’essai de la résistance au roulement) est devenue l’annexe 8 par décision prise à la quatre-vingtième session du GRRF.</w:t>
      </w:r>
    </w:p>
    <w:p w:rsidR="00595CF5" w:rsidRPr="005B3905" w:rsidRDefault="00595CF5" w:rsidP="00595CF5">
      <w:pPr>
        <w:pStyle w:val="SingleTxtG"/>
        <w:ind w:left="2268"/>
        <w:rPr>
          <w:lang w:val="fr-FR"/>
        </w:rPr>
      </w:pPr>
      <w:r w:rsidRPr="00D96526">
        <w:rPr>
          <w:b/>
          <w:lang w:val="fr-FR"/>
        </w:rPr>
        <w:t>Annexe</w:t>
      </w:r>
      <w:r>
        <w:rPr>
          <w:b/>
          <w:lang w:val="fr-FR"/>
        </w:rPr>
        <w:t> </w:t>
      </w:r>
      <w:r w:rsidRPr="00D96526">
        <w:rPr>
          <w:b/>
          <w:lang w:val="fr-FR"/>
        </w:rPr>
        <w:t xml:space="preserve">8 </w:t>
      </w:r>
      <w:r w:rsidRPr="00D96526">
        <w:rPr>
          <w:lang w:val="fr-FR"/>
        </w:rPr>
        <w:t>(Tolérances des équipements d’essai de la résistance au roulement)</w:t>
      </w:r>
      <w:r>
        <w:rPr>
          <w:lang w:val="fr-FR"/>
        </w:rPr>
        <w:t> :</w:t>
      </w:r>
    </w:p>
    <w:p w:rsidR="00595CF5" w:rsidRPr="005B3905" w:rsidRDefault="00595CF5" w:rsidP="00595CF5">
      <w:pPr>
        <w:pStyle w:val="SingleTxtG"/>
        <w:ind w:left="2268"/>
        <w:rPr>
          <w:lang w:val="fr-FR"/>
        </w:rPr>
      </w:pPr>
      <w:r w:rsidRPr="00D96526">
        <w:rPr>
          <w:lang w:val="fr-FR"/>
        </w:rPr>
        <w:t xml:space="preserve">Complément 1 à la série 02 d’amendements au Règlement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D96526">
        <w:rPr>
          <w:lang w:val="fr-FR"/>
        </w:rPr>
        <w:t xml:space="preserve">117 (Pneumatiques </w:t>
      </w:r>
      <w:r>
        <w:rPr>
          <w:lang w:val="fr-FR"/>
        </w:rPr>
        <w:t>−</w:t>
      </w:r>
      <w:r w:rsidRPr="00D96526">
        <w:rPr>
          <w:lang w:val="fr-FR"/>
        </w:rPr>
        <w:t xml:space="preserve"> Résistance au roulement, bruit de roulement et adhérence)</w:t>
      </w:r>
      <w:r>
        <w:rPr>
          <w:lang w:val="fr-FR"/>
        </w:rPr>
        <w:t> </w:t>
      </w:r>
      <w:r w:rsidRPr="00D96526">
        <w:rPr>
          <w:lang w:val="fr-FR"/>
        </w:rPr>
        <w:t>: document ECE/TRANS/WP.29/2012/6, adopté à la 156</w:t>
      </w:r>
      <w:r w:rsidRPr="00967D2D">
        <w:rPr>
          <w:vertAlign w:val="superscript"/>
          <w:lang w:val="fr-FR"/>
        </w:rPr>
        <w:t>e</w:t>
      </w:r>
      <w:r>
        <w:rPr>
          <w:lang w:val="fr-FR"/>
        </w:rPr>
        <w:t> </w:t>
      </w:r>
      <w:r w:rsidRPr="00D96526">
        <w:rPr>
          <w:lang w:val="fr-FR"/>
        </w:rPr>
        <w:t>session du WP.29 (ECE/TRANS/WP.29/1095</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96526">
        <w:rPr>
          <w:lang w:val="fr-FR"/>
        </w:rPr>
        <w:t xml:space="preserve">Complément 2 à la série 02 d’amendements au Règlement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D96526">
        <w:rPr>
          <w:lang w:val="fr-FR"/>
        </w:rPr>
        <w:t xml:space="preserve">117 (Pneumatiques </w:t>
      </w:r>
      <w:r>
        <w:rPr>
          <w:lang w:val="fr-FR"/>
        </w:rPr>
        <w:t>−</w:t>
      </w:r>
      <w:r w:rsidRPr="00D96526">
        <w:rPr>
          <w:lang w:val="fr-FR"/>
        </w:rPr>
        <w:t xml:space="preserve"> Résistance au roulement, bruit de roulement et adhérence) : document ECE/TRANS/WP.29/2012/55, adopté à la 158</w:t>
      </w:r>
      <w:r w:rsidRPr="00967D2D">
        <w:rPr>
          <w:vertAlign w:val="superscript"/>
          <w:lang w:val="fr-FR"/>
        </w:rPr>
        <w:t>e</w:t>
      </w:r>
      <w:r>
        <w:rPr>
          <w:lang w:val="fr-FR"/>
        </w:rPr>
        <w:t> </w:t>
      </w:r>
      <w:r w:rsidRPr="00D96526">
        <w:rPr>
          <w:lang w:val="fr-FR"/>
        </w:rPr>
        <w:t>session du WP.29 (ECE/TRANS/WP.29/1099</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96526">
        <w:rPr>
          <w:lang w:val="fr-FR"/>
        </w:rPr>
        <w:t xml:space="preserve">Complément 7 à la série 02 d’amendements au Règlement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D96526">
        <w:rPr>
          <w:lang w:val="fr-FR"/>
        </w:rPr>
        <w:t>117 (Pneumatiques − Résistance au roulement, bruit de roulement et adhérence) : document ECE/TRANS/WP.29/2015/5, adopté à la 165</w:t>
      </w:r>
      <w:r w:rsidRPr="00CB0919">
        <w:rPr>
          <w:vertAlign w:val="superscript"/>
          <w:lang w:val="fr-FR"/>
        </w:rPr>
        <w:t>e</w:t>
      </w:r>
      <w:r>
        <w:rPr>
          <w:lang w:val="fr-FR"/>
        </w:rPr>
        <w:t> </w:t>
      </w:r>
      <w:r w:rsidRPr="00D96526">
        <w:rPr>
          <w:lang w:val="fr-FR"/>
        </w:rPr>
        <w:t>session du WP.29 (ECE/TRANS/WP.29/1114</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96526">
        <w:rPr>
          <w:lang w:val="fr-FR"/>
        </w:rPr>
        <w:t xml:space="preserve">Complément 8 à la série 02 d’amendements au Règlement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D96526">
        <w:rPr>
          <w:lang w:val="fr-FR"/>
        </w:rPr>
        <w:t>117 (Pneumatiques − Résistance au roulement, bruit de roulement et adhérence)</w:t>
      </w:r>
      <w:r>
        <w:rPr>
          <w:lang w:val="fr-FR"/>
        </w:rPr>
        <w:t> </w:t>
      </w:r>
      <w:r w:rsidRPr="00D96526">
        <w:rPr>
          <w:lang w:val="fr-FR"/>
        </w:rPr>
        <w:t>: document ECE/TRANS/WP.29/2015/65, tel qu’amendé par le paragraphe 66 du rapport de la 166</w:t>
      </w:r>
      <w:r w:rsidRPr="00CB0919">
        <w:rPr>
          <w:vertAlign w:val="superscript"/>
          <w:lang w:val="fr-FR"/>
        </w:rPr>
        <w:t>e</w:t>
      </w:r>
      <w:r>
        <w:rPr>
          <w:lang w:val="fr-FR"/>
        </w:rPr>
        <w:t> </w:t>
      </w:r>
      <w:r w:rsidRPr="00D96526">
        <w:rPr>
          <w:lang w:val="fr-FR"/>
        </w:rPr>
        <w:t>session du WP.29 (ECE/TRANS/WP.29/1116</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D96526">
        <w:rPr>
          <w:b/>
          <w:lang w:val="fr-FR"/>
        </w:rPr>
        <w:t>L’annexe</w:t>
      </w:r>
      <w:r>
        <w:rPr>
          <w:b/>
          <w:lang w:val="fr-FR"/>
        </w:rPr>
        <w:t> </w:t>
      </w:r>
      <w:r w:rsidRPr="00D96526">
        <w:rPr>
          <w:b/>
          <w:lang w:val="fr-FR"/>
        </w:rPr>
        <w:t xml:space="preserve">12 </w:t>
      </w:r>
      <w:r w:rsidRPr="00D96526">
        <w:rPr>
          <w:lang w:val="fr-FR"/>
        </w:rPr>
        <w:t>(Mesure de la largeur de la jante d’essai) est devenue l’annexe</w:t>
      </w:r>
      <w:r>
        <w:rPr>
          <w:lang w:val="fr-FR"/>
        </w:rPr>
        <w:t> </w:t>
      </w:r>
      <w:r w:rsidRPr="00D96526">
        <w:rPr>
          <w:lang w:val="fr-FR"/>
        </w:rPr>
        <w:t>9 par décision prise à la q</w:t>
      </w:r>
      <w:r>
        <w:rPr>
          <w:lang w:val="fr-FR"/>
        </w:rPr>
        <w:t>uatre-vingtième session du GRRF ;</w:t>
      </w:r>
    </w:p>
    <w:p w:rsidR="00595CF5" w:rsidRPr="005B3905" w:rsidRDefault="00595CF5" w:rsidP="00595CF5">
      <w:pPr>
        <w:pStyle w:val="SingleTxtG"/>
        <w:ind w:left="2268"/>
        <w:rPr>
          <w:lang w:val="fr-FR"/>
        </w:rPr>
      </w:pPr>
      <w:r w:rsidRPr="00D96526">
        <w:rPr>
          <w:b/>
          <w:lang w:val="fr-FR"/>
        </w:rPr>
        <w:t>Annexe</w:t>
      </w:r>
      <w:r>
        <w:rPr>
          <w:b/>
          <w:lang w:val="fr-FR"/>
        </w:rPr>
        <w:t> </w:t>
      </w:r>
      <w:r w:rsidRPr="00D96526">
        <w:rPr>
          <w:b/>
          <w:lang w:val="fr-FR"/>
        </w:rPr>
        <w:t xml:space="preserve">9 </w:t>
      </w:r>
      <w:r w:rsidRPr="00D96526">
        <w:rPr>
          <w:lang w:val="fr-FR"/>
        </w:rPr>
        <w:t>(Mesure de la largeur de la jante d’essai)</w:t>
      </w:r>
      <w:r>
        <w:rPr>
          <w:lang w:val="fr-FR"/>
        </w:rPr>
        <w:t> :</w:t>
      </w:r>
    </w:p>
    <w:p w:rsidR="00595CF5" w:rsidRPr="005B3905" w:rsidRDefault="00595CF5" w:rsidP="00595CF5">
      <w:pPr>
        <w:pStyle w:val="SingleTxtG"/>
        <w:ind w:left="2268"/>
        <w:rPr>
          <w:lang w:val="fr-FR"/>
        </w:rPr>
      </w:pPr>
      <w:r w:rsidRPr="00257801">
        <w:rPr>
          <w:lang w:val="fr-FR"/>
        </w:rPr>
        <w:t xml:space="preserve">Série 02 d’amendements au Règlement </w:t>
      </w:r>
      <w:r w:rsidRPr="00D47D64">
        <w:rPr>
          <w:rFonts w:eastAsia="MS Mincho"/>
          <w:szCs w:val="22"/>
          <w:lang w:val="fr-FR"/>
        </w:rPr>
        <w:t>n</w:t>
      </w:r>
      <w:r w:rsidRPr="00D47D64">
        <w:rPr>
          <w:rFonts w:eastAsia="MS Mincho"/>
          <w:szCs w:val="22"/>
          <w:vertAlign w:val="superscript"/>
          <w:lang w:val="fr-FR"/>
        </w:rPr>
        <w:t>o</w:t>
      </w:r>
      <w:r>
        <w:rPr>
          <w:lang w:val="fr-FR"/>
        </w:rPr>
        <w:t> </w:t>
      </w:r>
      <w:r w:rsidRPr="00257801">
        <w:rPr>
          <w:lang w:val="fr-FR"/>
        </w:rPr>
        <w:t xml:space="preserve">117 (Pneumatiques </w:t>
      </w:r>
      <w:r>
        <w:rPr>
          <w:lang w:val="fr-FR"/>
        </w:rPr>
        <w:t>−</w:t>
      </w:r>
      <w:r w:rsidRPr="00257801">
        <w:rPr>
          <w:lang w:val="fr-FR"/>
        </w:rPr>
        <w:t xml:space="preserve"> Résistance au roulement, bruit de roulement et adhérence)</w:t>
      </w:r>
      <w:r>
        <w:rPr>
          <w:lang w:val="fr-FR"/>
        </w:rPr>
        <w:t> </w:t>
      </w:r>
      <w:r w:rsidRPr="00257801">
        <w:rPr>
          <w:lang w:val="fr-FR"/>
        </w:rPr>
        <w:t>: document ECE/TRANS/</w:t>
      </w:r>
      <w:r w:rsidR="003D0717">
        <w:rPr>
          <w:lang w:val="fr-FR"/>
        </w:rPr>
        <w:t xml:space="preserve"> </w:t>
      </w:r>
      <w:r w:rsidRPr="00257801">
        <w:rPr>
          <w:lang w:val="fr-FR"/>
        </w:rPr>
        <w:t>WP.29/2010/63, tel qu’amendé par le paragraphe 45 du rapport de la 151</w:t>
      </w:r>
      <w:r w:rsidRPr="00CB0919">
        <w:rPr>
          <w:vertAlign w:val="superscript"/>
          <w:lang w:val="fr-FR"/>
        </w:rPr>
        <w:t>e</w:t>
      </w:r>
      <w:r>
        <w:rPr>
          <w:lang w:val="fr-FR"/>
        </w:rPr>
        <w:t> </w:t>
      </w:r>
      <w:r w:rsidRPr="00257801">
        <w:rPr>
          <w:lang w:val="fr-FR"/>
        </w:rPr>
        <w:t>session du WP.29 (ECE/TRANS/WP.29/1085</w:t>
      </w:r>
      <w:r w:rsidRPr="005B3905">
        <w:rPr>
          <w:lang w:val="fr-FR"/>
        </w:rPr>
        <w:t>)</w:t>
      </w:r>
      <w:r>
        <w:rPr>
          <w:lang w:val="fr-FR"/>
        </w:rPr>
        <w:t> </w:t>
      </w:r>
      <w:r w:rsidRPr="005B3905">
        <w:rPr>
          <w:lang w:val="fr-FR"/>
        </w:rPr>
        <w:t>;</w:t>
      </w:r>
    </w:p>
    <w:p w:rsidR="00595CF5" w:rsidRPr="005B3905" w:rsidRDefault="00595CF5" w:rsidP="00595CF5">
      <w:pPr>
        <w:pStyle w:val="SingleTxtG"/>
        <w:ind w:left="2268"/>
        <w:rPr>
          <w:lang w:val="fr-FR"/>
        </w:rPr>
      </w:pPr>
      <w:r w:rsidRPr="00257801">
        <w:rPr>
          <w:b/>
          <w:lang w:val="fr-FR"/>
        </w:rPr>
        <w:t>L’annexe</w:t>
      </w:r>
      <w:r>
        <w:rPr>
          <w:b/>
          <w:lang w:val="fr-FR"/>
        </w:rPr>
        <w:t> </w:t>
      </w:r>
      <w:r w:rsidRPr="00257801">
        <w:rPr>
          <w:b/>
          <w:lang w:val="fr-FR"/>
        </w:rPr>
        <w:t xml:space="preserve">14 </w:t>
      </w:r>
      <w:r w:rsidRPr="00257801">
        <w:rPr>
          <w:lang w:val="fr-FR"/>
        </w:rPr>
        <w:t>(Méthode de la décélération : Mesures et traitement des données en vue d’obtenir la valeur de décélération sous la forme différentielle dω/dt) est devenue l’annexe</w:t>
      </w:r>
      <w:r>
        <w:rPr>
          <w:lang w:val="fr-FR"/>
        </w:rPr>
        <w:t> </w:t>
      </w:r>
      <w:r w:rsidRPr="00257801">
        <w:rPr>
          <w:lang w:val="fr-FR"/>
        </w:rPr>
        <w:t xml:space="preserve">10 par décision prise à la quatre-vingtième session </w:t>
      </w:r>
      <w:r>
        <w:rPr>
          <w:lang w:val="fr-FR"/>
        </w:rPr>
        <w:t>du GRRF ;</w:t>
      </w:r>
    </w:p>
    <w:p w:rsidR="00595CF5" w:rsidRPr="00257801" w:rsidRDefault="00595CF5" w:rsidP="00595CF5">
      <w:pPr>
        <w:pStyle w:val="SingleTxtG"/>
        <w:ind w:left="2268"/>
        <w:rPr>
          <w:lang w:val="fr-FR"/>
        </w:rPr>
      </w:pPr>
      <w:r w:rsidRPr="00257801">
        <w:rPr>
          <w:b/>
          <w:lang w:val="fr-FR"/>
        </w:rPr>
        <w:t>Annexe</w:t>
      </w:r>
      <w:r>
        <w:rPr>
          <w:b/>
          <w:lang w:val="fr-FR"/>
        </w:rPr>
        <w:t> </w:t>
      </w:r>
      <w:r w:rsidRPr="00257801">
        <w:rPr>
          <w:b/>
          <w:lang w:val="fr-FR"/>
        </w:rPr>
        <w:t xml:space="preserve">10 </w:t>
      </w:r>
      <w:r w:rsidRPr="00257801">
        <w:rPr>
          <w:lang w:val="fr-FR"/>
        </w:rPr>
        <w:t>(Méthode de la décélération : Mesures et traitement des données en vue d’obtenir la valeur de décélération sous la forme différentielle dω/dt)</w:t>
      </w:r>
      <w:r>
        <w:rPr>
          <w:lang w:val="fr-FR"/>
        </w:rPr>
        <w:t> :</w:t>
      </w:r>
    </w:p>
    <w:p w:rsidR="00595CF5" w:rsidRPr="005B3905" w:rsidRDefault="00595CF5" w:rsidP="00595CF5">
      <w:pPr>
        <w:pStyle w:val="SingleTxtG"/>
        <w:ind w:left="2268"/>
        <w:rPr>
          <w:lang w:val="fr-FR"/>
        </w:rPr>
      </w:pPr>
      <w:r w:rsidRPr="00257801">
        <w:rPr>
          <w:lang w:val="fr-FR"/>
        </w:rPr>
        <w:t xml:space="preserve">Complément 7 à la série 02 d’amendements au Règlement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257801">
        <w:rPr>
          <w:lang w:val="fr-FR"/>
        </w:rPr>
        <w:t>117 (Pneumatiques − Résistance au roulement, bruit de roulement et adhérence)</w:t>
      </w:r>
      <w:r w:rsidR="003D0717">
        <w:rPr>
          <w:lang w:val="fr-FR"/>
        </w:rPr>
        <w:t> </w:t>
      </w:r>
      <w:r w:rsidRPr="00257801">
        <w:rPr>
          <w:lang w:val="fr-FR"/>
        </w:rPr>
        <w:t>: document ECE/TRANS/WP.29/2015/5, adopté à la 165</w:t>
      </w:r>
      <w:r w:rsidRPr="00CB0919">
        <w:rPr>
          <w:vertAlign w:val="superscript"/>
          <w:lang w:val="fr-FR"/>
        </w:rPr>
        <w:t>e</w:t>
      </w:r>
      <w:r>
        <w:rPr>
          <w:lang w:val="fr-FR"/>
        </w:rPr>
        <w:t> </w:t>
      </w:r>
      <w:r w:rsidRPr="00257801">
        <w:rPr>
          <w:lang w:val="fr-FR"/>
        </w:rPr>
        <w:t>session du WP.29 (ECE/TRANS/WP.29/1114</w:t>
      </w:r>
      <w:r w:rsidRPr="005B3905">
        <w:rPr>
          <w:lang w:val="fr-FR"/>
        </w:rPr>
        <w:t>)</w:t>
      </w:r>
      <w:r>
        <w:rPr>
          <w:lang w:val="fr-FR"/>
        </w:rPr>
        <w:t> </w:t>
      </w:r>
      <w:r w:rsidRPr="005B3905">
        <w:rPr>
          <w:lang w:val="fr-FR"/>
        </w:rPr>
        <w:t>;</w:t>
      </w:r>
    </w:p>
    <w:p w:rsidR="00595CF5" w:rsidRPr="005B3905" w:rsidRDefault="00595CF5" w:rsidP="00595CF5">
      <w:pPr>
        <w:pStyle w:val="SingleTxtG"/>
        <w:ind w:left="2268" w:hanging="567"/>
        <w:rPr>
          <w:lang w:val="fr-FR"/>
        </w:rPr>
      </w:pPr>
      <w:r w:rsidRPr="005B3905">
        <w:rPr>
          <w:lang w:val="fr-FR"/>
        </w:rPr>
        <w:t>xii)</w:t>
      </w:r>
      <w:r w:rsidRPr="005B3905">
        <w:rPr>
          <w:lang w:val="fr-FR"/>
        </w:rPr>
        <w:tab/>
      </w:r>
      <w:r w:rsidRPr="00257801">
        <w:rPr>
          <w:noProof/>
          <w:lang w:val="fr-FR"/>
        </w:rPr>
        <w:t>Suppression d’annexes</w:t>
      </w:r>
      <w:r>
        <w:rPr>
          <w:noProof/>
          <w:lang w:val="fr-FR"/>
        </w:rPr>
        <w:t> </w:t>
      </w:r>
      <w:r w:rsidRPr="005B3905">
        <w:rPr>
          <w:lang w:val="fr-FR"/>
        </w:rPr>
        <w:t>:</w:t>
      </w:r>
    </w:p>
    <w:p w:rsidR="00595CF5" w:rsidRPr="005B3905" w:rsidRDefault="00595CF5" w:rsidP="00595CF5">
      <w:pPr>
        <w:pStyle w:val="SingleTxtG"/>
        <w:ind w:left="2268"/>
        <w:rPr>
          <w:lang w:val="fr-FR"/>
        </w:rPr>
      </w:pPr>
      <w:r w:rsidRPr="00257801">
        <w:rPr>
          <w:b/>
          <w:lang w:val="fr-FR"/>
        </w:rPr>
        <w:t>L’annexe</w:t>
      </w:r>
      <w:r>
        <w:rPr>
          <w:b/>
          <w:lang w:val="fr-FR"/>
        </w:rPr>
        <w:t> </w:t>
      </w:r>
      <w:r w:rsidRPr="00257801">
        <w:rPr>
          <w:b/>
          <w:lang w:val="fr-FR"/>
        </w:rPr>
        <w:t xml:space="preserve">6 </w:t>
      </w:r>
      <w:r w:rsidRPr="00257801">
        <w:rPr>
          <w:lang w:val="fr-FR"/>
        </w:rPr>
        <w:t>(Caractéristiques du terrain d’essai pour la mesure du bruit de roulement) a été supprimée par décision prise à la q</w:t>
      </w:r>
      <w:r>
        <w:rPr>
          <w:lang w:val="fr-FR"/>
        </w:rPr>
        <w:t>uatre-vingtième session du GRRF ;</w:t>
      </w:r>
    </w:p>
    <w:p w:rsidR="00595CF5" w:rsidRPr="005B3905" w:rsidRDefault="00595CF5" w:rsidP="00595CF5">
      <w:pPr>
        <w:pStyle w:val="SingleTxtG"/>
        <w:ind w:left="2268"/>
        <w:rPr>
          <w:lang w:val="fr-FR"/>
        </w:rPr>
      </w:pPr>
      <w:r w:rsidRPr="00257801">
        <w:rPr>
          <w:b/>
          <w:lang w:val="fr-FR"/>
        </w:rPr>
        <w:t>L’annexe</w:t>
      </w:r>
      <w:r>
        <w:t> </w:t>
      </w:r>
      <w:r w:rsidRPr="00257801">
        <w:rPr>
          <w:b/>
          <w:lang w:val="fr-FR"/>
        </w:rPr>
        <w:t xml:space="preserve">8 </w:t>
      </w:r>
      <w:r w:rsidRPr="00257801">
        <w:rPr>
          <w:lang w:val="fr-FR"/>
        </w:rPr>
        <w:t xml:space="preserve">(Procès-verbal d’essai </w:t>
      </w:r>
      <w:r>
        <w:rPr>
          <w:lang w:val="fr-FR"/>
        </w:rPr>
        <w:t>−</w:t>
      </w:r>
      <w:r w:rsidRPr="00257801">
        <w:rPr>
          <w:lang w:val="fr-FR"/>
        </w:rPr>
        <w:t xml:space="preserve"> Mesure du bruit de roulement des pneumatiques) a été supprimée par décision prise à la quatre-vingtième session du GRRF</w:t>
      </w:r>
      <w:r>
        <w:rPr>
          <w:lang w:val="fr-FR"/>
        </w:rPr>
        <w:t> ;</w:t>
      </w:r>
    </w:p>
    <w:p w:rsidR="00595CF5" w:rsidRPr="005B3905" w:rsidRDefault="00595CF5" w:rsidP="00595CF5">
      <w:pPr>
        <w:pStyle w:val="SingleTxtG"/>
        <w:ind w:left="2268"/>
        <w:rPr>
          <w:lang w:val="fr-FR"/>
        </w:rPr>
      </w:pPr>
      <w:r w:rsidRPr="00257801">
        <w:rPr>
          <w:b/>
          <w:lang w:val="fr-FR"/>
        </w:rPr>
        <w:t>L’annexe</w:t>
      </w:r>
      <w:r>
        <w:rPr>
          <w:b/>
          <w:lang w:val="fr-FR"/>
        </w:rPr>
        <w:t> </w:t>
      </w:r>
      <w:r w:rsidRPr="00257801">
        <w:rPr>
          <w:b/>
          <w:lang w:val="fr-FR"/>
        </w:rPr>
        <w:t>9</w:t>
      </w:r>
      <w:r w:rsidRPr="00675912">
        <w:rPr>
          <w:lang w:val="fr-FR"/>
        </w:rPr>
        <w:t xml:space="preserve"> </w:t>
      </w:r>
      <w:r w:rsidRPr="00257801">
        <w:rPr>
          <w:lang w:val="fr-FR"/>
        </w:rPr>
        <w:t>(Procès-verbal d’essai − Mesure de l’adhérence sur sol mouillé) a été supprimée par décision prise à la quatre-vingtième session du GRRF.</w:t>
      </w:r>
    </w:p>
    <w:p w:rsidR="00595CF5" w:rsidRPr="005B3905" w:rsidRDefault="00595CF5" w:rsidP="00FA6E2B">
      <w:pPr>
        <w:pStyle w:val="H1G"/>
        <w:rPr>
          <w:lang w:val="fr-FR"/>
        </w:rPr>
      </w:pPr>
      <w:r w:rsidRPr="005B3905">
        <w:rPr>
          <w:lang w:val="fr-FR"/>
        </w:rPr>
        <w:tab/>
        <w:t>D.</w:t>
      </w:r>
      <w:r w:rsidRPr="005B3905">
        <w:rPr>
          <w:lang w:val="fr-FR"/>
        </w:rPr>
        <w:tab/>
      </w:r>
      <w:r w:rsidRPr="00675912">
        <w:t>Activités</w:t>
      </w:r>
      <w:r>
        <w:rPr>
          <w:lang w:val="fr-FR"/>
        </w:rPr>
        <w:t xml:space="preserve"> futures</w:t>
      </w:r>
    </w:p>
    <w:p w:rsidR="00595CF5" w:rsidRPr="00675912" w:rsidRDefault="00595CF5" w:rsidP="00FA6E2B">
      <w:pPr>
        <w:pStyle w:val="SingleTxtG"/>
        <w:numPr>
          <w:ilvl w:val="0"/>
          <w:numId w:val="22"/>
        </w:numPr>
        <w:ind w:left="1134" w:firstLine="0"/>
        <w:rPr>
          <w:lang w:val="fr-FR"/>
        </w:rPr>
      </w:pPr>
      <w:r w:rsidRPr="00675912">
        <w:rPr>
          <w:lang w:val="fr-FR"/>
        </w:rPr>
        <w:t xml:space="preserve">Les travaux restant à effectuer concernent la mise au point d’essais harmonisés pour les pneumatiques des catégories LT/C, à savoir (phase 2 de l’élaboration du RTM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Pr="00675912">
        <w:rPr>
          <w:lang w:val="fr-FR"/>
        </w:rPr>
        <w:t>16</w:t>
      </w:r>
      <w:r w:rsidRPr="00675912">
        <w:rPr>
          <w:lang w:val="fr-FR" w:eastAsia="ko-KR"/>
        </w:rPr>
        <w:t>)</w:t>
      </w:r>
      <w:r>
        <w:rPr>
          <w:lang w:val="fr-FR" w:eastAsia="ko-KR"/>
        </w:rPr>
        <w:t> </w:t>
      </w:r>
      <w:r w:rsidRPr="00675912">
        <w:rPr>
          <w:lang w:val="fr-FR" w:eastAsia="ko-KR"/>
        </w:rPr>
        <w:t>:</w:t>
      </w:r>
    </w:p>
    <w:p w:rsidR="00595CF5" w:rsidRPr="005B3905" w:rsidRDefault="00595CF5" w:rsidP="00595CF5">
      <w:pPr>
        <w:pStyle w:val="SingleTxtG"/>
        <w:ind w:left="2268" w:hanging="567"/>
        <w:rPr>
          <w:lang w:val="fr-FR"/>
        </w:rPr>
      </w:pPr>
      <w:r w:rsidRPr="005B3905">
        <w:rPr>
          <w:lang w:val="fr-FR"/>
        </w:rPr>
        <w:t>a)</w:t>
      </w:r>
      <w:r w:rsidRPr="005B3905">
        <w:rPr>
          <w:lang w:val="fr-FR"/>
        </w:rPr>
        <w:tab/>
      </w:r>
      <w:r w:rsidRPr="00257801">
        <w:rPr>
          <w:lang w:val="fr-FR"/>
        </w:rPr>
        <w:t>Dimensions physiques</w:t>
      </w:r>
      <w:r>
        <w:rPr>
          <w:lang w:val="fr-FR"/>
        </w:rPr>
        <w:t> </w:t>
      </w:r>
      <w:r w:rsidRPr="005B3905">
        <w:rPr>
          <w:lang w:val="fr-FR"/>
        </w:rPr>
        <w:t>;</w:t>
      </w:r>
    </w:p>
    <w:p w:rsidR="00595CF5" w:rsidRPr="005B3905" w:rsidRDefault="00595CF5" w:rsidP="00595CF5">
      <w:pPr>
        <w:pStyle w:val="SingleTxtG"/>
        <w:ind w:left="2268" w:hanging="567"/>
        <w:rPr>
          <w:lang w:val="fr-FR"/>
        </w:rPr>
      </w:pPr>
      <w:r w:rsidRPr="005B3905">
        <w:rPr>
          <w:lang w:val="fr-FR"/>
        </w:rPr>
        <w:t>b)</w:t>
      </w:r>
      <w:r w:rsidRPr="005B3905">
        <w:rPr>
          <w:lang w:val="fr-FR"/>
        </w:rPr>
        <w:tab/>
      </w:r>
      <w:r w:rsidRPr="00257801">
        <w:rPr>
          <w:lang w:val="fr-FR"/>
        </w:rPr>
        <w:t>Marquages</w:t>
      </w:r>
      <w:r>
        <w:rPr>
          <w:lang w:val="fr-FR"/>
        </w:rPr>
        <w:t> </w:t>
      </w:r>
      <w:r w:rsidRPr="005B3905">
        <w:rPr>
          <w:lang w:val="fr-FR"/>
        </w:rPr>
        <w:t>;</w:t>
      </w:r>
    </w:p>
    <w:p w:rsidR="00595CF5" w:rsidRPr="005B3905" w:rsidRDefault="00595CF5" w:rsidP="00595CF5">
      <w:pPr>
        <w:pStyle w:val="SingleTxtG"/>
        <w:ind w:left="2268" w:hanging="567"/>
        <w:rPr>
          <w:lang w:val="fr-FR"/>
        </w:rPr>
      </w:pPr>
      <w:r w:rsidRPr="005B3905">
        <w:rPr>
          <w:lang w:val="fr-FR"/>
        </w:rPr>
        <w:t>c)</w:t>
      </w:r>
      <w:r w:rsidRPr="005B3905">
        <w:rPr>
          <w:lang w:val="fr-FR"/>
        </w:rPr>
        <w:tab/>
      </w:r>
      <w:r w:rsidRPr="00257801">
        <w:rPr>
          <w:lang w:val="fr-FR"/>
        </w:rPr>
        <w:t>Essai à grande vitesse</w:t>
      </w:r>
      <w:r>
        <w:rPr>
          <w:lang w:val="fr-FR"/>
        </w:rPr>
        <w:t> </w:t>
      </w:r>
      <w:r w:rsidRPr="005B3905">
        <w:rPr>
          <w:lang w:val="fr-FR"/>
        </w:rPr>
        <w:t>;</w:t>
      </w:r>
    </w:p>
    <w:p w:rsidR="00595CF5" w:rsidRPr="005B3905" w:rsidRDefault="00595CF5" w:rsidP="00595CF5">
      <w:pPr>
        <w:pStyle w:val="SingleTxtG"/>
        <w:ind w:left="2268" w:hanging="567"/>
        <w:rPr>
          <w:lang w:val="fr-FR"/>
        </w:rPr>
      </w:pPr>
      <w:r w:rsidRPr="005B3905">
        <w:rPr>
          <w:lang w:val="fr-FR"/>
        </w:rPr>
        <w:t>d)</w:t>
      </w:r>
      <w:r w:rsidRPr="005B3905">
        <w:rPr>
          <w:lang w:val="fr-FR"/>
        </w:rPr>
        <w:tab/>
      </w:r>
      <w:r w:rsidRPr="00257801">
        <w:rPr>
          <w:lang w:val="fr-FR"/>
        </w:rPr>
        <w:t>Essai d’endurance</w:t>
      </w:r>
      <w:r w:rsidRPr="005B3905">
        <w:rPr>
          <w:lang w:val="fr-FR"/>
        </w:rPr>
        <w:t>.</w:t>
      </w:r>
    </w:p>
    <w:p w:rsidR="00595CF5" w:rsidRPr="005B3905" w:rsidRDefault="00595CF5" w:rsidP="00FA6E2B">
      <w:pPr>
        <w:pStyle w:val="SingleTxtG"/>
        <w:numPr>
          <w:ilvl w:val="0"/>
          <w:numId w:val="22"/>
        </w:numPr>
        <w:ind w:left="1134" w:firstLine="0"/>
        <w:rPr>
          <w:lang w:val="fr-FR"/>
        </w:rPr>
      </w:pPr>
      <w:r w:rsidRPr="00257801">
        <w:rPr>
          <w:lang w:val="fr-FR"/>
        </w:rPr>
        <w:t>Au cours de la phase 2, la section 3.7 (Essai de résistance au détalonnage des pneumatiques sans chambre pour voitures particulières) devra également être modifiée selon les recommandations de la Rubber Manufacturers Association</w:t>
      </w:r>
      <w:r>
        <w:rPr>
          <w:lang w:val="fr-FR"/>
        </w:rPr>
        <w:t>,</w:t>
      </w:r>
      <w:r w:rsidRPr="00257801">
        <w:rPr>
          <w:lang w:val="fr-FR"/>
        </w:rPr>
        <w:t xml:space="preserve"> une fois que la norme F2663-15 de l’American Society for Testing and Materials aura été publiée dans un règlement de l’Administration nationale de la sécurité routière des États-Unis</w:t>
      </w:r>
      <w:r w:rsidRPr="005B3905">
        <w:rPr>
          <w:lang w:val="fr-FR"/>
        </w:rPr>
        <w:t>.</w:t>
      </w:r>
    </w:p>
    <w:p w:rsidR="00595CF5" w:rsidRPr="00675912" w:rsidRDefault="00595CF5" w:rsidP="00FA6E2B">
      <w:pPr>
        <w:pStyle w:val="SingleTxtG"/>
        <w:numPr>
          <w:ilvl w:val="0"/>
          <w:numId w:val="22"/>
        </w:numPr>
        <w:ind w:left="1134" w:firstLine="0"/>
        <w:rPr>
          <w:lang w:val="fr-FR"/>
        </w:rPr>
      </w:pPr>
      <w:r w:rsidRPr="00B02EDE">
        <w:rPr>
          <w:lang w:val="fr-FR"/>
        </w:rPr>
        <w:t xml:space="preserve">Les travaux sur l’amendement 2 au </w:t>
      </w:r>
      <w:r>
        <w:rPr>
          <w:lang w:val="fr-FR"/>
        </w:rPr>
        <w:t>RTM</w:t>
      </w:r>
      <w:r w:rsidRPr="00B02EDE">
        <w:rPr>
          <w:lang w:val="fr-FR"/>
        </w:rPr>
        <w:t xml:space="preserve">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sidR="003D0717">
        <w:rPr>
          <w:lang w:val="fr-FR"/>
        </w:rPr>
        <w:t>16</w:t>
      </w:r>
      <w:r w:rsidRPr="00B02EDE">
        <w:rPr>
          <w:lang w:val="fr-FR"/>
        </w:rPr>
        <w:t>, correspondant à la phase</w:t>
      </w:r>
      <w:r>
        <w:rPr>
          <w:lang w:val="fr-FR"/>
        </w:rPr>
        <w:t> </w:t>
      </w:r>
      <w:r w:rsidRPr="00B02EDE">
        <w:rPr>
          <w:lang w:val="fr-FR"/>
        </w:rPr>
        <w:t>2 de son é</w:t>
      </w:r>
      <w:r>
        <w:rPr>
          <w:lang w:val="fr-FR"/>
        </w:rPr>
        <w:t xml:space="preserve">laboration, pourront commencer </w:t>
      </w:r>
      <w:r w:rsidRPr="00B02EDE">
        <w:rPr>
          <w:lang w:val="fr-FR"/>
        </w:rPr>
        <w:t>après l’adoption de l’amendement 1</w:t>
      </w:r>
      <w:r w:rsidRPr="005B3905">
        <w:rPr>
          <w:lang w:val="fr-FR"/>
        </w:rPr>
        <w:t>.</w:t>
      </w:r>
    </w:p>
    <w:p w:rsidR="00595CF5" w:rsidRPr="005B3905" w:rsidRDefault="00595CF5" w:rsidP="00CC5F2E">
      <w:pPr>
        <w:pStyle w:val="H1G"/>
        <w:rPr>
          <w:lang w:val="fr-FR"/>
        </w:rPr>
      </w:pPr>
      <w:r w:rsidRPr="005B3905">
        <w:rPr>
          <w:lang w:val="fr-FR"/>
        </w:rPr>
        <w:tab/>
        <w:t>E.</w:t>
      </w:r>
      <w:r w:rsidRPr="005B3905">
        <w:rPr>
          <w:lang w:val="fr-FR"/>
        </w:rPr>
        <w:tab/>
        <w:t>Conclusion</w:t>
      </w:r>
    </w:p>
    <w:p w:rsidR="00595CF5" w:rsidRDefault="00595CF5" w:rsidP="00FA6E2B">
      <w:pPr>
        <w:pStyle w:val="SingleTxtG"/>
        <w:numPr>
          <w:ilvl w:val="0"/>
          <w:numId w:val="22"/>
        </w:numPr>
        <w:ind w:left="1134" w:firstLine="0"/>
        <w:rPr>
          <w:lang w:val="fr-FR"/>
        </w:rPr>
      </w:pPr>
      <w:r w:rsidRPr="00B02EDE">
        <w:rPr>
          <w:lang w:val="fr-FR" w:eastAsia="ko-KR"/>
        </w:rPr>
        <w:t>Pour</w:t>
      </w:r>
      <w:r w:rsidRPr="00B02EDE">
        <w:rPr>
          <w:lang w:val="fr-FR"/>
        </w:rPr>
        <w:t xml:space="preserve"> donner suite à l’adoption du projet d’amendement 1 au</w:t>
      </w:r>
      <w:r>
        <w:rPr>
          <w:lang w:val="fr-FR"/>
        </w:rPr>
        <w:t xml:space="preserve"> RTM </w:t>
      </w:r>
      <w:r w:rsidRPr="001E07F6">
        <w:rPr>
          <w:rFonts w:eastAsia="MS Mincho"/>
          <w:spacing w:val="-2"/>
          <w:szCs w:val="22"/>
          <w:lang w:val="fr-FR"/>
        </w:rPr>
        <w:t>n</w:t>
      </w:r>
      <w:r w:rsidRPr="001E07F6">
        <w:rPr>
          <w:rFonts w:eastAsia="MS Mincho"/>
          <w:spacing w:val="-2"/>
          <w:szCs w:val="22"/>
          <w:vertAlign w:val="superscript"/>
          <w:lang w:val="fr-FR"/>
        </w:rPr>
        <w:t>o</w:t>
      </w:r>
      <w:r>
        <w:rPr>
          <w:spacing w:val="-2"/>
          <w:lang w:val="fr-FR"/>
        </w:rPr>
        <w:t> </w:t>
      </w:r>
      <w:r>
        <w:rPr>
          <w:lang w:val="fr-FR"/>
        </w:rPr>
        <w:t>16 à sa quatre</w:t>
      </w:r>
      <w:r w:rsidR="00FA6E2B">
        <w:rPr>
          <w:lang w:val="fr-FR"/>
        </w:rPr>
        <w:noBreakHyphen/>
      </w:r>
      <w:r>
        <w:rPr>
          <w:lang w:val="fr-FR"/>
        </w:rPr>
        <w:t>vingt</w:t>
      </w:r>
      <w:r w:rsidRPr="00F8059E">
        <w:rPr>
          <w:spacing w:val="-2"/>
          <w:lang w:val="fr-FR"/>
        </w:rPr>
        <w:t>-unième session, le GRRF prie l’AC.3 de voter l’inscription</w:t>
      </w:r>
      <w:r w:rsidRPr="00B02EDE">
        <w:rPr>
          <w:lang w:val="fr-FR"/>
        </w:rPr>
        <w:t xml:space="preserve"> dudit amendement 1</w:t>
      </w:r>
      <w:r w:rsidRPr="005B3905">
        <w:rPr>
          <w:lang w:val="fr-FR"/>
        </w:rPr>
        <w:t xml:space="preserve"> (</w:t>
      </w:r>
      <w:r w:rsidRPr="00B02EDE">
        <w:rPr>
          <w:lang w:val="fr-FR"/>
        </w:rPr>
        <w:t>comme cela</w:t>
      </w:r>
      <w:r>
        <w:rPr>
          <w:lang w:val="fr-FR"/>
        </w:rPr>
        <w:t xml:space="preserve"> a été proposé dans le document</w:t>
      </w:r>
      <w:r w:rsidRPr="005B3905">
        <w:rPr>
          <w:lang w:val="fr-FR"/>
        </w:rPr>
        <w:t xml:space="preserve"> ECE/TRANS/WP.29/2016/70) </w:t>
      </w:r>
      <w:r w:rsidRPr="00B02EDE">
        <w:rPr>
          <w:lang w:val="fr-FR"/>
        </w:rPr>
        <w:t>au Registre mondial</w:t>
      </w:r>
      <w:r w:rsidRPr="005B3905">
        <w:rPr>
          <w:lang w:val="fr-FR"/>
        </w:rPr>
        <w:t>.</w:t>
      </w:r>
    </w:p>
    <w:p w:rsidR="00595CF5" w:rsidRPr="00595CF5" w:rsidRDefault="00595CF5" w:rsidP="00595CF5">
      <w:pPr>
        <w:pStyle w:val="SingleTxtG"/>
        <w:spacing w:before="240" w:after="0"/>
        <w:jc w:val="center"/>
        <w:rPr>
          <w:u w:val="single"/>
        </w:rPr>
      </w:pPr>
      <w:r>
        <w:rPr>
          <w:u w:val="single"/>
        </w:rPr>
        <w:tab/>
      </w:r>
      <w:r>
        <w:rPr>
          <w:u w:val="single"/>
        </w:rPr>
        <w:tab/>
      </w:r>
      <w:r>
        <w:rPr>
          <w:u w:val="single"/>
        </w:rPr>
        <w:tab/>
      </w:r>
    </w:p>
    <w:sectPr w:rsidR="00595CF5" w:rsidRPr="00595CF5" w:rsidSect="00923EA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FF" w:rsidRDefault="00B32FFF"/>
  </w:endnote>
  <w:endnote w:type="continuationSeparator" w:id="0">
    <w:p w:rsidR="00B32FFF" w:rsidRDefault="00B32FFF">
      <w:pPr>
        <w:pStyle w:val="Footer"/>
      </w:pPr>
    </w:p>
  </w:endnote>
  <w:endnote w:type="continuationNotice" w:id="1">
    <w:p w:rsidR="00B32FFF" w:rsidRDefault="00B32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E0" w:rsidRPr="006917E0" w:rsidRDefault="006917E0" w:rsidP="006917E0">
    <w:pPr>
      <w:pStyle w:val="Footer"/>
      <w:tabs>
        <w:tab w:val="right" w:pos="9638"/>
      </w:tabs>
    </w:pPr>
    <w:r w:rsidRPr="006917E0">
      <w:rPr>
        <w:b/>
        <w:sz w:val="18"/>
      </w:rPr>
      <w:fldChar w:fldCharType="begin"/>
    </w:r>
    <w:r w:rsidRPr="006917E0">
      <w:rPr>
        <w:b/>
        <w:sz w:val="18"/>
      </w:rPr>
      <w:instrText xml:space="preserve"> PAGE  \* MERGEFORMAT </w:instrText>
    </w:r>
    <w:r w:rsidRPr="006917E0">
      <w:rPr>
        <w:b/>
        <w:sz w:val="18"/>
      </w:rPr>
      <w:fldChar w:fldCharType="separate"/>
    </w:r>
    <w:r w:rsidR="00947920">
      <w:rPr>
        <w:b/>
        <w:noProof/>
        <w:sz w:val="18"/>
      </w:rPr>
      <w:t>2</w:t>
    </w:r>
    <w:r w:rsidRPr="006917E0">
      <w:rPr>
        <w:b/>
        <w:sz w:val="18"/>
      </w:rPr>
      <w:fldChar w:fldCharType="end"/>
    </w:r>
    <w:r>
      <w:rPr>
        <w:b/>
        <w:sz w:val="18"/>
      </w:rPr>
      <w:tab/>
    </w:r>
    <w:r>
      <w:t>GE.1</w:t>
    </w:r>
    <w:r w:rsidR="00B8291F">
      <w:t>7</w:t>
    </w:r>
    <w:r>
      <w:t>-</w:t>
    </w:r>
    <w:r w:rsidR="00B8291F">
      <w:t>03781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E0" w:rsidRPr="006917E0" w:rsidRDefault="006917E0" w:rsidP="006917E0">
    <w:pPr>
      <w:pStyle w:val="Footer"/>
      <w:tabs>
        <w:tab w:val="right" w:pos="9638"/>
      </w:tabs>
      <w:rPr>
        <w:b/>
        <w:sz w:val="18"/>
      </w:rPr>
    </w:pPr>
    <w:r>
      <w:t>GE.1</w:t>
    </w:r>
    <w:r w:rsidR="00B8291F">
      <w:t>7</w:t>
    </w:r>
    <w:r>
      <w:t>-</w:t>
    </w:r>
    <w:r w:rsidR="00B8291F">
      <w:t>03781</w:t>
    </w:r>
    <w:r>
      <w:tab/>
    </w:r>
    <w:r w:rsidRPr="006917E0">
      <w:rPr>
        <w:b/>
        <w:sz w:val="18"/>
      </w:rPr>
      <w:fldChar w:fldCharType="begin"/>
    </w:r>
    <w:r w:rsidRPr="006917E0">
      <w:rPr>
        <w:b/>
        <w:sz w:val="18"/>
      </w:rPr>
      <w:instrText xml:space="preserve"> PAGE  \* MERGEFORMAT </w:instrText>
    </w:r>
    <w:r w:rsidRPr="006917E0">
      <w:rPr>
        <w:b/>
        <w:sz w:val="18"/>
      </w:rPr>
      <w:fldChar w:fldCharType="separate"/>
    </w:r>
    <w:r w:rsidR="00947920">
      <w:rPr>
        <w:b/>
        <w:noProof/>
        <w:sz w:val="18"/>
      </w:rPr>
      <w:t>9</w:t>
    </w:r>
    <w:r w:rsidRPr="006917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E0" w:rsidRDefault="00904C76" w:rsidP="006917E0">
    <w:pPr>
      <w:ind w:left="1134" w:right="1134"/>
      <w:jc w:val="center"/>
      <w:rPr>
        <w:b/>
        <w:bCs/>
        <w:sz w:val="22"/>
      </w:rPr>
    </w:pPr>
    <w:r>
      <w:rPr>
        <w:noProof/>
        <w:lang w:val="en-GB" w:eastAsia="en-GB"/>
      </w:rPr>
      <w:drawing>
        <wp:inline distT="0" distB="0" distL="0" distR="0" wp14:anchorId="1A8912BA" wp14:editId="17A020F2">
          <wp:extent cx="914400" cy="771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917E0" w:rsidRPr="006917E0" w:rsidRDefault="006917E0" w:rsidP="006917E0">
    <w:pPr>
      <w:jc w:val="center"/>
      <w:rPr>
        <w:b/>
        <w:sz w:val="24"/>
        <w:szCs w:val="24"/>
      </w:rPr>
    </w:pPr>
    <w:r w:rsidRPr="006917E0">
      <w:rPr>
        <w:b/>
        <w:sz w:val="24"/>
        <w:szCs w:val="24"/>
      </w:rPr>
      <w:t>Nations Unies</w:t>
    </w:r>
  </w:p>
  <w:p w:rsidR="001A4672" w:rsidRPr="006917E0" w:rsidRDefault="00555A71" w:rsidP="006917E0">
    <w:pPr>
      <w:pStyle w:val="Footer"/>
      <w:spacing w:before="120"/>
      <w:rPr>
        <w:sz w:val="20"/>
      </w:rPr>
    </w:pPr>
    <w:r>
      <w:rPr>
        <w:noProof/>
        <w:sz w:val="20"/>
        <w:lang w:val="en-GB" w:eastAsia="en-GB"/>
      </w:rPr>
      <w:drawing>
        <wp:anchor distT="0" distB="0" distL="114300" distR="114300" simplePos="0" relativeHeight="251658240" behindDoc="0" locked="0" layoutInCell="1" allowOverlap="1" wp14:anchorId="49F79B14" wp14:editId="3B0539F0">
          <wp:simplePos x="0" y="0"/>
          <wp:positionH relativeFrom="column">
            <wp:posOffset>5467350</wp:posOffset>
          </wp:positionH>
          <wp:positionV relativeFrom="paragraph">
            <wp:posOffset>0</wp:posOffset>
          </wp:positionV>
          <wp:extent cx="638175" cy="638175"/>
          <wp:effectExtent l="0" t="0" r="9525" b="9525"/>
          <wp:wrapNone/>
          <wp:docPr id="2" name="Image 1" descr="https://undocs.org/m2/QRCode.ashx?DS=ECE/TRANS/180/Add.16/Amend.1/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6/Amend.1/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7E0">
      <w:rPr>
        <w:sz w:val="20"/>
      </w:rPr>
      <w:t>GE.</w:t>
    </w:r>
    <w:r w:rsidR="00904C76">
      <w:rPr>
        <w:noProof/>
        <w:lang w:val="en-GB" w:eastAsia="en-GB"/>
      </w:rPr>
      <w:drawing>
        <wp:anchor distT="0" distB="0" distL="114300" distR="114300" simplePos="0" relativeHeight="251657216" behindDoc="0" locked="0" layoutInCell="1" allowOverlap="1" wp14:anchorId="03C5D118" wp14:editId="56F32C4E">
          <wp:simplePos x="0" y="0"/>
          <wp:positionH relativeFrom="margin">
            <wp:posOffset>4319905</wp:posOffset>
          </wp:positionH>
          <wp:positionV relativeFrom="margin">
            <wp:posOffset>8279765</wp:posOffset>
          </wp:positionV>
          <wp:extent cx="1104265" cy="233045"/>
          <wp:effectExtent l="0" t="0" r="635" b="0"/>
          <wp:wrapNone/>
          <wp:docPr id="3"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CF5">
      <w:rPr>
        <w:sz w:val="20"/>
      </w:rPr>
      <w:t>17</w:t>
    </w:r>
    <w:r w:rsidR="006917E0">
      <w:rPr>
        <w:sz w:val="20"/>
      </w:rPr>
      <w:t>-</w:t>
    </w:r>
    <w:r w:rsidR="00595CF5">
      <w:rPr>
        <w:sz w:val="20"/>
      </w:rPr>
      <w:t>03781</w:t>
    </w:r>
    <w:r w:rsidR="006917E0">
      <w:rPr>
        <w:sz w:val="20"/>
      </w:rPr>
      <w:t xml:space="preserve">  (F)</w:t>
    </w:r>
    <w:r w:rsidR="00F25DF3">
      <w:rPr>
        <w:sz w:val="20"/>
      </w:rPr>
      <w:t xml:space="preserve">    </w:t>
    </w:r>
    <w:r w:rsidR="00595CF5">
      <w:rPr>
        <w:sz w:val="20"/>
      </w:rPr>
      <w:t>110517</w:t>
    </w:r>
    <w:r w:rsidR="00F25DF3">
      <w:rPr>
        <w:sz w:val="20"/>
      </w:rPr>
      <w:t xml:space="preserve">    </w:t>
    </w:r>
    <w:r w:rsidR="00595CF5">
      <w:rPr>
        <w:sz w:val="20"/>
      </w:rPr>
      <w:t>150517</w:t>
    </w:r>
    <w:r w:rsidR="006917E0">
      <w:rPr>
        <w:sz w:val="20"/>
      </w:rPr>
      <w:br/>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r w:rsidR="00176EA9" w:rsidRPr="00176EA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FF" w:rsidRPr="00D27D5E" w:rsidRDefault="00B32FFF" w:rsidP="00D27D5E">
      <w:pPr>
        <w:tabs>
          <w:tab w:val="right" w:pos="2155"/>
        </w:tabs>
        <w:spacing w:after="80"/>
        <w:ind w:left="680"/>
        <w:rPr>
          <w:u w:val="single"/>
        </w:rPr>
      </w:pPr>
      <w:r>
        <w:rPr>
          <w:u w:val="single"/>
        </w:rPr>
        <w:tab/>
      </w:r>
    </w:p>
  </w:footnote>
  <w:footnote w:type="continuationSeparator" w:id="0">
    <w:p w:rsidR="00B32FFF" w:rsidRPr="00E35D8F" w:rsidRDefault="00B32FFF" w:rsidP="00E35D8F">
      <w:pPr>
        <w:tabs>
          <w:tab w:val="right" w:pos="2155"/>
        </w:tabs>
        <w:spacing w:after="80"/>
        <w:ind w:left="680"/>
        <w:rPr>
          <w:u w:val="single"/>
        </w:rPr>
      </w:pPr>
      <w:r w:rsidRPr="00E35D8F">
        <w:rPr>
          <w:u w:val="single"/>
        </w:rPr>
        <w:tab/>
      </w:r>
    </w:p>
  </w:footnote>
  <w:footnote w:type="continuationNotice" w:id="1">
    <w:p w:rsidR="00B32FFF" w:rsidRDefault="00B32F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E0" w:rsidRPr="006917E0" w:rsidRDefault="006917E0">
    <w:pPr>
      <w:pStyle w:val="Header"/>
    </w:pPr>
    <w:r>
      <w:t>ECE/TRANS/180/Add.1</w:t>
    </w:r>
    <w:r w:rsidR="00555A71">
      <w:t>6</w:t>
    </w:r>
    <w:r>
      <w:t>/</w:t>
    </w:r>
    <w:r w:rsidR="00555A71">
      <w:t>Amend.1/</w:t>
    </w:r>
    <w:r>
      <w:t>Appendix</w:t>
    </w:r>
    <w:r w:rsidR="00555A71">
      <w:t xml:space="preserve"> </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E0" w:rsidRPr="006917E0" w:rsidRDefault="006917E0" w:rsidP="006917E0">
    <w:pPr>
      <w:pStyle w:val="Header"/>
      <w:jc w:val="right"/>
    </w:pPr>
    <w:r>
      <w:t>ECE/TRANS/180/Add.1</w:t>
    </w:r>
    <w:r w:rsidR="00555A71">
      <w:t>6</w:t>
    </w:r>
    <w:r>
      <w:t>/</w:t>
    </w:r>
    <w:r w:rsidR="00555A71">
      <w:t>Amend.1/</w:t>
    </w:r>
    <w:r>
      <w:t>Appendix1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8F64415"/>
    <w:multiLevelType w:val="hybridMultilevel"/>
    <w:tmpl w:val="E57C86CA"/>
    <w:lvl w:ilvl="0" w:tplc="564AEDFE">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7B71740"/>
    <w:multiLevelType w:val="singleLevel"/>
    <w:tmpl w:val="EECCBEA2"/>
    <w:lvl w:ilvl="0">
      <w:start w:val="1"/>
      <w:numFmt w:val="decimal"/>
      <w:lvlRestart w:val="0"/>
      <w:lvlText w:val="%1."/>
      <w:lvlJc w:val="left"/>
      <w:pPr>
        <w:tabs>
          <w:tab w:val="num" w:pos="475"/>
        </w:tabs>
        <w:ind w:left="0" w:firstLine="0"/>
      </w:pPr>
      <w:rPr>
        <w:w w:val="100"/>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0314E00"/>
    <w:multiLevelType w:val="hybridMultilevel"/>
    <w:tmpl w:val="E0BC4CF0"/>
    <w:lvl w:ilvl="0" w:tplc="8634F0D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nsid w:val="7AB2559D"/>
    <w:multiLevelType w:val="hybridMultilevel"/>
    <w:tmpl w:val="7E3E799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1"/>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16"/>
  </w:num>
  <w:num w:numId="15">
    <w:abstractNumId w:val="15"/>
  </w:num>
  <w:num w:numId="16">
    <w:abstractNumId w:val="18"/>
  </w:num>
  <w:num w:numId="17">
    <w:abstractNumId w:val="13"/>
  </w:num>
  <w:num w:numId="18">
    <w:abstractNumId w:val="10"/>
  </w:num>
  <w:num w:numId="19">
    <w:abstractNumId w:val="17"/>
  </w:num>
  <w:num w:numId="20">
    <w:abstractNumId w:val="19"/>
  </w:num>
  <w:num w:numId="21">
    <w:abstractNumId w:val="20"/>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72"/>
    <w:rsid w:val="00002389"/>
    <w:rsid w:val="00016AC5"/>
    <w:rsid w:val="00044828"/>
    <w:rsid w:val="00080BCE"/>
    <w:rsid w:val="000A147A"/>
    <w:rsid w:val="000E232A"/>
    <w:rsid w:val="000F41F2"/>
    <w:rsid w:val="000F5C15"/>
    <w:rsid w:val="00160540"/>
    <w:rsid w:val="00176EA9"/>
    <w:rsid w:val="00192EEB"/>
    <w:rsid w:val="00193F43"/>
    <w:rsid w:val="001A20FB"/>
    <w:rsid w:val="001A4672"/>
    <w:rsid w:val="001D7F8A"/>
    <w:rsid w:val="001E3FEB"/>
    <w:rsid w:val="001E4A02"/>
    <w:rsid w:val="002137CB"/>
    <w:rsid w:val="00225A8C"/>
    <w:rsid w:val="002659F1"/>
    <w:rsid w:val="00287E79"/>
    <w:rsid w:val="002928F9"/>
    <w:rsid w:val="002A5D07"/>
    <w:rsid w:val="003016B7"/>
    <w:rsid w:val="00317F03"/>
    <w:rsid w:val="00330599"/>
    <w:rsid w:val="00342A76"/>
    <w:rsid w:val="003515AA"/>
    <w:rsid w:val="00374106"/>
    <w:rsid w:val="003976D5"/>
    <w:rsid w:val="003B0F4C"/>
    <w:rsid w:val="003B7F4C"/>
    <w:rsid w:val="003C12C8"/>
    <w:rsid w:val="003D0717"/>
    <w:rsid w:val="003D6C68"/>
    <w:rsid w:val="004159D0"/>
    <w:rsid w:val="00425FD2"/>
    <w:rsid w:val="00464EEE"/>
    <w:rsid w:val="005001DD"/>
    <w:rsid w:val="00543D5E"/>
    <w:rsid w:val="00555A71"/>
    <w:rsid w:val="00556BAC"/>
    <w:rsid w:val="00571F41"/>
    <w:rsid w:val="00595CF5"/>
    <w:rsid w:val="005E0E3D"/>
    <w:rsid w:val="005E5D1F"/>
    <w:rsid w:val="00611D43"/>
    <w:rsid w:val="00612D48"/>
    <w:rsid w:val="006165A4"/>
    <w:rsid w:val="00616B45"/>
    <w:rsid w:val="00630D9B"/>
    <w:rsid w:val="00631953"/>
    <w:rsid w:val="006439EC"/>
    <w:rsid w:val="006619E0"/>
    <w:rsid w:val="0067463C"/>
    <w:rsid w:val="006917E0"/>
    <w:rsid w:val="006B4590"/>
    <w:rsid w:val="006C340C"/>
    <w:rsid w:val="0070347C"/>
    <w:rsid w:val="007176C1"/>
    <w:rsid w:val="00772949"/>
    <w:rsid w:val="007F55CB"/>
    <w:rsid w:val="00844750"/>
    <w:rsid w:val="00873B3C"/>
    <w:rsid w:val="00875D9D"/>
    <w:rsid w:val="00877B29"/>
    <w:rsid w:val="008B44C4"/>
    <w:rsid w:val="008E7FAE"/>
    <w:rsid w:val="00904C76"/>
    <w:rsid w:val="00910930"/>
    <w:rsid w:val="00911BF7"/>
    <w:rsid w:val="00923EA7"/>
    <w:rsid w:val="009329A6"/>
    <w:rsid w:val="00947920"/>
    <w:rsid w:val="00977EC8"/>
    <w:rsid w:val="009D3A8C"/>
    <w:rsid w:val="009E7956"/>
    <w:rsid w:val="00A2492E"/>
    <w:rsid w:val="00A402A4"/>
    <w:rsid w:val="00A574B7"/>
    <w:rsid w:val="00A720C2"/>
    <w:rsid w:val="00AB51C8"/>
    <w:rsid w:val="00AC67A1"/>
    <w:rsid w:val="00AC7977"/>
    <w:rsid w:val="00AE352C"/>
    <w:rsid w:val="00AF1CE8"/>
    <w:rsid w:val="00AF25E1"/>
    <w:rsid w:val="00AF481F"/>
    <w:rsid w:val="00B32E2D"/>
    <w:rsid w:val="00B32FFF"/>
    <w:rsid w:val="00B5193A"/>
    <w:rsid w:val="00B54865"/>
    <w:rsid w:val="00B61990"/>
    <w:rsid w:val="00B8291F"/>
    <w:rsid w:val="00BA595C"/>
    <w:rsid w:val="00BD2521"/>
    <w:rsid w:val="00BF0556"/>
    <w:rsid w:val="00C12EDA"/>
    <w:rsid w:val="00C261F8"/>
    <w:rsid w:val="00C33100"/>
    <w:rsid w:val="00C60D21"/>
    <w:rsid w:val="00CA6A02"/>
    <w:rsid w:val="00CC5F2E"/>
    <w:rsid w:val="00CD1A71"/>
    <w:rsid w:val="00CD1FBB"/>
    <w:rsid w:val="00CD6BDA"/>
    <w:rsid w:val="00CE42DF"/>
    <w:rsid w:val="00CE58AF"/>
    <w:rsid w:val="00D016B5"/>
    <w:rsid w:val="00D034F1"/>
    <w:rsid w:val="00D27D5E"/>
    <w:rsid w:val="00D35539"/>
    <w:rsid w:val="00D35B2D"/>
    <w:rsid w:val="00D532B0"/>
    <w:rsid w:val="00D75AF2"/>
    <w:rsid w:val="00DE6D90"/>
    <w:rsid w:val="00DF002F"/>
    <w:rsid w:val="00E0244D"/>
    <w:rsid w:val="00E057F7"/>
    <w:rsid w:val="00E35D8F"/>
    <w:rsid w:val="00E52A69"/>
    <w:rsid w:val="00E81E94"/>
    <w:rsid w:val="00E82607"/>
    <w:rsid w:val="00EB0D87"/>
    <w:rsid w:val="00EF5431"/>
    <w:rsid w:val="00F25DF3"/>
    <w:rsid w:val="00F8059E"/>
    <w:rsid w:val="00F81533"/>
    <w:rsid w:val="00F953B4"/>
    <w:rsid w:val="00FA5A79"/>
    <w:rsid w:val="00FA6E2B"/>
    <w:rsid w:val="00FB0BFE"/>
    <w:rsid w:val="00FB4C51"/>
    <w:rsid w:val="00FB64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line number"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ParNoG">
    <w:name w:val="_ParNo_G"/>
    <w:basedOn w:val="SingleTxtG"/>
    <w:rsid w:val="00AF481F"/>
    <w:pPr>
      <w:numPr>
        <w:numId w:val="18"/>
      </w:numPr>
    </w:p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basedOn w:val="DefaultParagraphFont"/>
    <w:rsid w:val="00EB0D87"/>
    <w:rPr>
      <w:rFonts w:ascii="Times New Roman" w:hAnsi="Times New Roman"/>
      <w:sz w:val="18"/>
      <w:vertAlign w:val="superscript"/>
      <w:lang w:val="fr-CH"/>
    </w:rPr>
  </w:style>
  <w:style w:type="character" w:styleId="PageNumber">
    <w:name w:val="page number"/>
    <w:aliases w:val="7_G"/>
    <w:basedOn w:val="DefaultParagraphFont"/>
    <w:rsid w:val="00EB0D87"/>
    <w:rPr>
      <w:rFonts w:ascii="Times New Roman" w:hAnsi="Times New Roman"/>
      <w:b/>
      <w:sz w:val="18"/>
      <w:lang w:val="fr-CH"/>
    </w:rPr>
  </w:style>
  <w:style w:type="paragraph" w:styleId="FootnoteText">
    <w:name w:val="footnote text"/>
    <w:aliases w:val="5_G"/>
    <w:basedOn w:val="Normal"/>
    <w:link w:val="FootnoteTextChar"/>
    <w:qFormat/>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link w:val="H1GChar"/>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qFormat/>
    <w:rsid w:val="00EB0D87"/>
    <w:pPr>
      <w:spacing w:after="120"/>
      <w:ind w:left="1134" w:right="1134"/>
      <w:jc w:val="both"/>
    </w:pPr>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uiPriority w:val="99"/>
    <w:qFormat/>
    <w:rPr>
      <w:sz w:val="14"/>
    </w:rPr>
  </w:style>
  <w:style w:type="character" w:customStyle="1" w:styleId="SingleTxtGChar">
    <w:name w:val="_ Single Txt_G Char"/>
    <w:basedOn w:val="DefaultParagraphFont"/>
    <w:link w:val="SingleTxtG"/>
    <w:rsid w:val="00F25DF3"/>
    <w:rPr>
      <w:lang w:val="fr-CH" w:eastAsia="en-US" w:bidi="ar-SA"/>
    </w:rPr>
  </w:style>
  <w:style w:type="character" w:customStyle="1" w:styleId="HChGChar">
    <w:name w:val="_ H _Ch_G Char"/>
    <w:link w:val="HChG"/>
    <w:rsid w:val="00F25DF3"/>
    <w:rPr>
      <w:b/>
      <w:sz w:val="28"/>
      <w:lang w:val="fr-CH" w:eastAsia="en-US" w:bidi="ar-SA"/>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basedOn w:val="DefaultParagraphFont"/>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basedOn w:val="DefaultParagraphFont"/>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semiHidden/>
    <w:rsid w:val="00160540"/>
    <w:rPr>
      <w:rFonts w:ascii="Courier New" w:hAnsi="Courier New" w:cs="Courier New"/>
      <w:sz w:val="20"/>
      <w:szCs w:val="20"/>
    </w:rPr>
  </w:style>
  <w:style w:type="character" w:styleId="HTMLCode">
    <w:name w:val="HTML Code"/>
    <w:basedOn w:val="DefaultParagraphFont"/>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basedOn w:val="DefaultParagraphFont"/>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basedOn w:val="DefaultParagraphFont"/>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basedOn w:val="DefaultParagraphFont"/>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basedOn w:val="DefaultParagraphFont"/>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semiHidden/>
    <w:rsid w:val="00EB0D87"/>
    <w:rPr>
      <w:color w:val="auto"/>
      <w:u w:val="none"/>
    </w:rPr>
  </w:style>
  <w:style w:type="character" w:styleId="FollowedHyperlink">
    <w:name w:val="FollowedHyperlink"/>
    <w:basedOn w:val="DefaultParagraphFont"/>
    <w:semiHidden/>
    <w:rsid w:val="00EB0D87"/>
    <w:rPr>
      <w:color w:val="auto"/>
      <w:u w:val="none"/>
    </w:rPr>
  </w:style>
  <w:style w:type="character" w:customStyle="1" w:styleId="H1GChar">
    <w:name w:val="_ H_1_G Char"/>
    <w:link w:val="H1G"/>
    <w:rsid w:val="00F25DF3"/>
    <w:rPr>
      <w:b/>
      <w:sz w:val="24"/>
      <w:lang w:val="fr-CH" w:eastAsia="en-US" w:bidi="ar-SA"/>
    </w:rPr>
  </w:style>
  <w:style w:type="paragraph" w:styleId="BalloonText">
    <w:name w:val="Balloon Text"/>
    <w:basedOn w:val="Normal"/>
    <w:link w:val="BalloonTextChar"/>
    <w:rsid w:val="00595C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5CF5"/>
    <w:rPr>
      <w:rFonts w:ascii="Tahoma" w:hAnsi="Tahoma" w:cs="Tahoma"/>
      <w:sz w:val="16"/>
      <w:szCs w:val="16"/>
      <w:lang w:eastAsia="en-US"/>
    </w:rPr>
  </w:style>
  <w:style w:type="paragraph" w:customStyle="1" w:styleId="H1">
    <w:name w:val="_ H_1"/>
    <w:basedOn w:val="Normal"/>
    <w:next w:val="SingleTxt"/>
    <w:qFormat/>
    <w:rsid w:val="00595CF5"/>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595CF5"/>
    <w:pPr>
      <w:spacing w:line="300" w:lineRule="exact"/>
    </w:pPr>
    <w:rPr>
      <w:spacing w:val="-2"/>
      <w:sz w:val="28"/>
    </w:rPr>
  </w:style>
  <w:style w:type="paragraph" w:customStyle="1" w:styleId="SingleTxt">
    <w:name w:val="__Single Txt"/>
    <w:basedOn w:val="Normal"/>
    <w:qFormat/>
    <w:rsid w:val="00595C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
    <w:basedOn w:val="DefaultParagraphFont"/>
    <w:link w:val="FootnoteText"/>
    <w:rsid w:val="00595CF5"/>
    <w:rPr>
      <w:sz w:val="18"/>
      <w:lang w:eastAsia="en-US"/>
    </w:rPr>
  </w:style>
  <w:style w:type="paragraph" w:styleId="ListParagraph">
    <w:name w:val="List Paragraph"/>
    <w:basedOn w:val="Normal"/>
    <w:uiPriority w:val="34"/>
    <w:qFormat/>
    <w:rsid w:val="00595CF5"/>
    <w:pPr>
      <w:kinsoku w:val="0"/>
      <w:overflowPunct w:val="0"/>
      <w:autoSpaceDE w:val="0"/>
      <w:autoSpaceDN w:val="0"/>
      <w:adjustRightInd w:val="0"/>
      <w:snapToGri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line number"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ParNoG">
    <w:name w:val="_ParNo_G"/>
    <w:basedOn w:val="SingleTxtG"/>
    <w:rsid w:val="00AF481F"/>
    <w:pPr>
      <w:numPr>
        <w:numId w:val="18"/>
      </w:numPr>
    </w:p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basedOn w:val="DefaultParagraphFont"/>
    <w:rsid w:val="00EB0D87"/>
    <w:rPr>
      <w:rFonts w:ascii="Times New Roman" w:hAnsi="Times New Roman"/>
      <w:sz w:val="18"/>
      <w:vertAlign w:val="superscript"/>
      <w:lang w:val="fr-CH"/>
    </w:rPr>
  </w:style>
  <w:style w:type="character" w:styleId="PageNumber">
    <w:name w:val="page number"/>
    <w:aliases w:val="7_G"/>
    <w:basedOn w:val="DefaultParagraphFont"/>
    <w:rsid w:val="00EB0D87"/>
    <w:rPr>
      <w:rFonts w:ascii="Times New Roman" w:hAnsi="Times New Roman"/>
      <w:b/>
      <w:sz w:val="18"/>
      <w:lang w:val="fr-CH"/>
    </w:rPr>
  </w:style>
  <w:style w:type="paragraph" w:styleId="FootnoteText">
    <w:name w:val="footnote text"/>
    <w:aliases w:val="5_G"/>
    <w:basedOn w:val="Normal"/>
    <w:link w:val="FootnoteTextChar"/>
    <w:qFormat/>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link w:val="H1GChar"/>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qFormat/>
    <w:rsid w:val="00EB0D87"/>
    <w:pPr>
      <w:spacing w:after="120"/>
      <w:ind w:left="1134" w:right="1134"/>
      <w:jc w:val="both"/>
    </w:pPr>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uiPriority w:val="99"/>
    <w:qFormat/>
    <w:rPr>
      <w:sz w:val="14"/>
    </w:rPr>
  </w:style>
  <w:style w:type="character" w:customStyle="1" w:styleId="SingleTxtGChar">
    <w:name w:val="_ Single Txt_G Char"/>
    <w:basedOn w:val="DefaultParagraphFont"/>
    <w:link w:val="SingleTxtG"/>
    <w:rsid w:val="00F25DF3"/>
    <w:rPr>
      <w:lang w:val="fr-CH" w:eastAsia="en-US" w:bidi="ar-SA"/>
    </w:rPr>
  </w:style>
  <w:style w:type="character" w:customStyle="1" w:styleId="HChGChar">
    <w:name w:val="_ H _Ch_G Char"/>
    <w:link w:val="HChG"/>
    <w:rsid w:val="00F25DF3"/>
    <w:rPr>
      <w:b/>
      <w:sz w:val="28"/>
      <w:lang w:val="fr-CH" w:eastAsia="en-US" w:bidi="ar-SA"/>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basedOn w:val="DefaultParagraphFont"/>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basedOn w:val="DefaultParagraphFont"/>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semiHidden/>
    <w:rsid w:val="00160540"/>
    <w:rPr>
      <w:rFonts w:ascii="Courier New" w:hAnsi="Courier New" w:cs="Courier New"/>
      <w:sz w:val="20"/>
      <w:szCs w:val="20"/>
    </w:rPr>
  </w:style>
  <w:style w:type="character" w:styleId="HTMLCode">
    <w:name w:val="HTML Code"/>
    <w:basedOn w:val="DefaultParagraphFont"/>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basedOn w:val="DefaultParagraphFont"/>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basedOn w:val="DefaultParagraphFont"/>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basedOn w:val="DefaultParagraphFont"/>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basedOn w:val="DefaultParagraphFont"/>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semiHidden/>
    <w:rsid w:val="00EB0D87"/>
    <w:rPr>
      <w:color w:val="auto"/>
      <w:u w:val="none"/>
    </w:rPr>
  </w:style>
  <w:style w:type="character" w:styleId="FollowedHyperlink">
    <w:name w:val="FollowedHyperlink"/>
    <w:basedOn w:val="DefaultParagraphFont"/>
    <w:semiHidden/>
    <w:rsid w:val="00EB0D87"/>
    <w:rPr>
      <w:color w:val="auto"/>
      <w:u w:val="none"/>
    </w:rPr>
  </w:style>
  <w:style w:type="character" w:customStyle="1" w:styleId="H1GChar">
    <w:name w:val="_ H_1_G Char"/>
    <w:link w:val="H1G"/>
    <w:rsid w:val="00F25DF3"/>
    <w:rPr>
      <w:b/>
      <w:sz w:val="24"/>
      <w:lang w:val="fr-CH" w:eastAsia="en-US" w:bidi="ar-SA"/>
    </w:rPr>
  </w:style>
  <w:style w:type="paragraph" w:styleId="BalloonText">
    <w:name w:val="Balloon Text"/>
    <w:basedOn w:val="Normal"/>
    <w:link w:val="BalloonTextChar"/>
    <w:rsid w:val="00595C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5CF5"/>
    <w:rPr>
      <w:rFonts w:ascii="Tahoma" w:hAnsi="Tahoma" w:cs="Tahoma"/>
      <w:sz w:val="16"/>
      <w:szCs w:val="16"/>
      <w:lang w:eastAsia="en-US"/>
    </w:rPr>
  </w:style>
  <w:style w:type="paragraph" w:customStyle="1" w:styleId="H1">
    <w:name w:val="_ H_1"/>
    <w:basedOn w:val="Normal"/>
    <w:next w:val="SingleTxt"/>
    <w:qFormat/>
    <w:rsid w:val="00595CF5"/>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595CF5"/>
    <w:pPr>
      <w:spacing w:line="300" w:lineRule="exact"/>
    </w:pPr>
    <w:rPr>
      <w:spacing w:val="-2"/>
      <w:sz w:val="28"/>
    </w:rPr>
  </w:style>
  <w:style w:type="paragraph" w:customStyle="1" w:styleId="SingleTxt">
    <w:name w:val="__Single Txt"/>
    <w:basedOn w:val="Normal"/>
    <w:qFormat/>
    <w:rsid w:val="00595C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
    <w:basedOn w:val="DefaultParagraphFont"/>
    <w:link w:val="FootnoteText"/>
    <w:rsid w:val="00595CF5"/>
    <w:rPr>
      <w:sz w:val="18"/>
      <w:lang w:eastAsia="en-US"/>
    </w:rPr>
  </w:style>
  <w:style w:type="paragraph" w:styleId="ListParagraph">
    <w:name w:val="List Paragraph"/>
    <w:basedOn w:val="Normal"/>
    <w:uiPriority w:val="34"/>
    <w:qFormat/>
    <w:rsid w:val="00595CF5"/>
    <w:pPr>
      <w:kinsoku w:val="0"/>
      <w:overflowPunct w:val="0"/>
      <w:autoSpaceDE w:val="0"/>
      <w:autoSpaceDN w:val="0"/>
      <w:adjustRightInd w:val="0"/>
      <w:snapToGri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FC72-E4E8-4DB1-83F2-00FCAF8F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3243</Words>
  <Characters>18486</Characters>
  <Application>Microsoft Office Word</Application>
  <DocSecurity>4</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ECE/TRANS/180/Add.16/Amend.1/Appendix 1</vt:lpstr>
      <vt:lpstr>ECE/TRANS/180/Add.16/Amend.1/Appendix 1</vt:lpstr>
    </vt:vector>
  </TitlesOfParts>
  <Company>CSD</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ECE/TRANS/180/Add.16/Amend.1/Appendix 1</dc:title>
  <dc:subject>FINAL</dc:subject>
  <dc:creator>Crelier</dc:creator>
  <cp:lastModifiedBy>Benedicte Boudol</cp:lastModifiedBy>
  <cp:revision>2</cp:revision>
  <cp:lastPrinted>2017-05-15T10:16:00Z</cp:lastPrinted>
  <dcterms:created xsi:type="dcterms:W3CDTF">2017-05-18T08:44:00Z</dcterms:created>
  <dcterms:modified xsi:type="dcterms:W3CDTF">2017-05-18T08:44:00Z</dcterms:modified>
</cp:coreProperties>
</file>