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08" w:type="dxa"/>
        <w:tblLayout w:type="fixed"/>
        <w:tblCellMar>
          <w:left w:w="0" w:type="dxa"/>
          <w:right w:w="0" w:type="dxa"/>
        </w:tblCellMar>
        <w:tblLook w:val="01E0" w:firstRow="1" w:lastRow="1" w:firstColumn="1" w:lastColumn="1" w:noHBand="0" w:noVBand="0"/>
      </w:tblPr>
      <w:tblGrid>
        <w:gridCol w:w="6782"/>
        <w:gridCol w:w="2826"/>
      </w:tblGrid>
      <w:tr w:rsidR="00421A10" w:rsidRPr="005D0BDD" w:rsidTr="005D0BDD">
        <w:trPr>
          <w:trHeight w:hRule="exact" w:val="847"/>
        </w:trPr>
        <w:tc>
          <w:tcPr>
            <w:tcW w:w="9608" w:type="dxa"/>
            <w:gridSpan w:val="2"/>
            <w:tcBorders>
              <w:bottom w:val="single" w:sz="4" w:space="0" w:color="auto"/>
            </w:tcBorders>
            <w:shd w:val="clear" w:color="auto" w:fill="auto"/>
            <w:vAlign w:val="bottom"/>
          </w:tcPr>
          <w:p w:rsidR="00460137" w:rsidRPr="005D0BDD" w:rsidRDefault="00460137" w:rsidP="00460137">
            <w:pPr>
              <w:jc w:val="right"/>
              <w:rPr>
                <w:lang w:val="en-US"/>
              </w:rPr>
            </w:pPr>
            <w:r w:rsidRPr="005D0BDD">
              <w:rPr>
                <w:sz w:val="40"/>
                <w:lang w:val="en-US"/>
              </w:rPr>
              <w:t>E</w:t>
            </w:r>
            <w:r w:rsidRPr="005D0BDD">
              <w:rPr>
                <w:lang w:val="en-US"/>
              </w:rPr>
              <w:t>/ECE/324/Rev.2/Add.114/Rev.1/Amend.3−</w:t>
            </w:r>
            <w:r w:rsidRPr="005D0BDD">
              <w:rPr>
                <w:sz w:val="40"/>
                <w:lang w:val="en-US"/>
              </w:rPr>
              <w:t>E</w:t>
            </w:r>
            <w:r w:rsidRPr="005D0BDD">
              <w:rPr>
                <w:lang w:val="en-US"/>
              </w:rPr>
              <w:t>/ECE/TRANS/505/Rev.2/Add.114/Rev.1/Amend.3</w:t>
            </w:r>
          </w:p>
        </w:tc>
      </w:tr>
      <w:tr w:rsidR="00421A10" w:rsidRPr="005D0BDD" w:rsidTr="005D0BDD">
        <w:trPr>
          <w:trHeight w:hRule="exact" w:val="2559"/>
        </w:trPr>
        <w:tc>
          <w:tcPr>
            <w:tcW w:w="6782" w:type="dxa"/>
            <w:tcBorders>
              <w:top w:val="single" w:sz="4" w:space="0" w:color="auto"/>
              <w:bottom w:val="single" w:sz="12" w:space="0" w:color="auto"/>
            </w:tcBorders>
            <w:shd w:val="clear" w:color="auto" w:fill="auto"/>
          </w:tcPr>
          <w:p w:rsidR="00421A10" w:rsidRPr="005D0BDD" w:rsidRDefault="00421A10" w:rsidP="00A27C92">
            <w:pPr>
              <w:spacing w:before="120" w:line="380" w:lineRule="exact"/>
              <w:rPr>
                <w:lang w:val="en-US"/>
              </w:rPr>
            </w:pPr>
          </w:p>
        </w:tc>
        <w:tc>
          <w:tcPr>
            <w:tcW w:w="2826" w:type="dxa"/>
            <w:tcBorders>
              <w:top w:val="single" w:sz="4" w:space="0" w:color="auto"/>
              <w:bottom w:val="single" w:sz="12" w:space="0" w:color="auto"/>
            </w:tcBorders>
            <w:shd w:val="clear" w:color="auto" w:fill="auto"/>
          </w:tcPr>
          <w:p w:rsidR="00421A10" w:rsidRPr="005D0BDD" w:rsidRDefault="00460137" w:rsidP="00A27C92">
            <w:pPr>
              <w:spacing w:before="480" w:line="240" w:lineRule="exact"/>
            </w:pPr>
            <w:r w:rsidRPr="005D0BDD">
              <w:t>20 janvier 2020</w:t>
            </w:r>
          </w:p>
        </w:tc>
      </w:tr>
    </w:tbl>
    <w:p w:rsidR="00421A10" w:rsidRPr="005D0BDD" w:rsidRDefault="0029791D" w:rsidP="00854EE6">
      <w:pPr>
        <w:pStyle w:val="HChG"/>
        <w:spacing w:before="280"/>
      </w:pPr>
      <w:r w:rsidRPr="005D0BDD">
        <w:tab/>
      </w:r>
      <w:r w:rsidRPr="005D0BDD">
        <w:tab/>
      </w:r>
      <w:r w:rsidR="00421A10" w:rsidRPr="005D0BDD">
        <w:t>Accord</w:t>
      </w:r>
    </w:p>
    <w:p w:rsidR="00421A10" w:rsidRPr="005D0BDD" w:rsidRDefault="0029791D" w:rsidP="00854EE6">
      <w:pPr>
        <w:pStyle w:val="H1G"/>
        <w:spacing w:before="240"/>
      </w:pPr>
      <w:r w:rsidRPr="005D0BDD">
        <w:tab/>
      </w:r>
      <w:r w:rsidRPr="005D0BDD">
        <w:tab/>
      </w:r>
      <w:r w:rsidR="00421A10" w:rsidRPr="005D0BDD">
        <w:t xml:space="preserve">Concernant l’adoption </w:t>
      </w:r>
      <w:r w:rsidR="00460137" w:rsidRPr="005D0BDD">
        <w:t>de Règlements techniques harmonisés de l’ONU applicables aux véhicules à roues et aux équipements et pièces susceptibles d’être montés ou utilisés sur les véhicules à roues et les</w:t>
      </w:r>
      <w:r w:rsidR="00460137" w:rsidRPr="005D0BDD">
        <w:t> </w:t>
      </w:r>
      <w:r w:rsidR="00460137" w:rsidRPr="005D0BDD">
        <w:t>conditions de reconnaissance réciproque des homologations délivrées conformément à ces Règlements</w:t>
      </w:r>
      <w:r w:rsidR="00442E31" w:rsidRPr="005D0BDD">
        <w:rPr>
          <w:rStyle w:val="Appelnotedebasdep"/>
          <w:b w:val="0"/>
          <w:sz w:val="20"/>
          <w:vertAlign w:val="baseline"/>
        </w:rPr>
        <w:footnoteReference w:customMarkFollows="1" w:id="2"/>
        <w:t>*</w:t>
      </w:r>
    </w:p>
    <w:p w:rsidR="00421A10" w:rsidRPr="005D0BDD" w:rsidRDefault="00421A10" w:rsidP="00854EE6">
      <w:pPr>
        <w:pStyle w:val="SingleTxtG"/>
        <w:spacing w:after="80"/>
        <w:jc w:val="left"/>
        <w:rPr>
          <w:b/>
          <w:sz w:val="24"/>
          <w:szCs w:val="24"/>
        </w:rPr>
      </w:pPr>
      <w:r w:rsidRPr="005D0BDD">
        <w:t xml:space="preserve">(Révision </w:t>
      </w:r>
      <w:r w:rsidR="00460137" w:rsidRPr="005D0BDD">
        <w:t>3, comprenant les amendements entrés en vigueur le 14</w:t>
      </w:r>
      <w:r w:rsidR="002263BB" w:rsidRPr="005D0BDD">
        <w:t> </w:t>
      </w:r>
      <w:r w:rsidR="00460137" w:rsidRPr="005D0BDD">
        <w:t>septembre 2017</w:t>
      </w:r>
      <w:r w:rsidRPr="005D0BDD">
        <w:t>)</w:t>
      </w:r>
    </w:p>
    <w:p w:rsidR="00421A10" w:rsidRPr="005D0BDD" w:rsidRDefault="0029791D" w:rsidP="00854EE6">
      <w:pPr>
        <w:jc w:val="center"/>
      </w:pPr>
      <w:r w:rsidRPr="005D0BDD">
        <w:t>_______________</w:t>
      </w:r>
    </w:p>
    <w:p w:rsidR="00421A10" w:rsidRPr="005D0BDD" w:rsidRDefault="0029791D" w:rsidP="00854EE6">
      <w:pPr>
        <w:pStyle w:val="HChG"/>
        <w:spacing w:before="320"/>
      </w:pPr>
      <w:r w:rsidRPr="005D0BDD">
        <w:tab/>
      </w:r>
      <w:r w:rsidRPr="005D0BDD">
        <w:tab/>
      </w:r>
      <w:r w:rsidR="00421A10" w:rsidRPr="005D0BDD">
        <w:t>Additif</w:t>
      </w:r>
      <w:r w:rsidR="002263BB" w:rsidRPr="005D0BDD">
        <w:t xml:space="preserve"> </w:t>
      </w:r>
      <w:r w:rsidR="002263BB" w:rsidRPr="005D0BDD">
        <w:rPr>
          <w:rFonts w:eastAsia="MS Mincho"/>
        </w:rPr>
        <w:t>n</w:t>
      </w:r>
      <w:r w:rsidR="002263BB" w:rsidRPr="005D0BDD">
        <w:rPr>
          <w:rFonts w:eastAsia="MS Mincho"/>
          <w:vertAlign w:val="superscript"/>
        </w:rPr>
        <w:t>o</w:t>
      </w:r>
      <w:r w:rsidR="002263BB" w:rsidRPr="005D0BDD">
        <w:t>114 −</w:t>
      </w:r>
      <w:r w:rsidR="00421A10" w:rsidRPr="005D0BDD">
        <w:t xml:space="preserve"> Règlement </w:t>
      </w:r>
      <w:r w:rsidR="001E7643" w:rsidRPr="005D0BDD">
        <w:t xml:space="preserve">ONU </w:t>
      </w:r>
      <w:r w:rsidR="00421A10" w:rsidRPr="005D0BDD">
        <w:t>n</w:t>
      </w:r>
      <w:r w:rsidR="00421A10" w:rsidRPr="005D0BDD">
        <w:rPr>
          <w:vertAlign w:val="superscript"/>
        </w:rPr>
        <w:t>o</w:t>
      </w:r>
      <w:r w:rsidR="00421A10" w:rsidRPr="005D0BDD">
        <w:t> </w:t>
      </w:r>
      <w:r w:rsidR="002263BB" w:rsidRPr="005D0BDD">
        <w:t>115</w:t>
      </w:r>
    </w:p>
    <w:p w:rsidR="00421A10" w:rsidRPr="005D0BDD" w:rsidRDefault="0029791D" w:rsidP="0029791D">
      <w:pPr>
        <w:pStyle w:val="H1G"/>
      </w:pPr>
      <w:r w:rsidRPr="005D0BDD">
        <w:tab/>
      </w:r>
      <w:r w:rsidRPr="005D0BDD">
        <w:tab/>
      </w:r>
      <w:r w:rsidR="00421A10" w:rsidRPr="005D0BDD">
        <w:t xml:space="preserve">Révision </w:t>
      </w:r>
      <w:r w:rsidR="002263BB" w:rsidRPr="005D0BDD">
        <w:t>1 – Amendement 3</w:t>
      </w:r>
    </w:p>
    <w:p w:rsidR="00421A10" w:rsidRPr="005D0BDD" w:rsidRDefault="00421A10" w:rsidP="002263BB">
      <w:pPr>
        <w:pStyle w:val="SingleTxtG"/>
        <w:spacing w:after="0"/>
        <w:rPr>
          <w:spacing w:val="-4"/>
        </w:rPr>
      </w:pPr>
      <w:r w:rsidRPr="005D0BDD">
        <w:rPr>
          <w:spacing w:val="-4"/>
        </w:rPr>
        <w:t>Com</w:t>
      </w:r>
      <w:r w:rsidR="002263BB" w:rsidRPr="005D0BDD">
        <w:rPr>
          <w:spacing w:val="-4"/>
        </w:rPr>
        <w:t>plément </w:t>
      </w:r>
      <w:r w:rsidR="002263BB" w:rsidRPr="005D0BDD">
        <w:rPr>
          <w:spacing w:val="-4"/>
        </w:rPr>
        <w:t>8 à la version originale du Règlement – Date d’entrée en vigueur</w:t>
      </w:r>
      <w:r w:rsidR="002263BB" w:rsidRPr="005D0BDD">
        <w:rPr>
          <w:spacing w:val="-4"/>
        </w:rPr>
        <w:t> </w:t>
      </w:r>
      <w:r w:rsidR="002263BB" w:rsidRPr="005D0BDD">
        <w:rPr>
          <w:spacing w:val="-4"/>
        </w:rPr>
        <w:t>: 11 janvier 2020</w:t>
      </w:r>
    </w:p>
    <w:p w:rsidR="002263BB" w:rsidRPr="005D0BDD" w:rsidRDefault="002263BB" w:rsidP="00854EE6">
      <w:pPr>
        <w:pStyle w:val="H1G"/>
        <w:spacing w:before="300"/>
      </w:pPr>
      <w:r w:rsidRPr="005D0BDD">
        <w:tab/>
      </w:r>
      <w:r w:rsidRPr="005D0BDD">
        <w:tab/>
      </w:r>
      <w:r w:rsidR="00421A10" w:rsidRPr="005D0BDD">
        <w:t xml:space="preserve">Prescriptions uniformes relatives </w:t>
      </w:r>
      <w:r w:rsidRPr="005D0BDD">
        <w:t>à l’homologation</w:t>
      </w:r>
      <w:r w:rsidRPr="005D0BDD">
        <w:t> </w:t>
      </w:r>
      <w:r w:rsidRPr="005D0BDD">
        <w:t>:</w:t>
      </w:r>
    </w:p>
    <w:p w:rsidR="002263BB" w:rsidRPr="005D0BDD" w:rsidRDefault="002263BB" w:rsidP="00854EE6">
      <w:pPr>
        <w:pStyle w:val="H1G"/>
        <w:keepNext w:val="0"/>
        <w:keepLines w:val="0"/>
        <w:kinsoku/>
        <w:overflowPunct/>
        <w:autoSpaceDE/>
        <w:autoSpaceDN/>
        <w:adjustRightInd/>
        <w:snapToGrid/>
        <w:spacing w:before="80" w:after="120" w:line="220" w:lineRule="exact"/>
        <w:ind w:left="1701" w:right="1140" w:hanging="567"/>
        <w:rPr>
          <w:rFonts w:eastAsia="Times New Roman"/>
          <w:bCs/>
          <w:lang w:eastAsia="ru-RU"/>
        </w:rPr>
      </w:pPr>
      <w:r w:rsidRPr="005D0BDD">
        <w:t>I.</w:t>
      </w:r>
      <w:r w:rsidRPr="005D0BDD">
        <w:tab/>
        <w:t xml:space="preserve">Des systèmes spéciaux d’adaptation au GPL (gaz de pétrole liquéfié) pour véhicules automobiles leur permettant d’utiliser ce carburant dans leur système de </w:t>
      </w:r>
      <w:r w:rsidRPr="005D0BDD">
        <w:rPr>
          <w:rFonts w:eastAsia="Times New Roman"/>
          <w:bCs/>
          <w:lang w:eastAsia="ru-RU"/>
        </w:rPr>
        <w:t>propulsion</w:t>
      </w:r>
    </w:p>
    <w:p w:rsidR="002263BB" w:rsidRPr="003668FC" w:rsidRDefault="002263BB" w:rsidP="003668FC">
      <w:pPr>
        <w:pStyle w:val="H1G"/>
        <w:keepNext w:val="0"/>
        <w:keepLines w:val="0"/>
        <w:kinsoku/>
        <w:overflowPunct/>
        <w:autoSpaceDE/>
        <w:autoSpaceDN/>
        <w:adjustRightInd/>
        <w:snapToGrid/>
        <w:spacing w:before="80" w:after="120" w:line="220" w:lineRule="exact"/>
        <w:ind w:left="1701" w:right="1140" w:hanging="567"/>
      </w:pPr>
      <w:r w:rsidRPr="003668FC">
        <w:t>II</w:t>
      </w:r>
      <w:r w:rsidR="003668FC" w:rsidRPr="003668FC">
        <w:t>.</w:t>
      </w:r>
      <w:r w:rsidRPr="003668FC">
        <w:tab/>
        <w:t xml:space="preserve">Des systèmes spéciaux d’adaptation au </w:t>
      </w:r>
      <w:proofErr w:type="spellStart"/>
      <w:r w:rsidRPr="003668FC">
        <w:t>GNC</w:t>
      </w:r>
      <w:proofErr w:type="spellEnd"/>
      <w:r w:rsidRPr="003668FC">
        <w:t xml:space="preserve"> (gaz naturel comprimé) pour véhicules automobiles leur permettant d’utiliser ce carburant dans leur système de propulsion</w:t>
      </w:r>
    </w:p>
    <w:p w:rsidR="00460137" w:rsidRDefault="002263BB" w:rsidP="002263BB">
      <w:pPr>
        <w:pStyle w:val="SingleTxtG"/>
        <w:rPr>
          <w:spacing w:val="-2"/>
          <w:lang w:eastAsia="en-GB"/>
        </w:rPr>
      </w:pPr>
      <w:bookmarkStart w:id="0" w:name="_Hlk29912388"/>
      <w:r w:rsidRPr="005D0BDD">
        <w:rPr>
          <w:spacing w:val="-2"/>
          <w:lang w:eastAsia="en-GB"/>
        </w:rPr>
        <w:t xml:space="preserve">Le présent document est communiqué uniquement à titre d’information. Le texte authentique, juridiquement contraignant, est celui du document </w:t>
      </w:r>
      <w:proofErr w:type="spellStart"/>
      <w:r w:rsidRPr="005D0BDD">
        <w:rPr>
          <w:spacing w:val="-2"/>
          <w:lang w:eastAsia="en-GB"/>
        </w:rPr>
        <w:t>ECE</w:t>
      </w:r>
      <w:proofErr w:type="spellEnd"/>
      <w:r w:rsidRPr="005D0BDD">
        <w:rPr>
          <w:spacing w:val="-2"/>
          <w:lang w:eastAsia="en-GB"/>
        </w:rPr>
        <w:t>/TRANS/WP.29/2019/45.</w:t>
      </w:r>
      <w:bookmarkEnd w:id="0"/>
    </w:p>
    <w:p w:rsidR="005C3F2F" w:rsidRPr="004B3825" w:rsidRDefault="009F669A" w:rsidP="005C3F2F">
      <w:pPr>
        <w:pStyle w:val="SingleTxtG"/>
        <w:keepNext/>
      </w:pPr>
      <w:r w:rsidRPr="005D0BDD">
        <w:rPr>
          <w:noProof/>
          <w:lang w:eastAsia="fr-CH"/>
        </w:rPr>
        <mc:AlternateContent>
          <mc:Choice Requires="wps">
            <w:drawing>
              <wp:anchor distT="0" distB="0" distL="114300" distR="114300" simplePos="0" relativeHeight="251663872" behindDoc="0" locked="0" layoutInCell="1" allowOverlap="1" wp14:anchorId="4D85F320" wp14:editId="26CCF6CE">
                <wp:simplePos x="0" y="0"/>
                <wp:positionH relativeFrom="margin">
                  <wp:posOffset>73660</wp:posOffset>
                </wp:positionH>
                <wp:positionV relativeFrom="margin">
                  <wp:posOffset>6370955</wp:posOffset>
                </wp:positionV>
                <wp:extent cx="6119495" cy="1120140"/>
                <wp:effectExtent l="0" t="0" r="0" b="38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2014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5.8pt;margin-top:501.65pt;width:481.85pt;height:88.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Pr>
          <w:spacing w:val="-2"/>
          <w:lang w:eastAsia="en-GB"/>
        </w:rPr>
        <w:br w:type="page"/>
      </w:r>
      <w:r w:rsidR="005C3F2F" w:rsidRPr="004B3825">
        <w:rPr>
          <w:i/>
        </w:rPr>
        <w:lastRenderedPageBreak/>
        <w:t>Ajouter les nouveaux paragraphes</w:t>
      </w:r>
      <w:r w:rsidR="0055037A">
        <w:rPr>
          <w:i/>
        </w:rPr>
        <w:t> </w:t>
      </w:r>
      <w:r w:rsidR="005C3F2F" w:rsidRPr="004B3825">
        <w:rPr>
          <w:i/>
        </w:rPr>
        <w:t>2.6 et 2.7</w:t>
      </w:r>
      <w:r w:rsidR="005C3F2F" w:rsidRPr="004B3825">
        <w:t>, libellés comme suit :</w:t>
      </w:r>
    </w:p>
    <w:p w:rsidR="005C3F2F" w:rsidRPr="004B3825" w:rsidRDefault="005C3F2F" w:rsidP="005C3F2F">
      <w:pPr>
        <w:pStyle w:val="SingleTxtG"/>
        <w:ind w:left="2438" w:hanging="1304"/>
        <w:rPr>
          <w:lang w:eastAsia="nl-NL"/>
        </w:rPr>
      </w:pPr>
      <w:r w:rsidRPr="004B3825">
        <w:rPr>
          <w:lang w:eastAsia="nl-NL"/>
        </w:rPr>
        <w:t>« 2.8</w:t>
      </w:r>
      <w:r w:rsidRPr="004B3825">
        <w:rPr>
          <w:lang w:eastAsia="nl-NL"/>
        </w:rPr>
        <w:tab/>
        <w:t>Par “</w:t>
      </w:r>
      <w:proofErr w:type="spellStart"/>
      <w:r w:rsidRPr="004B3825">
        <w:rPr>
          <w:lang w:eastAsia="nl-NL"/>
        </w:rPr>
        <w:t>NCEE</w:t>
      </w:r>
      <w:proofErr w:type="spellEnd"/>
      <w:r w:rsidRPr="004B3825">
        <w:rPr>
          <w:lang w:eastAsia="nl-NL"/>
        </w:rPr>
        <w:t>”, on entend le cycle d</w:t>
      </w:r>
      <w:r>
        <w:rPr>
          <w:lang w:eastAsia="nl-NL"/>
        </w:rPr>
        <w:t>’</w:t>
      </w:r>
      <w:r w:rsidRPr="004B3825">
        <w:rPr>
          <w:lang w:eastAsia="nl-NL"/>
        </w:rPr>
        <w:t>essai pour mesurer les émissions à l</w:t>
      </w:r>
      <w:r>
        <w:rPr>
          <w:lang w:eastAsia="nl-NL"/>
        </w:rPr>
        <w:t>’</w:t>
      </w:r>
      <w:r w:rsidRPr="004B3825">
        <w:rPr>
          <w:lang w:eastAsia="nl-NL"/>
        </w:rPr>
        <w:t>échappement après un démarrage à froid, tel que décrit dans le Règlement ONU n</w:t>
      </w:r>
      <w:r w:rsidRPr="004B3825">
        <w:rPr>
          <w:vertAlign w:val="superscript"/>
          <w:lang w:eastAsia="nl-NL"/>
        </w:rPr>
        <w:t>o</w:t>
      </w:r>
      <w:r w:rsidRPr="004B3825">
        <w:rPr>
          <w:lang w:eastAsia="nl-NL"/>
        </w:rPr>
        <w:t> 83 jusqu</w:t>
      </w:r>
      <w:r>
        <w:rPr>
          <w:lang w:eastAsia="nl-NL"/>
        </w:rPr>
        <w:t>’</w:t>
      </w:r>
      <w:r w:rsidRPr="004B3825">
        <w:rPr>
          <w:lang w:eastAsia="nl-NL"/>
        </w:rPr>
        <w:t>à la série 07 d</w:t>
      </w:r>
      <w:r>
        <w:rPr>
          <w:lang w:eastAsia="nl-NL"/>
        </w:rPr>
        <w:t>’</w:t>
      </w:r>
      <w:r w:rsidRPr="004B3825">
        <w:rPr>
          <w:lang w:eastAsia="nl-NL"/>
        </w:rPr>
        <w:t>amendements.</w:t>
      </w:r>
    </w:p>
    <w:p w:rsidR="005C3F2F" w:rsidRPr="004B3825" w:rsidRDefault="005C3F2F" w:rsidP="005C3F2F">
      <w:pPr>
        <w:pStyle w:val="SingleTxtG"/>
        <w:ind w:left="2438" w:hanging="1304"/>
        <w:rPr>
          <w:lang w:eastAsia="nl-NL"/>
        </w:rPr>
      </w:pPr>
      <w:r w:rsidRPr="004B3825">
        <w:rPr>
          <w:lang w:eastAsia="nl-NL"/>
        </w:rPr>
        <w:t>2.9</w:t>
      </w:r>
      <w:r w:rsidRPr="004B3825">
        <w:rPr>
          <w:lang w:eastAsia="nl-NL"/>
        </w:rPr>
        <w:tab/>
        <w:t>Par “</w:t>
      </w:r>
      <w:proofErr w:type="spellStart"/>
      <w:r w:rsidRPr="004B3825">
        <w:rPr>
          <w:lang w:eastAsia="nl-NL"/>
        </w:rPr>
        <w:t>WLTC</w:t>
      </w:r>
      <w:proofErr w:type="spellEnd"/>
      <w:r w:rsidRPr="004B3825">
        <w:rPr>
          <w:lang w:eastAsia="nl-NL"/>
        </w:rPr>
        <w:t>”, on entend le cycle d</w:t>
      </w:r>
      <w:r>
        <w:rPr>
          <w:lang w:eastAsia="nl-NL"/>
        </w:rPr>
        <w:t>’</w:t>
      </w:r>
      <w:r w:rsidRPr="004B3825">
        <w:rPr>
          <w:lang w:eastAsia="nl-NL"/>
        </w:rPr>
        <w:t>essai mondial harmonisé pour voitures particulières et véhicules utilitaires légers servant à mesurer les émissions à l</w:t>
      </w:r>
      <w:r>
        <w:rPr>
          <w:lang w:eastAsia="nl-NL"/>
        </w:rPr>
        <w:t>’</w:t>
      </w:r>
      <w:r w:rsidRPr="004B3825">
        <w:rPr>
          <w:lang w:eastAsia="nl-NL"/>
        </w:rPr>
        <w:t xml:space="preserve">échappement après un démarrage à froid, tel que décrit dans le </w:t>
      </w:r>
      <w:proofErr w:type="spellStart"/>
      <w:r w:rsidRPr="004B3825">
        <w:rPr>
          <w:lang w:eastAsia="nl-NL"/>
        </w:rPr>
        <w:t>RTM</w:t>
      </w:r>
      <w:proofErr w:type="spellEnd"/>
      <w:r w:rsidRPr="004B3825">
        <w:rPr>
          <w:lang w:eastAsia="nl-NL"/>
        </w:rPr>
        <w:t xml:space="preserve"> ONU n</w:t>
      </w:r>
      <w:r w:rsidRPr="004B3825">
        <w:rPr>
          <w:vertAlign w:val="superscript"/>
          <w:lang w:eastAsia="nl-NL"/>
        </w:rPr>
        <w:t>o</w:t>
      </w:r>
      <w:r w:rsidRPr="004B3825">
        <w:rPr>
          <w:lang w:eastAsia="nl-NL"/>
        </w:rPr>
        <w:t> 15. ».</w:t>
      </w:r>
    </w:p>
    <w:p w:rsidR="005C3F2F" w:rsidRPr="004B3825" w:rsidRDefault="005C3F2F" w:rsidP="005C3F2F">
      <w:pPr>
        <w:pStyle w:val="SingleTxtG"/>
        <w:keepNext/>
      </w:pPr>
      <w:r w:rsidRPr="004B3825">
        <w:rPr>
          <w:i/>
        </w:rPr>
        <w:t>Paragraphe 6.1.2.1</w:t>
      </w:r>
      <w:r w:rsidRPr="004B3825">
        <w:t>,</w:t>
      </w:r>
      <w:r w:rsidRPr="004B3825">
        <w:rPr>
          <w:i/>
        </w:rPr>
        <w:t xml:space="preserve"> </w:t>
      </w:r>
      <w:r w:rsidRPr="004B3825">
        <w:t>lire :</w:t>
      </w:r>
    </w:p>
    <w:p w:rsidR="005C3F2F" w:rsidRPr="004B3825" w:rsidRDefault="005C3F2F" w:rsidP="005C3F2F">
      <w:pPr>
        <w:pStyle w:val="SingleTxtG"/>
        <w:ind w:left="2438" w:hanging="1304"/>
      </w:pPr>
      <w:r w:rsidRPr="004B3825">
        <w:t>« 6.1.2.1</w:t>
      </w:r>
      <w:r w:rsidRPr="004B3825">
        <w:tab/>
      </w:r>
      <w:r w:rsidRPr="004B3825">
        <w:rPr>
          <w:spacing w:val="-3"/>
        </w:rPr>
        <w:t>Un échantillon de système d</w:t>
      </w:r>
      <w:r>
        <w:rPr>
          <w:spacing w:val="-3"/>
        </w:rPr>
        <w:t>’</w:t>
      </w:r>
      <w:r w:rsidRPr="004B3825">
        <w:rPr>
          <w:spacing w:val="-3"/>
        </w:rPr>
        <w:t>adaptation au GPL, tel que défini au paragraphe 2.2</w:t>
      </w:r>
      <w:r w:rsidRPr="004B3825">
        <w:t xml:space="preserve"> du présent Règlement, monté sur le véhicule de base, tel que défini au paragraphe 2.5 du présent Règlement, doit être présenté aux essais définis dans les Règlements ONU </w:t>
      </w:r>
      <w:r w:rsidRPr="004B3825">
        <w:rPr>
          <w:rFonts w:eastAsia="MS Mincho"/>
        </w:rPr>
        <w:t>n</w:t>
      </w:r>
      <w:r w:rsidRPr="004B3825">
        <w:rPr>
          <w:rFonts w:eastAsia="MS Mincho"/>
          <w:vertAlign w:val="superscript"/>
        </w:rPr>
        <w:t>os</w:t>
      </w:r>
      <w:r w:rsidRPr="004B3825">
        <w:t xml:space="preserve"> 83 et 101, dans le </w:t>
      </w:r>
      <w:proofErr w:type="spellStart"/>
      <w:r w:rsidRPr="004B3825">
        <w:t>RTM</w:t>
      </w:r>
      <w:proofErr w:type="spellEnd"/>
      <w:r w:rsidRPr="004B3825">
        <w:t xml:space="preserve"> ONU </w:t>
      </w:r>
      <w:r w:rsidRPr="004B3825">
        <w:rPr>
          <w:rFonts w:eastAsia="MS Mincho"/>
        </w:rPr>
        <w:t>n</w:t>
      </w:r>
      <w:r w:rsidRPr="004B3825">
        <w:rPr>
          <w:rFonts w:eastAsia="MS Mincho"/>
          <w:vertAlign w:val="superscript"/>
        </w:rPr>
        <w:t>o</w:t>
      </w:r>
      <w:r w:rsidRPr="004B3825">
        <w:t xml:space="preserve"> 15 ou dans le Règlement ONU </w:t>
      </w:r>
      <w:r w:rsidRPr="004B3825">
        <w:rPr>
          <w:rFonts w:eastAsia="MS Mincho"/>
        </w:rPr>
        <w:t>n</w:t>
      </w:r>
      <w:r w:rsidRPr="004B3825">
        <w:rPr>
          <w:rFonts w:eastAsia="MS Mincho"/>
          <w:vertAlign w:val="superscript"/>
        </w:rPr>
        <w:t>o</w:t>
      </w:r>
      <w:r w:rsidRPr="004B3825">
        <w:t xml:space="preserve"> 49 selon le cas, dans les limites des prescriptions énoncées aux paragraphes 6.1.2.4 et 6.1.2.5 ci-dessous. Les véhicules et/ou les moteurs sont aussi soumis à un essai de comparaison de la puissance maximale, telle que définie dans le Règlement ONU </w:t>
      </w:r>
      <w:r w:rsidRPr="004B3825">
        <w:rPr>
          <w:rFonts w:eastAsia="MS Mincho"/>
        </w:rPr>
        <w:t>n</w:t>
      </w:r>
      <w:r w:rsidRPr="004B3825">
        <w:rPr>
          <w:rFonts w:eastAsia="MS Mincho"/>
          <w:vertAlign w:val="superscript"/>
        </w:rPr>
        <w:t>o</w:t>
      </w:r>
      <w:r w:rsidRPr="004B3825">
        <w:t> 85 pour les moteurs, ou au paragraphe 6.1.3 ci-dessous pour les véhicules. ».</w:t>
      </w:r>
    </w:p>
    <w:p w:rsidR="005C3F2F" w:rsidRPr="004B3825" w:rsidRDefault="005C3F2F" w:rsidP="005C3F2F">
      <w:pPr>
        <w:pStyle w:val="SingleTxtG"/>
        <w:keepNext/>
      </w:pPr>
      <w:r w:rsidRPr="004B3825">
        <w:rPr>
          <w:i/>
        </w:rPr>
        <w:t>Paragraphe 6.1.2.4.1.1</w:t>
      </w:r>
      <w:r w:rsidRPr="004B3825">
        <w:t>,</w:t>
      </w:r>
      <w:r w:rsidRPr="004B3825">
        <w:rPr>
          <w:i/>
        </w:rPr>
        <w:t xml:space="preserve"> </w:t>
      </w:r>
      <w:r w:rsidRPr="004B3825">
        <w:t>lire :</w:t>
      </w:r>
    </w:p>
    <w:p w:rsidR="005C3F2F" w:rsidRPr="004B3825" w:rsidRDefault="005C3F2F" w:rsidP="005C3F2F">
      <w:pPr>
        <w:pStyle w:val="SingleTxtG"/>
        <w:ind w:left="2438" w:hanging="1304"/>
        <w:rPr>
          <w:lang w:eastAsia="fr-FR"/>
        </w:rPr>
      </w:pPr>
      <w:r w:rsidRPr="004B3825">
        <w:t>« 6.1.2.4.1.1</w:t>
      </w:r>
      <w:r w:rsidRPr="004B3825">
        <w:tab/>
      </w:r>
      <w:r w:rsidRPr="004B3825">
        <w:rPr>
          <w:lang w:eastAsia="fr-FR"/>
        </w:rPr>
        <w:t>Mesures des émissions d</w:t>
      </w:r>
      <w:r>
        <w:rPr>
          <w:lang w:eastAsia="fr-FR"/>
        </w:rPr>
        <w:t>’</w:t>
      </w:r>
      <w:r w:rsidRPr="004B3825">
        <w:rPr>
          <w:lang w:eastAsia="fr-FR"/>
        </w:rPr>
        <w:t>échappement à froid, pour chacun des carburants suivants :</w:t>
      </w:r>
    </w:p>
    <w:p w:rsidR="005C3F2F" w:rsidRPr="004B3825" w:rsidRDefault="005C3F2F" w:rsidP="005C3F2F">
      <w:pPr>
        <w:pStyle w:val="SingleTxtG"/>
        <w:tabs>
          <w:tab w:val="left" w:pos="2977"/>
        </w:tabs>
        <w:ind w:left="2438"/>
        <w:rPr>
          <w:lang w:eastAsia="fr-FR"/>
        </w:rPr>
      </w:pPr>
      <w:r w:rsidRPr="004B3825">
        <w:rPr>
          <w:lang w:eastAsia="fr-FR"/>
        </w:rPr>
        <w:t>a)</w:t>
      </w:r>
      <w:r w:rsidRPr="004B3825">
        <w:rPr>
          <w:lang w:eastAsia="fr-FR"/>
        </w:rPr>
        <w:tab/>
        <w:t>Essence de référence ;</w:t>
      </w:r>
    </w:p>
    <w:p w:rsidR="005C3F2F" w:rsidRPr="004B3825" w:rsidRDefault="005C3F2F" w:rsidP="005C3F2F">
      <w:pPr>
        <w:pStyle w:val="SingleTxtG"/>
        <w:tabs>
          <w:tab w:val="left" w:pos="2977"/>
        </w:tabs>
        <w:ind w:left="2438"/>
        <w:rPr>
          <w:lang w:eastAsia="fr-FR"/>
        </w:rPr>
      </w:pPr>
      <w:r w:rsidRPr="004B3825">
        <w:rPr>
          <w:lang w:eastAsia="fr-FR"/>
        </w:rPr>
        <w:t>b)</w:t>
      </w:r>
      <w:r w:rsidRPr="004B3825">
        <w:rPr>
          <w:lang w:eastAsia="fr-FR"/>
        </w:rPr>
        <w:tab/>
        <w:t>GPL A de référence ;</w:t>
      </w:r>
    </w:p>
    <w:p w:rsidR="005C3F2F" w:rsidRPr="004B3825" w:rsidRDefault="005C3F2F" w:rsidP="005C3F2F">
      <w:pPr>
        <w:pStyle w:val="SingleTxtG"/>
        <w:tabs>
          <w:tab w:val="left" w:pos="2977"/>
        </w:tabs>
        <w:ind w:left="2438"/>
        <w:rPr>
          <w:lang w:eastAsia="fr-FR"/>
        </w:rPr>
      </w:pPr>
      <w:r w:rsidRPr="004B3825">
        <w:rPr>
          <w:lang w:eastAsia="fr-FR"/>
        </w:rPr>
        <w:t>c)</w:t>
      </w:r>
      <w:r w:rsidRPr="004B3825">
        <w:rPr>
          <w:lang w:eastAsia="fr-FR"/>
        </w:rPr>
        <w:tab/>
        <w:t>GPL B de référence.</w:t>
      </w:r>
    </w:p>
    <w:p w:rsidR="005C3F2F" w:rsidRPr="004B3825" w:rsidRDefault="005C3F2F" w:rsidP="005C3F2F">
      <w:pPr>
        <w:pStyle w:val="SingleTxtG"/>
        <w:ind w:left="2438"/>
      </w:pPr>
      <w:r w:rsidRPr="004B3825">
        <w:rPr>
          <w:lang w:eastAsia="fr-FR"/>
        </w:rPr>
        <w:t xml:space="preserve">Les émissions de CO, </w:t>
      </w:r>
      <w:proofErr w:type="spellStart"/>
      <w:r w:rsidRPr="004B3825">
        <w:rPr>
          <w:lang w:eastAsia="fr-FR"/>
        </w:rPr>
        <w:t>HC</w:t>
      </w:r>
      <w:proofErr w:type="spellEnd"/>
      <w:r w:rsidRPr="004B3825">
        <w:rPr>
          <w:lang w:eastAsia="fr-FR"/>
        </w:rPr>
        <w:t xml:space="preserve"> et </w:t>
      </w:r>
      <w:r w:rsidRPr="004B3825">
        <w:t>NO</w:t>
      </w:r>
      <w:r w:rsidRPr="004B3825">
        <w:rPr>
          <w:vertAlign w:val="subscript"/>
        </w:rPr>
        <w:t xml:space="preserve">X </w:t>
      </w:r>
      <w:r w:rsidRPr="004B3825">
        <w:rPr>
          <w:lang w:eastAsia="fr-FR"/>
        </w:rPr>
        <w:t xml:space="preserve">sont calculées conformément au Règlement ONU </w:t>
      </w:r>
      <w:r w:rsidRPr="004B3825">
        <w:rPr>
          <w:rFonts w:eastAsia="MS Mincho"/>
          <w:lang w:eastAsia="fr-FR"/>
        </w:rPr>
        <w:t>n</w:t>
      </w:r>
      <w:r w:rsidRPr="004B3825">
        <w:rPr>
          <w:rFonts w:eastAsia="MS Mincho"/>
          <w:vertAlign w:val="superscript"/>
          <w:lang w:eastAsia="fr-FR"/>
        </w:rPr>
        <w:t>o</w:t>
      </w:r>
      <w:r w:rsidRPr="004B3825">
        <w:rPr>
          <w:lang w:eastAsia="fr-FR"/>
        </w:rPr>
        <w:t> 83</w:t>
      </w:r>
      <w:r w:rsidRPr="004B3825">
        <w:rPr>
          <w:sz w:val="18"/>
          <w:szCs w:val="18"/>
          <w:vertAlign w:val="superscript"/>
          <w:lang w:eastAsia="fr-FR"/>
        </w:rPr>
        <w:t>5</w:t>
      </w:r>
      <w:r w:rsidRPr="004B3825">
        <w:rPr>
          <w:vertAlign w:val="superscript"/>
          <w:lang w:eastAsia="fr-FR"/>
        </w:rPr>
        <w:t xml:space="preserve"> </w:t>
      </w:r>
      <w:r w:rsidRPr="004B3825">
        <w:t xml:space="preserve">ou au </w:t>
      </w:r>
      <w:proofErr w:type="spellStart"/>
      <w:r w:rsidRPr="004B3825">
        <w:t>RTM</w:t>
      </w:r>
      <w:proofErr w:type="spellEnd"/>
      <w:r w:rsidRPr="004B3825">
        <w:t xml:space="preserve"> ONU </w:t>
      </w:r>
      <w:r w:rsidRPr="004B3825">
        <w:rPr>
          <w:rFonts w:eastAsia="MS Mincho"/>
        </w:rPr>
        <w:t>n</w:t>
      </w:r>
      <w:r w:rsidRPr="004B3825">
        <w:rPr>
          <w:rFonts w:eastAsia="MS Mincho"/>
          <w:vertAlign w:val="superscript"/>
        </w:rPr>
        <w:t>o</w:t>
      </w:r>
      <w:r w:rsidRPr="004B3825">
        <w:t> 15, selon le cas. ».</w:t>
      </w:r>
    </w:p>
    <w:p w:rsidR="005C3F2F" w:rsidRPr="004B3825" w:rsidRDefault="005C3F2F" w:rsidP="005C3F2F">
      <w:pPr>
        <w:pStyle w:val="SingleTxtG"/>
        <w:keepNext/>
      </w:pPr>
      <w:r w:rsidRPr="004B3825">
        <w:rPr>
          <w:i/>
        </w:rPr>
        <w:t>Paragraphes</w:t>
      </w:r>
      <w:r w:rsidRPr="004B3825">
        <w:rPr>
          <w:i/>
          <w:iCs/>
        </w:rPr>
        <w:t xml:space="preserve"> </w:t>
      </w:r>
      <w:r w:rsidRPr="004B3825">
        <w:rPr>
          <w:bCs/>
          <w:i/>
          <w:iCs/>
        </w:rPr>
        <w:t>6.1.2.4.1.2.2,</w:t>
      </w:r>
      <w:r w:rsidRPr="004B3825">
        <w:rPr>
          <w:i/>
        </w:rPr>
        <w:t xml:space="preserve"> 6.1.2.4.1.3 et 6.1.2.4.1.4</w:t>
      </w:r>
      <w:r w:rsidRPr="004B3825">
        <w:t>,</w:t>
      </w:r>
      <w:r w:rsidRPr="004B3825">
        <w:rPr>
          <w:i/>
        </w:rPr>
        <w:t xml:space="preserve"> </w:t>
      </w:r>
      <w:r w:rsidRPr="004B3825">
        <w:t>lire :</w:t>
      </w:r>
    </w:p>
    <w:p w:rsidR="005C3F2F" w:rsidRPr="004B3825" w:rsidRDefault="005C3F2F" w:rsidP="005C3F2F">
      <w:pPr>
        <w:pStyle w:val="SingleTxtG"/>
        <w:ind w:left="2438" w:hanging="1304"/>
        <w:rPr>
          <w:bCs/>
        </w:rPr>
      </w:pPr>
      <w:r w:rsidRPr="004B3825">
        <w:rPr>
          <w:bCs/>
        </w:rPr>
        <w:t>« </w:t>
      </w:r>
      <w:r w:rsidRPr="004B3825">
        <w:rPr>
          <w:bCs/>
          <w:spacing w:val="-4"/>
        </w:rPr>
        <w:t>6.1.2.4.1.2.2</w:t>
      </w:r>
      <w:r w:rsidRPr="004B3825">
        <w:rPr>
          <w:bCs/>
        </w:rPr>
        <w:tab/>
        <w:t xml:space="preserve">En utilisant les valeurs du tableau uniquement pour le cycle </w:t>
      </w:r>
      <w:proofErr w:type="spellStart"/>
      <w:r w:rsidRPr="004B3825">
        <w:rPr>
          <w:bCs/>
        </w:rPr>
        <w:t>NCEE</w:t>
      </w:r>
      <w:proofErr w:type="spellEnd"/>
      <w:r w:rsidRPr="004B3825">
        <w:rPr>
          <w:bCs/>
        </w:rPr>
        <w:t> :</w:t>
      </w:r>
    </w:p>
    <w:p w:rsidR="005C3F2F" w:rsidRPr="004B3825" w:rsidRDefault="005C3F2F" w:rsidP="005C3F2F">
      <w:pPr>
        <w:pStyle w:val="SingleTxtG"/>
        <w:tabs>
          <w:tab w:val="left" w:pos="2977"/>
        </w:tabs>
        <w:ind w:left="2438"/>
        <w:rPr>
          <w:bCs/>
        </w:rPr>
      </w:pPr>
      <w:r w:rsidRPr="004B3825">
        <w:rPr>
          <w:bCs/>
        </w:rPr>
        <w:t>…</w:t>
      </w:r>
    </w:p>
    <w:p w:rsidR="005C3F2F" w:rsidRPr="004B3825" w:rsidRDefault="005C3F2F" w:rsidP="005C3F2F">
      <w:pPr>
        <w:pStyle w:val="SingleTxtG"/>
        <w:ind w:left="2438" w:hanging="1304"/>
      </w:pPr>
      <w:r w:rsidRPr="004B3825">
        <w:rPr>
          <w:bCs/>
        </w:rPr>
        <w:t>6.1.2.4</w:t>
      </w:r>
      <w:r w:rsidRPr="004B3825">
        <w:t>.1.3</w:t>
      </w:r>
      <w:r w:rsidRPr="004B3825">
        <w:tab/>
        <w:t>Essai de mesure des émissions d</w:t>
      </w:r>
      <w:r>
        <w:t>’</w:t>
      </w:r>
      <w:r w:rsidRPr="004B3825">
        <w:t>échappement en mode essence</w:t>
      </w:r>
    </w:p>
    <w:p w:rsidR="005C3F2F" w:rsidRPr="004B3825" w:rsidRDefault="005C3F2F" w:rsidP="005C3F2F">
      <w:pPr>
        <w:pStyle w:val="SingleTxtG"/>
        <w:tabs>
          <w:tab w:val="left" w:pos="2977"/>
        </w:tabs>
        <w:ind w:left="2438"/>
      </w:pPr>
      <w:r w:rsidRPr="004B3825">
        <w:t>Le cycle d</w:t>
      </w:r>
      <w:r>
        <w:t>’</w:t>
      </w:r>
      <w:r w:rsidRPr="004B3825">
        <w:t>essai (</w:t>
      </w:r>
      <w:proofErr w:type="spellStart"/>
      <w:r w:rsidRPr="004B3825">
        <w:t>NCEE</w:t>
      </w:r>
      <w:proofErr w:type="spellEnd"/>
      <w:r w:rsidRPr="004B3825">
        <w:t xml:space="preserve"> ou </w:t>
      </w:r>
      <w:proofErr w:type="spellStart"/>
      <w:r w:rsidRPr="004B3825">
        <w:t>WLTC</w:t>
      </w:r>
      <w:proofErr w:type="spellEnd"/>
      <w:r w:rsidRPr="004B3825">
        <w:t>) doit être choisi en fonction de l</w:t>
      </w:r>
      <w:r>
        <w:t>’</w:t>
      </w:r>
      <w:r w:rsidRPr="004B3825">
        <w:t>homologation de type initiale du véhicule. Le ou les véhicules de base, équipés du système d</w:t>
      </w:r>
      <w:r>
        <w:t>’</w:t>
      </w:r>
      <w:r w:rsidRPr="004B3825">
        <w:t>adaptation, ne doivent pas dépasser les valeurs limites fixées lors de l</w:t>
      </w:r>
      <w:r>
        <w:t>’</w:t>
      </w:r>
      <w:r w:rsidRPr="004B3825">
        <w:t>homologation de type du ou des véhicules d</w:t>
      </w:r>
      <w:r>
        <w:t>’</w:t>
      </w:r>
      <w:r w:rsidRPr="004B3825">
        <w:t>origine, corrigées des coefficients de détérioration appliqués à cette occasion.</w:t>
      </w:r>
    </w:p>
    <w:p w:rsidR="005C3F2F" w:rsidRPr="004B3825" w:rsidRDefault="005C3F2F" w:rsidP="005C3F2F">
      <w:pPr>
        <w:pStyle w:val="SingleTxtG"/>
        <w:ind w:left="2438" w:hanging="1304"/>
      </w:pPr>
      <w:r w:rsidRPr="004B3825">
        <w:rPr>
          <w:bCs/>
        </w:rPr>
        <w:t>6.1.2.4</w:t>
      </w:r>
      <w:r w:rsidRPr="004B3825">
        <w:t>.1.4</w:t>
      </w:r>
      <w:r w:rsidRPr="004B3825">
        <w:tab/>
        <w:t>Prescriptions spécifiques s</w:t>
      </w:r>
      <w:r>
        <w:t>’</w:t>
      </w:r>
      <w:r w:rsidRPr="004B3825">
        <w:t>appliquant au cycle d</w:t>
      </w:r>
      <w:r>
        <w:t>’</w:t>
      </w:r>
      <w:r w:rsidRPr="004B3825">
        <w:t xml:space="preserve">essai </w:t>
      </w:r>
      <w:proofErr w:type="spellStart"/>
      <w:r w:rsidRPr="004B3825">
        <w:t>NCEE</w:t>
      </w:r>
      <w:proofErr w:type="spellEnd"/>
    </w:p>
    <w:p w:rsidR="005C3F2F" w:rsidRPr="004B3825" w:rsidRDefault="005C3F2F" w:rsidP="005C3F2F">
      <w:pPr>
        <w:pStyle w:val="SingleTxtG"/>
        <w:tabs>
          <w:tab w:val="left" w:pos="2977"/>
        </w:tabs>
        <w:ind w:left="2438"/>
      </w:pPr>
      <w:r w:rsidRPr="004B3825">
        <w:t>Sous réserve des prescriptions du paragraphe 6.1.2.4.1.4.2 ci-dessous, l</w:t>
      </w:r>
      <w:r>
        <w:t>’</w:t>
      </w:r>
      <w:r w:rsidRPr="004B3825">
        <w:t>essai doit être effectué trois fois avec de l</w:t>
      </w:r>
      <w:r>
        <w:t>’</w:t>
      </w:r>
      <w:r w:rsidRPr="004B3825">
        <w:t>essence de référence. ».</w:t>
      </w:r>
    </w:p>
    <w:p w:rsidR="005C3F2F" w:rsidRPr="004B3825" w:rsidRDefault="005C3F2F" w:rsidP="005C3F2F">
      <w:pPr>
        <w:pStyle w:val="SingleTxtG"/>
      </w:pPr>
      <w:r w:rsidRPr="004B3825">
        <w:rPr>
          <w:i/>
        </w:rPr>
        <w:t>Le paragraphe 6.1.2.4.1.4 devient le paragraphe 6.1.2.4.1.4.1.</w:t>
      </w:r>
    </w:p>
    <w:p w:rsidR="005C3F2F" w:rsidRPr="004B3825" w:rsidRDefault="005C3F2F" w:rsidP="005C3F2F">
      <w:pPr>
        <w:pStyle w:val="SingleTxtG"/>
        <w:keepNext/>
        <w:rPr>
          <w:iCs/>
        </w:rPr>
      </w:pPr>
      <w:r w:rsidRPr="004B3825">
        <w:rPr>
          <w:i/>
        </w:rPr>
        <w:t xml:space="preserve">Le paragraphe 6.1.2.4.1.5 devient le paragraphe 6.1.2.4.1.4.2 </w:t>
      </w:r>
      <w:r w:rsidRPr="004B3825">
        <w:rPr>
          <w:iCs/>
        </w:rPr>
        <w:t>a</w:t>
      </w:r>
      <w:bookmarkStart w:id="1" w:name="_GoBack"/>
      <w:bookmarkEnd w:id="1"/>
      <w:r w:rsidRPr="004B3825">
        <w:rPr>
          <w:iCs/>
        </w:rPr>
        <w:t>vec la modification suivante :</w:t>
      </w:r>
    </w:p>
    <w:p w:rsidR="005C3F2F" w:rsidRPr="004B3825" w:rsidRDefault="005C3F2F" w:rsidP="005C3F2F">
      <w:pPr>
        <w:pStyle w:val="SingleTxtG"/>
        <w:ind w:left="2438" w:hanging="1304"/>
        <w:rPr>
          <w:bCs/>
        </w:rPr>
      </w:pPr>
      <w:r w:rsidRPr="004B3825">
        <w:rPr>
          <w:lang w:eastAsia="it-IT"/>
        </w:rPr>
        <w:t>« </w:t>
      </w:r>
      <w:r w:rsidRPr="004B3825">
        <w:rPr>
          <w:bCs/>
          <w:spacing w:val="-2"/>
        </w:rPr>
        <w:t>6.1.2.4.1.4.2</w:t>
      </w:r>
      <w:r w:rsidRPr="004B3825">
        <w:rPr>
          <w:lang w:eastAsia="it-IT"/>
        </w:rPr>
        <w:tab/>
        <w:t>Le nombre d</w:t>
      </w:r>
      <w:r>
        <w:rPr>
          <w:lang w:eastAsia="it-IT"/>
        </w:rPr>
        <w:t>’</w:t>
      </w:r>
      <w:r w:rsidRPr="004B3825">
        <w:rPr>
          <w:lang w:eastAsia="it-IT"/>
        </w:rPr>
        <w:t>essais d</w:t>
      </w:r>
      <w:r>
        <w:rPr>
          <w:lang w:eastAsia="it-IT"/>
        </w:rPr>
        <w:t>’</w:t>
      </w:r>
      <w:r w:rsidRPr="004B3825">
        <w:rPr>
          <w:lang w:eastAsia="it-IT"/>
        </w:rPr>
        <w:t>émission prescrit au paragraphe 6.1.2.4.1.4 peut… ».</w:t>
      </w:r>
    </w:p>
    <w:p w:rsidR="005C3F2F" w:rsidRPr="004B3825" w:rsidRDefault="005C3F2F" w:rsidP="005C3F2F">
      <w:pPr>
        <w:pStyle w:val="SingleTxtG"/>
        <w:keepNext/>
      </w:pPr>
      <w:r w:rsidRPr="004B3825">
        <w:rPr>
          <w:i/>
        </w:rPr>
        <w:t>Ajouter deux nouveaux paragraphes, 6.1.2.4.1.5 et 6.1.2.4.1.5.1</w:t>
      </w:r>
      <w:r w:rsidRPr="004B3825">
        <w:t>,</w:t>
      </w:r>
      <w:r w:rsidRPr="004B3825">
        <w:rPr>
          <w:i/>
        </w:rPr>
        <w:t xml:space="preserve"> </w:t>
      </w:r>
      <w:r w:rsidRPr="004B3825">
        <w:rPr>
          <w:iCs/>
        </w:rPr>
        <w:t>libellés comme suit :</w:t>
      </w:r>
    </w:p>
    <w:p w:rsidR="005C3F2F" w:rsidRPr="004B3825" w:rsidRDefault="005C3F2F" w:rsidP="005C3F2F">
      <w:pPr>
        <w:pStyle w:val="SingleTxtG"/>
        <w:keepNext/>
        <w:ind w:left="2438" w:hanging="1304"/>
      </w:pPr>
      <w:r w:rsidRPr="004B3825">
        <w:rPr>
          <w:bCs/>
        </w:rPr>
        <w:t>« 6.1.2.4</w:t>
      </w:r>
      <w:r w:rsidRPr="004B3825">
        <w:t>.1.5</w:t>
      </w:r>
      <w:r w:rsidRPr="004B3825">
        <w:tab/>
        <w:t>Prescriptions spécifiques s</w:t>
      </w:r>
      <w:r>
        <w:t>’</w:t>
      </w:r>
      <w:r w:rsidRPr="004B3825">
        <w:t>appliquant au cycle d</w:t>
      </w:r>
      <w:r>
        <w:t>’</w:t>
      </w:r>
      <w:r w:rsidRPr="004B3825">
        <w:t xml:space="preserve">essai </w:t>
      </w:r>
      <w:proofErr w:type="spellStart"/>
      <w:r w:rsidRPr="004B3825">
        <w:t>WLTC</w:t>
      </w:r>
      <w:proofErr w:type="spellEnd"/>
    </w:p>
    <w:p w:rsidR="005C3F2F" w:rsidRPr="004B3825" w:rsidRDefault="005C3F2F" w:rsidP="005C3F2F">
      <w:pPr>
        <w:pStyle w:val="SingleTxtG"/>
        <w:ind w:left="2438"/>
      </w:pPr>
      <w:r w:rsidRPr="004B3825">
        <w:t>Sous réserve des prescriptions du paragraphe 6.1.2.4.1.5.1 ci-dessous, l</w:t>
      </w:r>
      <w:r>
        <w:t>’</w:t>
      </w:r>
      <w:r w:rsidRPr="004B3825">
        <w:t>essai doit être effectué deux fois avec de l</w:t>
      </w:r>
      <w:r>
        <w:t>’</w:t>
      </w:r>
      <w:r w:rsidRPr="004B3825">
        <w:t>essence de référence.</w:t>
      </w:r>
    </w:p>
    <w:p w:rsidR="005C3F2F" w:rsidRPr="004B3825" w:rsidRDefault="005C3F2F" w:rsidP="005C3F2F">
      <w:pPr>
        <w:pStyle w:val="SingleTxtG"/>
        <w:ind w:left="2438" w:hanging="1304"/>
      </w:pPr>
      <w:r w:rsidRPr="004B3825">
        <w:rPr>
          <w:bCs/>
          <w:color w:val="000000"/>
        </w:rPr>
        <w:lastRenderedPageBreak/>
        <w:t>6.1.2.</w:t>
      </w:r>
      <w:r w:rsidRPr="004B3825">
        <w:rPr>
          <w:color w:val="000000"/>
        </w:rPr>
        <w:t>4.1.5.1</w:t>
      </w:r>
      <w:r w:rsidRPr="004B3825">
        <w:rPr>
          <w:color w:val="000000"/>
        </w:rPr>
        <w:tab/>
        <w:t>Le nombre d</w:t>
      </w:r>
      <w:r>
        <w:rPr>
          <w:color w:val="000000"/>
        </w:rPr>
        <w:t>’</w:t>
      </w:r>
      <w:r w:rsidRPr="004B3825">
        <w:rPr>
          <w:color w:val="000000"/>
        </w:rPr>
        <w:t>essais d</w:t>
      </w:r>
      <w:r>
        <w:rPr>
          <w:color w:val="000000"/>
        </w:rPr>
        <w:t>’</w:t>
      </w:r>
      <w:r w:rsidRPr="004B3825">
        <w:rPr>
          <w:color w:val="000000"/>
        </w:rPr>
        <w:t xml:space="preserve">émission prescrit au </w:t>
      </w:r>
      <w:r w:rsidRPr="004B3825">
        <w:rPr>
          <w:color w:val="000000"/>
          <w:lang w:eastAsia="it-IT"/>
        </w:rPr>
        <w:t>paragraphe 6.1.2.4.1.5</w:t>
      </w:r>
      <w:r w:rsidRPr="004B3825">
        <w:rPr>
          <w:color w:val="000000"/>
        </w:rPr>
        <w:t xml:space="preserve"> peut être réduit à un seul essai si le résultat obtenu pour chaque polluant réglementé est inférieur ou égal à</w:t>
      </w:r>
      <w:r w:rsidRPr="004B3825">
        <w:t xml:space="preserve"> 0,9 fois la valeur limite (c</w:t>
      </w:r>
      <w:r>
        <w:t>’</w:t>
      </w:r>
      <w:r w:rsidRPr="004B3825">
        <w:t>est-à-dire V1 ≤ 0,90 G) ;</w:t>
      </w:r>
    </w:p>
    <w:p w:rsidR="005C3F2F" w:rsidRPr="004B3825" w:rsidRDefault="005C3F2F" w:rsidP="005C3F2F">
      <w:pPr>
        <w:pStyle w:val="SingleTxtG"/>
        <w:tabs>
          <w:tab w:val="left" w:pos="2977"/>
        </w:tabs>
        <w:ind w:left="2438"/>
      </w:pPr>
      <w:r w:rsidRPr="004B3825">
        <w:t>où :</w:t>
      </w:r>
    </w:p>
    <w:p w:rsidR="005C3F2F" w:rsidRPr="004B3825" w:rsidRDefault="005C3F2F" w:rsidP="005C3F2F">
      <w:pPr>
        <w:pStyle w:val="SingleTxtG"/>
        <w:tabs>
          <w:tab w:val="left" w:pos="3261"/>
        </w:tabs>
        <w:ind w:left="3175" w:hanging="737"/>
      </w:pPr>
      <w:r w:rsidRPr="004B3825">
        <w:t>V1</w:t>
      </w:r>
      <w:r w:rsidRPr="004B3825">
        <w:tab/>
        <w:t>est la valeur des émissions d</w:t>
      </w:r>
      <w:r>
        <w:t>’</w:t>
      </w:r>
      <w:r w:rsidRPr="004B3825">
        <w:t>un polluant obtenue lors du premier essai de type I ;</w:t>
      </w:r>
    </w:p>
    <w:p w:rsidR="005C3F2F" w:rsidRPr="004B3825" w:rsidRDefault="005C3F2F" w:rsidP="005C3F2F">
      <w:pPr>
        <w:pStyle w:val="SingleTxtG"/>
        <w:tabs>
          <w:tab w:val="left" w:pos="3261"/>
        </w:tabs>
        <w:ind w:left="3175" w:hanging="737"/>
      </w:pPr>
      <w:r w:rsidRPr="004B3825">
        <w:t>G</w:t>
      </w:r>
      <w:r w:rsidRPr="004B3825">
        <w:tab/>
        <w:t>est la valeur limite des émissions d</w:t>
      </w:r>
      <w:r>
        <w:t>’</w:t>
      </w:r>
      <w:r w:rsidRPr="004B3825">
        <w:t xml:space="preserve">un polluant (CO, </w:t>
      </w:r>
      <w:proofErr w:type="spellStart"/>
      <w:r w:rsidRPr="004B3825">
        <w:t>HC</w:t>
      </w:r>
      <w:proofErr w:type="spellEnd"/>
      <w:r w:rsidRPr="004B3825">
        <w:t xml:space="preserve"> ou NO</w:t>
      </w:r>
      <w:r w:rsidRPr="004B3825">
        <w:rPr>
          <w:vertAlign w:val="subscript"/>
        </w:rPr>
        <w:t>X</w:t>
      </w:r>
      <w:r w:rsidRPr="004B3825">
        <w:t>) définie lors de l</w:t>
      </w:r>
      <w:r>
        <w:t>’</w:t>
      </w:r>
      <w:r w:rsidRPr="004B3825">
        <w:t>homologation de type du ou des véhicules, corrigée des facteurs de détérioration. ».</w:t>
      </w:r>
    </w:p>
    <w:p w:rsidR="005C3F2F" w:rsidRPr="004B3825" w:rsidRDefault="005C3F2F" w:rsidP="005C3F2F">
      <w:pPr>
        <w:pStyle w:val="SingleTxtG"/>
        <w:keepNext/>
      </w:pPr>
      <w:r w:rsidRPr="004B3825">
        <w:rPr>
          <w:i/>
        </w:rPr>
        <w:t>Paragraphe 6.1.2.4.1.6</w:t>
      </w:r>
      <w:r w:rsidRPr="004B3825">
        <w:t>,</w:t>
      </w:r>
      <w:r w:rsidRPr="004B3825">
        <w:rPr>
          <w:i/>
        </w:rPr>
        <w:t xml:space="preserve"> </w:t>
      </w:r>
      <w:r w:rsidRPr="004B3825">
        <w:t>lire :</w:t>
      </w:r>
    </w:p>
    <w:p w:rsidR="005C3F2F" w:rsidRPr="004B3825" w:rsidRDefault="005C3F2F" w:rsidP="005C3F2F">
      <w:pPr>
        <w:pStyle w:val="SingleTxtG"/>
        <w:ind w:left="2438" w:hanging="1304"/>
        <w:rPr>
          <w:color w:val="000000"/>
        </w:rPr>
      </w:pPr>
      <w:bookmarkStart w:id="2" w:name="_Hlk528314240"/>
      <w:r w:rsidRPr="004B3825">
        <w:rPr>
          <w:color w:val="000000"/>
        </w:rPr>
        <w:t>« 6.1.2.4.1.6</w:t>
      </w:r>
      <w:bookmarkEnd w:id="2"/>
      <w:r w:rsidRPr="004B3825">
        <w:rPr>
          <w:color w:val="000000"/>
        </w:rPr>
        <w:tab/>
      </w:r>
      <w:r w:rsidRPr="004B3825">
        <w:rPr>
          <w:bCs/>
        </w:rPr>
        <w:t>Essai de mesure des émissions d</w:t>
      </w:r>
      <w:r>
        <w:rPr>
          <w:bCs/>
        </w:rPr>
        <w:t>’</w:t>
      </w:r>
      <w:r w:rsidRPr="004B3825">
        <w:rPr>
          <w:bCs/>
        </w:rPr>
        <w:t>échappement en mode GPL</w:t>
      </w:r>
    </w:p>
    <w:p w:rsidR="005C3F2F" w:rsidRPr="004B3825" w:rsidRDefault="005C3F2F" w:rsidP="005C3F2F">
      <w:pPr>
        <w:pStyle w:val="SingleTxtG"/>
        <w:ind w:left="2438"/>
        <w:rPr>
          <w:color w:val="000000"/>
        </w:rPr>
      </w:pPr>
      <w:r w:rsidRPr="004B3825">
        <w:t>Le cycle d</w:t>
      </w:r>
      <w:r>
        <w:t>’</w:t>
      </w:r>
      <w:r w:rsidRPr="004B3825">
        <w:t>essai (</w:t>
      </w:r>
      <w:proofErr w:type="spellStart"/>
      <w:r w:rsidRPr="004B3825">
        <w:t>NCEE</w:t>
      </w:r>
      <w:proofErr w:type="spellEnd"/>
      <w:r w:rsidRPr="004B3825">
        <w:t xml:space="preserve"> ou </w:t>
      </w:r>
      <w:proofErr w:type="spellStart"/>
      <w:r w:rsidRPr="004B3825">
        <w:t>WLTC</w:t>
      </w:r>
      <w:proofErr w:type="spellEnd"/>
      <w:r w:rsidRPr="004B3825">
        <w:t>) doit être choisi en fonction de l</w:t>
      </w:r>
      <w:r>
        <w:t>’</w:t>
      </w:r>
      <w:r w:rsidRPr="004B3825">
        <w:t>homologation de type initiale du véhicule.</w:t>
      </w:r>
      <w:r w:rsidRPr="004B3825">
        <w:rPr>
          <w:color w:val="000000"/>
        </w:rPr>
        <w:t xml:space="preserve"> Le véhicule de base équipé du système d</w:t>
      </w:r>
      <w:r>
        <w:rPr>
          <w:color w:val="000000"/>
        </w:rPr>
        <w:t>’</w:t>
      </w:r>
      <w:r w:rsidRPr="004B3825">
        <w:rPr>
          <w:color w:val="000000"/>
        </w:rPr>
        <w:t>adaptation doit satisfaire aux valeurs limites fixées lors de l</w:t>
      </w:r>
      <w:r>
        <w:rPr>
          <w:color w:val="000000"/>
        </w:rPr>
        <w:t>’</w:t>
      </w:r>
      <w:r w:rsidRPr="004B3825">
        <w:rPr>
          <w:color w:val="000000"/>
        </w:rPr>
        <w:t>homologation de type du ou des véhicules d</w:t>
      </w:r>
      <w:r>
        <w:rPr>
          <w:color w:val="000000"/>
        </w:rPr>
        <w:t>’</w:t>
      </w:r>
      <w:r w:rsidRPr="004B3825">
        <w:rPr>
          <w:color w:val="000000"/>
        </w:rPr>
        <w:t>origine, corrigées des facteurs de détérioration appliqués à cette occasion.</w:t>
      </w:r>
    </w:p>
    <w:p w:rsidR="005C3F2F" w:rsidRPr="004B3825" w:rsidRDefault="005C3F2F" w:rsidP="005C3F2F">
      <w:pPr>
        <w:pStyle w:val="SingleTxtG"/>
        <w:ind w:left="2438"/>
      </w:pPr>
      <w:r w:rsidRPr="004B3825">
        <w:t xml:space="preserve">Si le véhicule de base est conforme soit au Règlement ONU </w:t>
      </w:r>
      <w:r w:rsidRPr="004B3825">
        <w:rPr>
          <w:rFonts w:eastAsia="MS Mincho"/>
        </w:rPr>
        <w:t>n</w:t>
      </w:r>
      <w:r w:rsidRPr="004B3825">
        <w:rPr>
          <w:rFonts w:eastAsia="MS Mincho"/>
          <w:vertAlign w:val="superscript"/>
        </w:rPr>
        <w:t>o</w:t>
      </w:r>
      <w:r w:rsidRPr="004B3825">
        <w:t> 83, série 05 d</w:t>
      </w:r>
      <w:r>
        <w:t>’</w:t>
      </w:r>
      <w:r w:rsidRPr="004B3825">
        <w:t xml:space="preserve">amendements, soit à la Directive 98/69/CE, soit au Règlement ONU </w:t>
      </w:r>
      <w:r w:rsidRPr="004B3825">
        <w:rPr>
          <w:rFonts w:eastAsia="MS Mincho"/>
        </w:rPr>
        <w:t>n</w:t>
      </w:r>
      <w:r w:rsidRPr="004B3825">
        <w:rPr>
          <w:rFonts w:eastAsia="MS Mincho"/>
          <w:vertAlign w:val="superscript"/>
        </w:rPr>
        <w:t>o</w:t>
      </w:r>
      <w:r w:rsidRPr="004B3825">
        <w:t> 49, série 04 d</w:t>
      </w:r>
      <w:r>
        <w:t>’</w:t>
      </w:r>
      <w:r w:rsidRPr="004B3825">
        <w:t>amendements, ou encore à la Directive 1999/96/CE, il ne doit pas fonctionner à l</w:t>
      </w:r>
      <w:r>
        <w:t>’</w:t>
      </w:r>
      <w:r w:rsidRPr="004B3825">
        <w:t>essence pendant plus de 90 s lors de chaque essai.</w:t>
      </w:r>
    </w:p>
    <w:p w:rsidR="005C3F2F" w:rsidRPr="004B3825" w:rsidRDefault="005C3F2F" w:rsidP="005C3F2F">
      <w:pPr>
        <w:pStyle w:val="SingleTxtG"/>
        <w:ind w:left="2438"/>
      </w:pPr>
      <w:r w:rsidRPr="004B3825">
        <w:t xml:space="preserve">Pour les véhicules conformes au Règlement ONU </w:t>
      </w:r>
      <w:r w:rsidRPr="004B3825">
        <w:rPr>
          <w:rFonts w:eastAsia="MS Mincho"/>
        </w:rPr>
        <w:t>n</w:t>
      </w:r>
      <w:r w:rsidRPr="004B3825">
        <w:rPr>
          <w:rFonts w:eastAsia="MS Mincho"/>
          <w:vertAlign w:val="superscript"/>
        </w:rPr>
        <w:t>o</w:t>
      </w:r>
      <w:r w:rsidRPr="004B3825">
        <w:t> 83 jusqu</w:t>
      </w:r>
      <w:r>
        <w:t>’</w:t>
      </w:r>
      <w:r w:rsidRPr="004B3825">
        <w:t>à la série 07 d</w:t>
      </w:r>
      <w:r>
        <w:t>’</w:t>
      </w:r>
      <w:r w:rsidRPr="004B3825">
        <w:t xml:space="preserve">amendements </w:t>
      </w:r>
      <w:r w:rsidRPr="004B3825">
        <w:rPr>
          <w:bCs/>
        </w:rPr>
        <w:t xml:space="preserve">ou aux séries </w:t>
      </w:r>
      <w:bookmarkStart w:id="3" w:name="_Hlk527727768"/>
      <w:r w:rsidRPr="004B3825">
        <w:rPr>
          <w:bCs/>
        </w:rPr>
        <w:t>d</w:t>
      </w:r>
      <w:r>
        <w:rPr>
          <w:bCs/>
        </w:rPr>
        <w:t>’</w:t>
      </w:r>
      <w:r w:rsidRPr="004B3825">
        <w:rPr>
          <w:bCs/>
        </w:rPr>
        <w:t xml:space="preserve">amendements </w:t>
      </w:r>
      <w:r w:rsidRPr="004B3825">
        <w:t xml:space="preserve">05 ou suivantes au Règlement ONU </w:t>
      </w:r>
      <w:r w:rsidRPr="004B3825">
        <w:rPr>
          <w:rFonts w:eastAsia="MS Mincho"/>
        </w:rPr>
        <w:t>n</w:t>
      </w:r>
      <w:r w:rsidRPr="004B3825">
        <w:rPr>
          <w:rFonts w:eastAsia="MS Mincho"/>
          <w:vertAlign w:val="superscript"/>
        </w:rPr>
        <w:t>o</w:t>
      </w:r>
      <w:r w:rsidRPr="004B3825">
        <w:t> 49</w:t>
      </w:r>
      <w:bookmarkEnd w:id="3"/>
      <w:r w:rsidRPr="004B3825">
        <w:t>, cette période ne doit pas dépasser 60 s.</w:t>
      </w:r>
    </w:p>
    <w:p w:rsidR="005C3F2F" w:rsidRPr="004B3825" w:rsidRDefault="005C3F2F" w:rsidP="005C3F2F">
      <w:pPr>
        <w:pStyle w:val="SingleTxtG"/>
        <w:ind w:left="2438"/>
        <w:rPr>
          <w:color w:val="000000"/>
        </w:rPr>
      </w:pPr>
      <w:r w:rsidRPr="004B3825">
        <w:t xml:space="preserve">Pour les véhicules homologués au titre du cycle </w:t>
      </w:r>
      <w:proofErr w:type="spellStart"/>
      <w:r w:rsidRPr="004B3825">
        <w:t>WLTC</w:t>
      </w:r>
      <w:proofErr w:type="spellEnd"/>
      <w:r w:rsidRPr="004B3825">
        <w:t xml:space="preserve">, cette période doit être prédéterminée et ne doit pas être modifiée par le conducteur. ». </w:t>
      </w:r>
    </w:p>
    <w:p w:rsidR="005C3F2F" w:rsidRPr="004B3825" w:rsidRDefault="005C3F2F" w:rsidP="005C3F2F">
      <w:pPr>
        <w:pStyle w:val="SingleTxtG"/>
        <w:keepNext/>
        <w:ind w:left="2268" w:hanging="1134"/>
        <w:jc w:val="left"/>
      </w:pPr>
      <w:r w:rsidRPr="004B3825">
        <w:rPr>
          <w:i/>
        </w:rPr>
        <w:t>Paragraphe 6.1.2.4.1.6.2</w:t>
      </w:r>
      <w:r w:rsidRPr="004B3825">
        <w:t>,</w:t>
      </w:r>
      <w:r w:rsidRPr="004B3825">
        <w:rPr>
          <w:i/>
        </w:rPr>
        <w:t xml:space="preserve"> </w:t>
      </w:r>
      <w:r w:rsidRPr="004B3825">
        <w:rPr>
          <w:iCs/>
        </w:rPr>
        <w:t>lire :</w:t>
      </w:r>
    </w:p>
    <w:p w:rsidR="005C3F2F" w:rsidRPr="004B3825" w:rsidRDefault="005C3F2F" w:rsidP="005C3F2F">
      <w:pPr>
        <w:pStyle w:val="SingleTxtG"/>
        <w:ind w:left="2438" w:hanging="1304"/>
      </w:pPr>
      <w:bookmarkStart w:id="4" w:name="_Hlk528314098"/>
      <w:r w:rsidRPr="004B3825">
        <w:t>« 6.1.2.4.1.6.2</w:t>
      </w:r>
      <w:bookmarkEnd w:id="4"/>
      <w:r w:rsidRPr="004B3825">
        <w:tab/>
        <w:t>Utilisation de l</w:t>
      </w:r>
      <w:r>
        <w:t>’</w:t>
      </w:r>
      <w:r w:rsidRPr="004B3825">
        <w:t>essence</w:t>
      </w:r>
    </w:p>
    <w:p w:rsidR="005C3F2F" w:rsidRPr="004B3825" w:rsidRDefault="005C3F2F" w:rsidP="005C3F2F">
      <w:pPr>
        <w:pStyle w:val="SingleTxtG"/>
        <w:ind w:left="2438"/>
      </w:pPr>
      <w:r w:rsidRPr="004B3825">
        <w:t xml:space="preserve">Si le véhicule de base est conforme au Règlement ONU </w:t>
      </w:r>
      <w:r w:rsidRPr="004B3825">
        <w:rPr>
          <w:rFonts w:eastAsia="MS Mincho"/>
        </w:rPr>
        <w:t>n</w:t>
      </w:r>
      <w:r w:rsidRPr="004B3825">
        <w:rPr>
          <w:rFonts w:eastAsia="MS Mincho"/>
          <w:vertAlign w:val="superscript"/>
        </w:rPr>
        <w:t>o</w:t>
      </w:r>
      <w:r w:rsidRPr="004B3825">
        <w:t> 83, série 05 d</w:t>
      </w:r>
      <w:r>
        <w:t>’</w:t>
      </w:r>
      <w:r w:rsidRPr="004B3825">
        <w:t xml:space="preserve">amendements, à la Directive 98/69/CE, au Règlement ONU </w:t>
      </w:r>
      <w:r w:rsidRPr="004B3825">
        <w:rPr>
          <w:rFonts w:eastAsia="MS Mincho"/>
        </w:rPr>
        <w:t>n</w:t>
      </w:r>
      <w:r w:rsidRPr="004B3825">
        <w:rPr>
          <w:rFonts w:eastAsia="MS Mincho"/>
          <w:vertAlign w:val="superscript"/>
        </w:rPr>
        <w:t>o</w:t>
      </w:r>
      <w:r w:rsidRPr="004B3825">
        <w:t> 49, série 04 d</w:t>
      </w:r>
      <w:r>
        <w:t>’</w:t>
      </w:r>
      <w:r w:rsidRPr="004B3825">
        <w:t>amendements, ou encore à la Directive 1999/96/CE, il ne doit pas fonctionner à l</w:t>
      </w:r>
      <w:r>
        <w:t>’</w:t>
      </w:r>
      <w:r w:rsidRPr="004B3825">
        <w:t>essence pendant plus de 90 s lors de chaque essai.</w:t>
      </w:r>
    </w:p>
    <w:p w:rsidR="005C3F2F" w:rsidRPr="004B3825" w:rsidRDefault="005C3F2F" w:rsidP="005C3F2F">
      <w:pPr>
        <w:pStyle w:val="SingleTxtG"/>
        <w:ind w:left="2438"/>
      </w:pPr>
      <w:r w:rsidRPr="004B3825">
        <w:t xml:space="preserve">Pour les véhicules conformes au Règlement ONU </w:t>
      </w:r>
      <w:r w:rsidRPr="004B3825">
        <w:rPr>
          <w:rFonts w:eastAsia="MS Mincho"/>
        </w:rPr>
        <w:t>n</w:t>
      </w:r>
      <w:r w:rsidRPr="004B3825">
        <w:rPr>
          <w:rFonts w:eastAsia="MS Mincho"/>
          <w:vertAlign w:val="superscript"/>
        </w:rPr>
        <w:t>o</w:t>
      </w:r>
      <w:r w:rsidRPr="004B3825">
        <w:t> 83 jusqu</w:t>
      </w:r>
      <w:r>
        <w:t>’</w:t>
      </w:r>
      <w:r w:rsidRPr="004B3825">
        <w:t>à la série 07 d</w:t>
      </w:r>
      <w:r>
        <w:t>’</w:t>
      </w:r>
      <w:r w:rsidRPr="004B3825">
        <w:t xml:space="preserve">amendements, </w:t>
      </w:r>
      <w:r w:rsidRPr="004B3825">
        <w:rPr>
          <w:bCs/>
        </w:rPr>
        <w:t>ou aux séries d</w:t>
      </w:r>
      <w:r>
        <w:rPr>
          <w:bCs/>
        </w:rPr>
        <w:t>’</w:t>
      </w:r>
      <w:r w:rsidRPr="004B3825">
        <w:rPr>
          <w:bCs/>
        </w:rPr>
        <w:t xml:space="preserve">amendements </w:t>
      </w:r>
      <w:r w:rsidRPr="004B3825">
        <w:t xml:space="preserve">05 ou suivantes au Règlement ONU </w:t>
      </w:r>
      <w:r w:rsidRPr="004B3825">
        <w:rPr>
          <w:rFonts w:eastAsia="MS Mincho"/>
        </w:rPr>
        <w:t>n</w:t>
      </w:r>
      <w:r w:rsidRPr="004B3825">
        <w:rPr>
          <w:rFonts w:eastAsia="MS Mincho"/>
          <w:vertAlign w:val="superscript"/>
        </w:rPr>
        <w:t>o</w:t>
      </w:r>
      <w:r w:rsidRPr="004B3825">
        <w:t> 49, cette période ne doit pas dépasser 60 s.</w:t>
      </w:r>
    </w:p>
    <w:p w:rsidR="005C3F2F" w:rsidRPr="004B3825" w:rsidRDefault="005C3F2F" w:rsidP="005C3F2F">
      <w:pPr>
        <w:pStyle w:val="SingleTxtG"/>
        <w:ind w:left="2438"/>
        <w:rPr>
          <w:color w:val="000000"/>
        </w:rPr>
      </w:pPr>
      <w:r w:rsidRPr="004B3825">
        <w:rPr>
          <w:color w:val="000000"/>
        </w:rPr>
        <w:t xml:space="preserve">Pour les véhicules homologués au titre du cycle </w:t>
      </w:r>
      <w:proofErr w:type="spellStart"/>
      <w:r w:rsidRPr="004B3825">
        <w:rPr>
          <w:color w:val="000000"/>
        </w:rPr>
        <w:t>WLTC</w:t>
      </w:r>
      <w:proofErr w:type="spellEnd"/>
      <w:r w:rsidRPr="004B3825">
        <w:rPr>
          <w:color w:val="000000"/>
        </w:rPr>
        <w:t>, cette période doit être prédéterminée et ne doit pas être modifiée par le conducteur. ».</w:t>
      </w:r>
    </w:p>
    <w:p w:rsidR="005C3F2F" w:rsidRPr="004B3825" w:rsidRDefault="005C3F2F" w:rsidP="005C3F2F">
      <w:pPr>
        <w:pStyle w:val="SingleTxtG"/>
        <w:keepNext/>
      </w:pPr>
      <w:r w:rsidRPr="004B3825">
        <w:rPr>
          <w:i/>
        </w:rPr>
        <w:t>Paragraphe 6.1.2.4.1.7</w:t>
      </w:r>
      <w:r w:rsidRPr="004B3825">
        <w:t>,</w:t>
      </w:r>
      <w:r w:rsidRPr="004B3825">
        <w:rPr>
          <w:i/>
        </w:rPr>
        <w:t xml:space="preserve"> </w:t>
      </w:r>
      <w:r w:rsidRPr="004B3825">
        <w:t>lire :</w:t>
      </w:r>
    </w:p>
    <w:p w:rsidR="005C3F2F" w:rsidRPr="004B3825" w:rsidRDefault="005C3F2F" w:rsidP="005C3F2F">
      <w:pPr>
        <w:pStyle w:val="SingleTxtG"/>
        <w:ind w:left="2438" w:hanging="1304"/>
        <w:rPr>
          <w:color w:val="000000"/>
        </w:rPr>
      </w:pPr>
      <w:r w:rsidRPr="004B3825">
        <w:rPr>
          <w:color w:val="000000"/>
        </w:rPr>
        <w:t>« 6.1.2.4.1.7</w:t>
      </w:r>
      <w:r w:rsidRPr="004B3825">
        <w:rPr>
          <w:color w:val="000000"/>
        </w:rPr>
        <w:tab/>
      </w:r>
      <w:r w:rsidRPr="004B3825">
        <w:t>Prescriptions spécifiques s</w:t>
      </w:r>
      <w:r>
        <w:t>’</w:t>
      </w:r>
      <w:r w:rsidRPr="004B3825">
        <w:t>appliquant au cycle d</w:t>
      </w:r>
      <w:r>
        <w:t>’</w:t>
      </w:r>
      <w:r w:rsidRPr="004B3825">
        <w:t xml:space="preserve">essai </w:t>
      </w:r>
      <w:proofErr w:type="spellStart"/>
      <w:r w:rsidRPr="004B3825">
        <w:t>NCEE</w:t>
      </w:r>
      <w:proofErr w:type="spellEnd"/>
    </w:p>
    <w:p w:rsidR="005C3F2F" w:rsidRPr="004B3825" w:rsidRDefault="005C3F2F" w:rsidP="005C3F2F">
      <w:pPr>
        <w:pStyle w:val="SingleTxtG"/>
        <w:ind w:left="2438"/>
        <w:rPr>
          <w:color w:val="000000"/>
        </w:rPr>
      </w:pPr>
      <w:r w:rsidRPr="004B3825">
        <w:rPr>
          <w:color w:val="000000"/>
        </w:rPr>
        <w:t>Sous réserve des prescriptions du paragraphe 6.1.2.4.1.7.2 ci-dessous, l</w:t>
      </w:r>
      <w:r>
        <w:rPr>
          <w:color w:val="000000"/>
        </w:rPr>
        <w:t>’</w:t>
      </w:r>
      <w:r w:rsidRPr="004B3825">
        <w:rPr>
          <w:color w:val="000000"/>
        </w:rPr>
        <w:t>essai doit être effectué trois fois avec chaque carburant GPL de référence.</w:t>
      </w:r>
    </w:p>
    <w:p w:rsidR="005C3F2F" w:rsidRPr="004B3825" w:rsidRDefault="005C3F2F" w:rsidP="005C3F2F">
      <w:pPr>
        <w:pStyle w:val="SingleTxtG"/>
        <w:ind w:left="2438" w:hanging="1304"/>
        <w:rPr>
          <w:color w:val="000000"/>
        </w:rPr>
      </w:pPr>
      <w:r w:rsidRPr="004B3825">
        <w:rPr>
          <w:color w:val="000000"/>
        </w:rPr>
        <w:t>6.1.2.4.1.7.1</w:t>
      </w:r>
      <w:r w:rsidRPr="004B3825">
        <w:rPr>
          <w:color w:val="000000"/>
        </w:rPr>
        <w:tab/>
        <w:t>Sous réserve des prescriptions du paragraphe 6.1.2.4.1.7</w:t>
      </w:r>
      <w:r w:rsidRPr="004B3825">
        <w:t xml:space="preserve"> plus haut, pour chacun des polluants ou une combinaison de polluants, un des trois résultats d</w:t>
      </w:r>
      <w:r>
        <w:t>’</w:t>
      </w:r>
      <w:r w:rsidRPr="004B3825">
        <w:t>essai peut dépasser, au maximum de 10 %, la limite prescrite, à condition que la moyenne arithmétique des trois résultats soit inférieure à cette limite. Lorsque plus d</w:t>
      </w:r>
      <w:r>
        <w:t>’</w:t>
      </w:r>
      <w:r w:rsidRPr="004B3825">
        <w:t>un polluant dépasse la limite prescrite, peu importe que cette donnée soit relevée pendant le même essai ou pendant des essais différents</w:t>
      </w:r>
      <w:r w:rsidRPr="004B3825">
        <w:rPr>
          <w:color w:val="000000"/>
        </w:rPr>
        <w:t>. ».</w:t>
      </w:r>
    </w:p>
    <w:p w:rsidR="005C3F2F" w:rsidRPr="004B3825" w:rsidRDefault="005C3F2F" w:rsidP="005C3F2F">
      <w:pPr>
        <w:pStyle w:val="SingleTxtG"/>
        <w:keepNext/>
        <w:rPr>
          <w:i/>
        </w:rPr>
      </w:pPr>
      <w:r w:rsidRPr="004B3825">
        <w:rPr>
          <w:i/>
        </w:rPr>
        <w:lastRenderedPageBreak/>
        <w:t xml:space="preserve">Le paragraphe 6.1.2.4.1.8 devient le paragraphe 6.1.2.4.1.7.2 </w:t>
      </w:r>
      <w:r w:rsidRPr="004B3825">
        <w:rPr>
          <w:iCs/>
        </w:rPr>
        <w:t>et est modifié comme suit :</w:t>
      </w:r>
    </w:p>
    <w:p w:rsidR="005C3F2F" w:rsidRPr="004B3825" w:rsidRDefault="005C3F2F" w:rsidP="005C3F2F">
      <w:pPr>
        <w:pStyle w:val="SingleTxtG"/>
        <w:ind w:left="2438" w:hanging="1304"/>
      </w:pPr>
      <w:r w:rsidRPr="004B3825">
        <w:rPr>
          <w:lang w:eastAsia="it-IT"/>
        </w:rPr>
        <w:t>« 6.1.2.4.1.7.2</w:t>
      </w:r>
      <w:r w:rsidRPr="004B3825">
        <w:rPr>
          <w:lang w:eastAsia="it-IT"/>
        </w:rPr>
        <w:tab/>
        <w:t>Le nombre d</w:t>
      </w:r>
      <w:r>
        <w:rPr>
          <w:lang w:eastAsia="it-IT"/>
        </w:rPr>
        <w:t>’</w:t>
      </w:r>
      <w:r w:rsidRPr="004B3825">
        <w:rPr>
          <w:lang w:eastAsia="it-IT"/>
        </w:rPr>
        <w:t>essais d</w:t>
      </w:r>
      <w:r>
        <w:rPr>
          <w:lang w:eastAsia="it-IT"/>
        </w:rPr>
        <w:t>’</w:t>
      </w:r>
      <w:r w:rsidRPr="004B3825">
        <w:rPr>
          <w:lang w:eastAsia="it-IT"/>
        </w:rPr>
        <w:t>émission prescrit au paragraphe 6.1.2.4.1.7 plus haut… ».</w:t>
      </w:r>
    </w:p>
    <w:p w:rsidR="005C3F2F" w:rsidRPr="004B3825" w:rsidRDefault="005C3F2F" w:rsidP="005C3F2F">
      <w:pPr>
        <w:pStyle w:val="SingleTxtG"/>
        <w:keepNext/>
      </w:pPr>
      <w:r w:rsidRPr="004B3825">
        <w:rPr>
          <w:i/>
        </w:rPr>
        <w:t>Ajouter les nouveaux paragraphes 6.1.2.4.1.8 et 6.1.2.4.1.8.1</w:t>
      </w:r>
      <w:r w:rsidRPr="004B3825">
        <w:t>,</w:t>
      </w:r>
      <w:r w:rsidRPr="004B3825">
        <w:rPr>
          <w:i/>
        </w:rPr>
        <w:t xml:space="preserve"> </w:t>
      </w:r>
      <w:r w:rsidRPr="004B3825">
        <w:rPr>
          <w:iCs/>
        </w:rPr>
        <w:t>libellés comme suit :</w:t>
      </w:r>
    </w:p>
    <w:p w:rsidR="005C3F2F" w:rsidRPr="004B3825" w:rsidRDefault="005C3F2F" w:rsidP="005C3F2F">
      <w:pPr>
        <w:pStyle w:val="SingleTxtG"/>
        <w:keepNext/>
        <w:ind w:left="2438" w:hanging="1304"/>
        <w:jc w:val="left"/>
        <w:rPr>
          <w:color w:val="000000"/>
        </w:rPr>
      </w:pPr>
      <w:r w:rsidRPr="004B3825">
        <w:rPr>
          <w:color w:val="000000"/>
        </w:rPr>
        <w:t>« 6.1.2.4.1.8</w:t>
      </w:r>
      <w:r w:rsidRPr="004B3825">
        <w:rPr>
          <w:color w:val="000000"/>
        </w:rPr>
        <w:tab/>
        <w:t>Prescriptions spécifiques s</w:t>
      </w:r>
      <w:r>
        <w:rPr>
          <w:color w:val="000000"/>
        </w:rPr>
        <w:t>’</w:t>
      </w:r>
      <w:r w:rsidRPr="004B3825">
        <w:rPr>
          <w:color w:val="000000"/>
        </w:rPr>
        <w:t>appliquant au cycle d</w:t>
      </w:r>
      <w:r>
        <w:rPr>
          <w:color w:val="000000"/>
        </w:rPr>
        <w:t>’</w:t>
      </w:r>
      <w:r w:rsidRPr="004B3825">
        <w:rPr>
          <w:color w:val="000000"/>
        </w:rPr>
        <w:t xml:space="preserve">essai </w:t>
      </w:r>
      <w:proofErr w:type="spellStart"/>
      <w:r w:rsidRPr="004B3825">
        <w:rPr>
          <w:color w:val="000000"/>
        </w:rPr>
        <w:t>WLTC</w:t>
      </w:r>
      <w:proofErr w:type="spellEnd"/>
      <w:r w:rsidRPr="004B3825">
        <w:rPr>
          <w:color w:val="000000"/>
        </w:rPr>
        <w:t xml:space="preserve"> </w:t>
      </w:r>
    </w:p>
    <w:p w:rsidR="005C3F2F" w:rsidRPr="004B3825" w:rsidRDefault="005C3F2F" w:rsidP="005C3F2F">
      <w:pPr>
        <w:pStyle w:val="SingleTxtG"/>
        <w:ind w:left="2438"/>
        <w:rPr>
          <w:color w:val="000000"/>
        </w:rPr>
      </w:pPr>
      <w:r w:rsidRPr="004B3825">
        <w:rPr>
          <w:color w:val="000000"/>
        </w:rPr>
        <w:t>Sous réserve des prescriptions du paragraphe 6.1.2.4.1.8.1 ci-dessous, l</w:t>
      </w:r>
      <w:r>
        <w:rPr>
          <w:color w:val="000000"/>
        </w:rPr>
        <w:t>’</w:t>
      </w:r>
      <w:r w:rsidRPr="004B3825">
        <w:rPr>
          <w:color w:val="000000"/>
        </w:rPr>
        <w:t>essai doit être effectué deux fois avec chaque carburant GPL de référence.</w:t>
      </w:r>
    </w:p>
    <w:p w:rsidR="005C3F2F" w:rsidRPr="004B3825" w:rsidRDefault="005C3F2F" w:rsidP="005C3F2F">
      <w:pPr>
        <w:pStyle w:val="SingleTxtG"/>
        <w:ind w:left="2438" w:hanging="1304"/>
      </w:pPr>
      <w:r w:rsidRPr="004B3825">
        <w:rPr>
          <w:bCs/>
        </w:rPr>
        <w:t>6.1.2.4.1.8.1</w:t>
      </w:r>
      <w:r w:rsidRPr="004B3825">
        <w:rPr>
          <w:bCs/>
        </w:rPr>
        <w:tab/>
      </w:r>
      <w:r w:rsidRPr="004B3825">
        <w:t>Le nombre d</w:t>
      </w:r>
      <w:r>
        <w:t>’</w:t>
      </w:r>
      <w:r w:rsidRPr="004B3825">
        <w:t>essais d</w:t>
      </w:r>
      <w:r>
        <w:t>’</w:t>
      </w:r>
      <w:r w:rsidRPr="004B3825">
        <w:t>émission prescrit au paragraphe</w:t>
      </w:r>
      <w:r w:rsidRPr="004B3825">
        <w:rPr>
          <w:lang w:eastAsia="it-IT"/>
        </w:rPr>
        <w:t xml:space="preserve"> 6.1.2.4.1.8</w:t>
      </w:r>
      <w:r w:rsidRPr="004B3825">
        <w:t xml:space="preserve"> plus haut pour chaque carburant GPL de référence peut être réduit à un seul essai si la valeur obtenue pour chaque polluant ou pour la combinaison de deux polluants réglementés est inférieure ou égale à 0,9 fois la valeur d</w:t>
      </w:r>
      <w:r>
        <w:t>’</w:t>
      </w:r>
      <w:r w:rsidRPr="004B3825">
        <w:t>émission limite (c</w:t>
      </w:r>
      <w:r>
        <w:t>’</w:t>
      </w:r>
      <w:r w:rsidRPr="004B3825">
        <w:t>est-à-dire M</w:t>
      </w:r>
      <w:r w:rsidRPr="004B3825">
        <w:rPr>
          <w:vertAlign w:val="subscript"/>
        </w:rPr>
        <w:t>1</w:t>
      </w:r>
      <w:r w:rsidRPr="004B3825">
        <w:t xml:space="preserve"> ≤ 0,90 G) ;</w:t>
      </w:r>
    </w:p>
    <w:p w:rsidR="005C3F2F" w:rsidRPr="004B3825" w:rsidRDefault="005C3F2F" w:rsidP="005C3F2F">
      <w:pPr>
        <w:pStyle w:val="SingleTxtG"/>
        <w:ind w:left="2438"/>
      </w:pPr>
      <w:r w:rsidRPr="004B3825">
        <w:t>où :</w:t>
      </w:r>
    </w:p>
    <w:p w:rsidR="005C3F2F" w:rsidRPr="004B3825" w:rsidRDefault="005C3F2F" w:rsidP="005C3F2F">
      <w:pPr>
        <w:pStyle w:val="SingleTxtG"/>
        <w:tabs>
          <w:tab w:val="left" w:pos="3261"/>
        </w:tabs>
        <w:ind w:left="3175" w:hanging="737"/>
      </w:pPr>
      <w:r w:rsidRPr="004B3825">
        <w:t>M</w:t>
      </w:r>
      <w:r w:rsidRPr="004B3825">
        <w:rPr>
          <w:vertAlign w:val="subscript"/>
        </w:rPr>
        <w:t>1</w:t>
      </w:r>
      <w:r w:rsidRPr="004B3825">
        <w:tab/>
        <w:t>est la valeur des émissions d</w:t>
      </w:r>
      <w:r>
        <w:t>’</w:t>
      </w:r>
      <w:r w:rsidRPr="004B3825">
        <w:t>un polluant relevée lors du premier essai de type I ;</w:t>
      </w:r>
    </w:p>
    <w:p w:rsidR="005C3F2F" w:rsidRPr="004B3825" w:rsidRDefault="005C3F2F" w:rsidP="005C3F2F">
      <w:pPr>
        <w:pStyle w:val="SingleTxtG"/>
        <w:tabs>
          <w:tab w:val="left" w:pos="3261"/>
        </w:tabs>
        <w:ind w:left="3175" w:hanging="737"/>
      </w:pPr>
      <w:r w:rsidRPr="004B3825">
        <w:t>G</w:t>
      </w:r>
      <w:r w:rsidRPr="004B3825">
        <w:tab/>
        <w:t>est la valeur limite des émissions d</w:t>
      </w:r>
      <w:r>
        <w:t>’</w:t>
      </w:r>
      <w:r w:rsidRPr="004B3825">
        <w:t xml:space="preserve">un seul polluant (CO, </w:t>
      </w:r>
      <w:proofErr w:type="spellStart"/>
      <w:r w:rsidRPr="004B3825">
        <w:t>HC</w:t>
      </w:r>
      <w:proofErr w:type="spellEnd"/>
      <w:r w:rsidRPr="004B3825">
        <w:t xml:space="preserve"> ou NO</w:t>
      </w:r>
      <w:r w:rsidRPr="004B3825">
        <w:rPr>
          <w:vertAlign w:val="subscript"/>
        </w:rPr>
        <w:t>X</w:t>
      </w:r>
      <w:r w:rsidRPr="004B3825">
        <w:t>) ou de la somme de deux polluants (</w:t>
      </w:r>
      <w:proofErr w:type="spellStart"/>
      <w:r w:rsidRPr="004B3825">
        <w:t>HC</w:t>
      </w:r>
      <w:proofErr w:type="spellEnd"/>
      <w:r w:rsidRPr="004B3825">
        <w:t xml:space="preserve"> + NO</w:t>
      </w:r>
      <w:r w:rsidRPr="004B3825">
        <w:rPr>
          <w:vertAlign w:val="subscript"/>
        </w:rPr>
        <w:t>X</w:t>
      </w:r>
      <w:r w:rsidRPr="004B3825">
        <w:t>), fixée lors de l</w:t>
      </w:r>
      <w:r>
        <w:t>’</w:t>
      </w:r>
      <w:r w:rsidRPr="004B3825">
        <w:t>homologation de type du ou des véhicules, corrigée des facteurs de détérioration. ».</w:t>
      </w:r>
    </w:p>
    <w:p w:rsidR="005C3F2F" w:rsidRPr="004B3825" w:rsidRDefault="005C3F2F" w:rsidP="005C3F2F">
      <w:pPr>
        <w:pStyle w:val="SingleTxtG"/>
        <w:keepNext/>
      </w:pPr>
      <w:r w:rsidRPr="004B3825">
        <w:rPr>
          <w:i/>
        </w:rPr>
        <w:t>Paragraphe 6.1.2.4.3.1</w:t>
      </w:r>
      <w:r w:rsidRPr="004B3825">
        <w:t>,</w:t>
      </w:r>
      <w:r w:rsidRPr="004B3825">
        <w:rPr>
          <w:i/>
        </w:rPr>
        <w:t xml:space="preserve"> </w:t>
      </w:r>
      <w:r w:rsidRPr="004B3825">
        <w:t>lire :</w:t>
      </w:r>
    </w:p>
    <w:p w:rsidR="005C3F2F" w:rsidRPr="004B3825" w:rsidRDefault="005C3F2F" w:rsidP="005C3F2F">
      <w:pPr>
        <w:pStyle w:val="SingleTxtG"/>
        <w:ind w:left="2438" w:hanging="1304"/>
      </w:pPr>
      <w:r w:rsidRPr="004B3825">
        <w:t>« 6.1.2.4.3</w:t>
      </w:r>
      <w:r w:rsidRPr="004B3825">
        <w:rPr>
          <w:bCs/>
        </w:rPr>
        <w:t>.</w:t>
      </w:r>
      <w:r w:rsidRPr="004B3825">
        <w:t>1</w:t>
      </w:r>
      <w:r w:rsidRPr="004B3825">
        <w:tab/>
        <w:t>Les émissions de CO</w:t>
      </w:r>
      <w:r w:rsidRPr="004B3825">
        <w:rPr>
          <w:vertAlign w:val="subscript"/>
        </w:rPr>
        <w:t>2</w:t>
      </w:r>
      <w:r w:rsidRPr="004B3825">
        <w:t xml:space="preserve"> sont calculées conformément au Règlement ONU </w:t>
      </w:r>
      <w:r w:rsidRPr="004B3825">
        <w:rPr>
          <w:rFonts w:eastAsia="MS Mincho"/>
        </w:rPr>
        <w:t>n</w:t>
      </w:r>
      <w:r w:rsidRPr="004B3825">
        <w:rPr>
          <w:rFonts w:eastAsia="MS Mincho"/>
          <w:vertAlign w:val="superscript"/>
        </w:rPr>
        <w:t>o</w:t>
      </w:r>
      <w:r w:rsidRPr="004B3825">
        <w:t xml:space="preserve"> 101 ou au </w:t>
      </w:r>
      <w:proofErr w:type="spellStart"/>
      <w:r w:rsidRPr="004B3825">
        <w:t>RTM</w:t>
      </w:r>
      <w:proofErr w:type="spellEnd"/>
      <w:r w:rsidRPr="004B3825">
        <w:t xml:space="preserve"> ONU </w:t>
      </w:r>
      <w:r w:rsidRPr="004B3825">
        <w:rPr>
          <w:rFonts w:eastAsia="MS Mincho"/>
        </w:rPr>
        <w:t>n</w:t>
      </w:r>
      <w:r w:rsidRPr="004B3825">
        <w:rPr>
          <w:rFonts w:eastAsia="MS Mincho"/>
          <w:vertAlign w:val="superscript"/>
        </w:rPr>
        <w:t>o</w:t>
      </w:r>
      <w:r w:rsidRPr="004B3825">
        <w:t> 15, selon le cas, pour chaque véhicule de base, le cas échéant</w:t>
      </w:r>
      <w:r w:rsidRPr="004B3825">
        <w:rPr>
          <w:iCs/>
        </w:rPr>
        <w:t>.</w:t>
      </w:r>
    </w:p>
    <w:p w:rsidR="005C3F2F" w:rsidRPr="004B3825" w:rsidRDefault="005C3F2F" w:rsidP="005C3F2F">
      <w:pPr>
        <w:pStyle w:val="SingleTxtG"/>
        <w:ind w:left="2438"/>
      </w:pPr>
      <w:r w:rsidRPr="004B3825">
        <w:t>La valeur moyenne des émissions de CO</w:t>
      </w:r>
      <w:r w:rsidRPr="004B3825">
        <w:rPr>
          <w:vertAlign w:val="subscript"/>
        </w:rPr>
        <w:t>2</w:t>
      </w:r>
      <w:r w:rsidRPr="004B3825">
        <w:t xml:space="preserve"> se calcule comme suit :</w:t>
      </w:r>
    </w:p>
    <w:p w:rsidR="005C3F2F" w:rsidRPr="004B3825" w:rsidRDefault="005C3F2F" w:rsidP="005C3F2F">
      <w:pPr>
        <w:pStyle w:val="SingleTxtG"/>
        <w:ind w:left="2438"/>
      </w:pPr>
      <w:r w:rsidRPr="004B3825">
        <w:t>… ».</w:t>
      </w:r>
    </w:p>
    <w:p w:rsidR="005C3F2F" w:rsidRPr="004B3825" w:rsidRDefault="005C3F2F" w:rsidP="005C3F2F">
      <w:pPr>
        <w:pStyle w:val="SingleTxtG"/>
        <w:keepNext/>
      </w:pPr>
      <w:r w:rsidRPr="004B3825">
        <w:rPr>
          <w:i/>
        </w:rPr>
        <w:t>Paragraphe 6.2.2.1</w:t>
      </w:r>
      <w:r w:rsidRPr="004B3825">
        <w:t>,</w:t>
      </w:r>
      <w:r w:rsidRPr="004B3825">
        <w:rPr>
          <w:i/>
        </w:rPr>
        <w:t xml:space="preserve"> </w:t>
      </w:r>
      <w:r w:rsidRPr="004B3825">
        <w:t>lire :</w:t>
      </w:r>
    </w:p>
    <w:p w:rsidR="005C3F2F" w:rsidRPr="004B3825" w:rsidRDefault="005C3F2F" w:rsidP="005C3F2F">
      <w:pPr>
        <w:pStyle w:val="SingleTxtG"/>
        <w:ind w:left="2438" w:hanging="1304"/>
      </w:pPr>
      <w:r w:rsidRPr="004B3825">
        <w:t>« 6.2.2.1</w:t>
      </w:r>
      <w:r w:rsidRPr="004B3825">
        <w:tab/>
        <w:t>Un échantillon de système d</w:t>
      </w:r>
      <w:r>
        <w:t>’</w:t>
      </w:r>
      <w:r w:rsidRPr="004B3825">
        <w:t xml:space="preserve">adaptation au </w:t>
      </w:r>
      <w:proofErr w:type="spellStart"/>
      <w:r w:rsidRPr="004B3825">
        <w:t>GNC</w:t>
      </w:r>
      <w:proofErr w:type="spellEnd"/>
      <w:r w:rsidRPr="004B3825">
        <w:t xml:space="preserve">, tel que défini au paragraphe 2.2 du présent Règlement, monté sur le véhicule de base, tel que défini au paragraphe 2.5 du présent Règlement, doit être présenté aux essais définis dans les Règlements ONU </w:t>
      </w:r>
      <w:r w:rsidRPr="004B3825">
        <w:rPr>
          <w:rFonts w:eastAsia="MS Mincho"/>
        </w:rPr>
        <w:t>n</w:t>
      </w:r>
      <w:r w:rsidRPr="004B3825">
        <w:rPr>
          <w:rFonts w:eastAsia="MS Mincho"/>
          <w:vertAlign w:val="superscript"/>
        </w:rPr>
        <w:t>os</w:t>
      </w:r>
      <w:r w:rsidRPr="004B3825">
        <w:t xml:space="preserve"> 83 et 101, dans le </w:t>
      </w:r>
      <w:proofErr w:type="spellStart"/>
      <w:r w:rsidRPr="004B3825">
        <w:t>RTM</w:t>
      </w:r>
      <w:proofErr w:type="spellEnd"/>
      <w:r w:rsidRPr="004B3825">
        <w:t xml:space="preserve"> ONU </w:t>
      </w:r>
      <w:r w:rsidRPr="004B3825">
        <w:rPr>
          <w:rFonts w:eastAsia="MS Mincho"/>
        </w:rPr>
        <w:t>n</w:t>
      </w:r>
      <w:r w:rsidRPr="004B3825">
        <w:rPr>
          <w:rFonts w:eastAsia="MS Mincho"/>
          <w:vertAlign w:val="superscript"/>
        </w:rPr>
        <w:t>o</w:t>
      </w:r>
      <w:r w:rsidRPr="004B3825">
        <w:t xml:space="preserve"> 15 ou dans le Règlement ONU </w:t>
      </w:r>
      <w:r w:rsidRPr="004B3825">
        <w:rPr>
          <w:rFonts w:eastAsia="MS Mincho"/>
        </w:rPr>
        <w:t>n</w:t>
      </w:r>
      <w:r w:rsidRPr="004B3825">
        <w:rPr>
          <w:rFonts w:eastAsia="MS Mincho"/>
          <w:vertAlign w:val="superscript"/>
        </w:rPr>
        <w:t>o</w:t>
      </w:r>
      <w:r w:rsidRPr="004B3825">
        <w:t xml:space="preserve"> 49, selon le cas, dans les limites des prescriptions des paragraphes 6.2.2.4 et 6.2.2.5 plus bas. Les véhicules et/ou les moteurs sont aussi soumis à un essai de comparaison de la puissance maximum, tel que défini dans le Règlement ONU </w:t>
      </w:r>
      <w:r w:rsidRPr="004B3825">
        <w:rPr>
          <w:rFonts w:eastAsia="MS Mincho"/>
        </w:rPr>
        <w:t>n</w:t>
      </w:r>
      <w:r w:rsidRPr="004B3825">
        <w:rPr>
          <w:rFonts w:eastAsia="MS Mincho"/>
          <w:vertAlign w:val="superscript"/>
        </w:rPr>
        <w:t>o</w:t>
      </w:r>
      <w:r w:rsidRPr="004B3825">
        <w:t> 85 pour les moteurs, ou au paragraphe 6.2.3 ci-dessous pour les véhicules. ».</w:t>
      </w:r>
    </w:p>
    <w:p w:rsidR="005C3F2F" w:rsidRPr="004B3825" w:rsidRDefault="005C3F2F" w:rsidP="005C3F2F">
      <w:pPr>
        <w:pStyle w:val="SingleTxtG"/>
        <w:keepNext/>
      </w:pPr>
      <w:r w:rsidRPr="004B3825">
        <w:rPr>
          <w:i/>
        </w:rPr>
        <w:t>Paragraphe 6.2.2.4.1.1</w:t>
      </w:r>
      <w:r w:rsidRPr="004B3825">
        <w:t>,</w:t>
      </w:r>
      <w:r w:rsidRPr="004B3825">
        <w:rPr>
          <w:i/>
        </w:rPr>
        <w:t xml:space="preserve"> </w:t>
      </w:r>
      <w:r w:rsidRPr="004B3825">
        <w:t>lire :</w:t>
      </w:r>
    </w:p>
    <w:p w:rsidR="005C3F2F" w:rsidRPr="004B3825" w:rsidRDefault="005C3F2F" w:rsidP="005C3F2F">
      <w:pPr>
        <w:pStyle w:val="SingleTxtG"/>
        <w:ind w:left="2438" w:hanging="1304"/>
      </w:pPr>
      <w:r w:rsidRPr="004B3825">
        <w:t>« 6.2.2.4.1.1</w:t>
      </w:r>
      <w:r w:rsidRPr="004B3825">
        <w:tab/>
        <w:t>Mesure des émissions d</w:t>
      </w:r>
      <w:r>
        <w:t>’</w:t>
      </w:r>
      <w:r w:rsidRPr="004B3825">
        <w:t>échappement à froid, pour chacun des carburants suivants :</w:t>
      </w:r>
    </w:p>
    <w:p w:rsidR="005C3F2F" w:rsidRPr="004B3825" w:rsidRDefault="005C3F2F" w:rsidP="005C3F2F">
      <w:pPr>
        <w:pStyle w:val="SingleTxtG"/>
        <w:tabs>
          <w:tab w:val="left" w:pos="3261"/>
        </w:tabs>
        <w:ind w:left="3175" w:hanging="737"/>
      </w:pPr>
      <w:r w:rsidRPr="004B3825">
        <w:t>a)</w:t>
      </w:r>
      <w:r w:rsidRPr="004B3825">
        <w:tab/>
        <w:t>Essence de référence ;</w:t>
      </w:r>
    </w:p>
    <w:p w:rsidR="005C3F2F" w:rsidRPr="004B3825" w:rsidRDefault="005C3F2F" w:rsidP="005C3F2F">
      <w:pPr>
        <w:pStyle w:val="SingleTxtG"/>
        <w:tabs>
          <w:tab w:val="left" w:pos="3261"/>
        </w:tabs>
        <w:ind w:left="3175" w:hanging="737"/>
      </w:pPr>
      <w:r w:rsidRPr="004B3825">
        <w:t>b)</w:t>
      </w:r>
      <w:r w:rsidRPr="004B3825">
        <w:tab/>
        <w:t>Carburant G20 de référence ;</w:t>
      </w:r>
    </w:p>
    <w:p w:rsidR="005C3F2F" w:rsidRPr="004B3825" w:rsidRDefault="005C3F2F" w:rsidP="005C3F2F">
      <w:pPr>
        <w:pStyle w:val="SingleTxtG"/>
        <w:tabs>
          <w:tab w:val="left" w:pos="3261"/>
        </w:tabs>
        <w:ind w:left="3175" w:hanging="737"/>
      </w:pPr>
      <w:r w:rsidRPr="004B3825">
        <w:t>c)</w:t>
      </w:r>
      <w:r w:rsidRPr="004B3825">
        <w:tab/>
        <w:t>Carburant G25 de référence.</w:t>
      </w:r>
    </w:p>
    <w:p w:rsidR="005C3F2F" w:rsidRPr="004B3825" w:rsidRDefault="005C3F2F" w:rsidP="005C3F2F">
      <w:pPr>
        <w:pStyle w:val="SingleTxtG"/>
        <w:ind w:left="2438"/>
      </w:pPr>
      <w:r w:rsidRPr="004B3825">
        <w:t xml:space="preserve">Les émissions de CO, </w:t>
      </w:r>
      <w:proofErr w:type="spellStart"/>
      <w:r w:rsidRPr="004B3825">
        <w:t>HC</w:t>
      </w:r>
      <w:proofErr w:type="spellEnd"/>
      <w:r w:rsidRPr="004B3825">
        <w:t xml:space="preserve"> et NO</w:t>
      </w:r>
      <w:r w:rsidRPr="004B3825">
        <w:rPr>
          <w:vertAlign w:val="subscript"/>
        </w:rPr>
        <w:t>X</w:t>
      </w:r>
      <w:r w:rsidRPr="004B3825">
        <w:t xml:space="preserve"> sont calculées conformément au Règlement ONU </w:t>
      </w:r>
      <w:r w:rsidRPr="004B3825">
        <w:rPr>
          <w:rFonts w:eastAsia="MS Mincho"/>
        </w:rPr>
        <w:t>n</w:t>
      </w:r>
      <w:r w:rsidRPr="004B3825">
        <w:rPr>
          <w:rFonts w:eastAsia="MS Mincho"/>
          <w:vertAlign w:val="superscript"/>
        </w:rPr>
        <w:t>o</w:t>
      </w:r>
      <w:r w:rsidRPr="004B3825">
        <w:t> 83</w:t>
      </w:r>
      <w:r w:rsidRPr="004B3825">
        <w:rPr>
          <w:vertAlign w:val="superscript"/>
        </w:rPr>
        <w:t>5</w:t>
      </w:r>
      <w:r w:rsidRPr="004B3825">
        <w:t xml:space="preserve"> ou au </w:t>
      </w:r>
      <w:proofErr w:type="spellStart"/>
      <w:r w:rsidRPr="004B3825">
        <w:t>RTM</w:t>
      </w:r>
      <w:proofErr w:type="spellEnd"/>
      <w:r w:rsidRPr="004B3825">
        <w:t xml:space="preserve"> ONU </w:t>
      </w:r>
      <w:r w:rsidRPr="004B3825">
        <w:rPr>
          <w:rFonts w:eastAsia="MS Mincho"/>
        </w:rPr>
        <w:t>n</w:t>
      </w:r>
      <w:r w:rsidRPr="004B3825">
        <w:rPr>
          <w:rFonts w:eastAsia="MS Mincho"/>
          <w:vertAlign w:val="superscript"/>
        </w:rPr>
        <w:t>o</w:t>
      </w:r>
      <w:r w:rsidRPr="004B3825">
        <w:t> 15, selon le cas. ».</w:t>
      </w:r>
    </w:p>
    <w:p w:rsidR="005C3F2F" w:rsidRPr="004B3825" w:rsidRDefault="005C3F2F" w:rsidP="005C3F2F">
      <w:pPr>
        <w:pStyle w:val="SingleTxtG"/>
        <w:keepNext/>
      </w:pPr>
      <w:r w:rsidRPr="004B3825">
        <w:rPr>
          <w:i/>
        </w:rPr>
        <w:t xml:space="preserve">Paragraphes </w:t>
      </w:r>
      <w:r w:rsidRPr="004B3825">
        <w:rPr>
          <w:bCs/>
          <w:i/>
        </w:rPr>
        <w:t>6.2.2.4.1.2.2,</w:t>
      </w:r>
      <w:r w:rsidRPr="004B3825">
        <w:rPr>
          <w:i/>
        </w:rPr>
        <w:t xml:space="preserve"> 6.2.2.4.1.3 et 6.2.2.4.1.4</w:t>
      </w:r>
      <w:r w:rsidRPr="004B3825">
        <w:t>,</w:t>
      </w:r>
      <w:r w:rsidRPr="004B3825">
        <w:rPr>
          <w:i/>
        </w:rPr>
        <w:t xml:space="preserve"> </w:t>
      </w:r>
      <w:r w:rsidRPr="004B3825">
        <w:t>lire :</w:t>
      </w:r>
    </w:p>
    <w:p w:rsidR="005C3F2F" w:rsidRPr="004B3825" w:rsidRDefault="005C3F2F" w:rsidP="005C3F2F">
      <w:pPr>
        <w:pStyle w:val="SingleTxtG"/>
        <w:keepNext/>
        <w:ind w:left="2438" w:hanging="1304"/>
        <w:rPr>
          <w:bCs/>
        </w:rPr>
      </w:pPr>
      <w:r w:rsidRPr="004B3825">
        <w:rPr>
          <w:bCs/>
        </w:rPr>
        <w:t>« 6.2.2.4.1.2.2</w:t>
      </w:r>
      <w:r w:rsidRPr="004B3825">
        <w:rPr>
          <w:bCs/>
        </w:rPr>
        <w:tab/>
        <w:t xml:space="preserve">En utilisant les valeurs du tableau uniquement pour le cycle </w:t>
      </w:r>
      <w:proofErr w:type="spellStart"/>
      <w:r w:rsidRPr="004B3825">
        <w:rPr>
          <w:bCs/>
        </w:rPr>
        <w:t>NCEE</w:t>
      </w:r>
      <w:proofErr w:type="spellEnd"/>
      <w:r w:rsidRPr="004B3825">
        <w:rPr>
          <w:bCs/>
        </w:rPr>
        <w:t> :</w:t>
      </w:r>
    </w:p>
    <w:p w:rsidR="005C3F2F" w:rsidRPr="004B3825" w:rsidRDefault="005C3F2F" w:rsidP="005C3F2F">
      <w:pPr>
        <w:pStyle w:val="SingleTxtG"/>
        <w:tabs>
          <w:tab w:val="left" w:pos="3261"/>
        </w:tabs>
        <w:ind w:left="3175" w:hanging="737"/>
        <w:rPr>
          <w:bCs/>
        </w:rPr>
      </w:pPr>
      <w:r w:rsidRPr="004B3825">
        <w:rPr>
          <w:bCs/>
        </w:rPr>
        <w:t>…</w:t>
      </w:r>
    </w:p>
    <w:p w:rsidR="005C3F2F" w:rsidRPr="004B3825" w:rsidRDefault="005C3F2F" w:rsidP="005C3F2F">
      <w:pPr>
        <w:pStyle w:val="SingleTxtG"/>
        <w:keepNext/>
        <w:ind w:left="2438" w:hanging="1304"/>
        <w:jc w:val="left"/>
      </w:pPr>
      <w:r w:rsidRPr="004B3825">
        <w:rPr>
          <w:bCs/>
        </w:rPr>
        <w:lastRenderedPageBreak/>
        <w:t>« 6.2.2.4</w:t>
      </w:r>
      <w:r w:rsidRPr="004B3825">
        <w:t>.1.3</w:t>
      </w:r>
      <w:r w:rsidRPr="004B3825">
        <w:tab/>
        <w:t>Essai de mesure des émissions d</w:t>
      </w:r>
      <w:r>
        <w:t>’</w:t>
      </w:r>
      <w:r w:rsidRPr="004B3825">
        <w:t>échappement en mode essence</w:t>
      </w:r>
    </w:p>
    <w:p w:rsidR="005C3F2F" w:rsidRPr="004B3825" w:rsidRDefault="005C3F2F" w:rsidP="005C3F2F">
      <w:pPr>
        <w:pStyle w:val="SingleTxtG"/>
        <w:ind w:left="2438"/>
      </w:pPr>
      <w:r w:rsidRPr="004B3825">
        <w:t>Le cycle d</w:t>
      </w:r>
      <w:r>
        <w:t>’</w:t>
      </w:r>
      <w:r w:rsidRPr="004B3825">
        <w:t>essai (</w:t>
      </w:r>
      <w:proofErr w:type="spellStart"/>
      <w:r w:rsidRPr="004B3825">
        <w:t>NCEE</w:t>
      </w:r>
      <w:proofErr w:type="spellEnd"/>
      <w:r w:rsidRPr="004B3825">
        <w:t xml:space="preserve"> ou </w:t>
      </w:r>
      <w:proofErr w:type="spellStart"/>
      <w:r w:rsidRPr="004B3825">
        <w:t>WLTC</w:t>
      </w:r>
      <w:proofErr w:type="spellEnd"/>
      <w:r w:rsidRPr="004B3825">
        <w:t>) doit être choisi en fonction de l</w:t>
      </w:r>
      <w:r>
        <w:t>’</w:t>
      </w:r>
      <w:r w:rsidRPr="004B3825">
        <w:t>homologation de type initiale du véhicule. Le ou les véhicules de base, équipés du système d</w:t>
      </w:r>
      <w:r>
        <w:t>’</w:t>
      </w:r>
      <w:r w:rsidRPr="004B3825">
        <w:t>adaptation, ne doivent pas dépasser les valeurs limites fixées lors de l</w:t>
      </w:r>
      <w:r>
        <w:t>’</w:t>
      </w:r>
      <w:r w:rsidRPr="004B3825">
        <w:t>homologation de type du ou des véhicules d</w:t>
      </w:r>
      <w:r>
        <w:t>’</w:t>
      </w:r>
      <w:r w:rsidRPr="004B3825">
        <w:t>origine, corrigées des coefficients de détérioration appliqués à cette occasion.</w:t>
      </w:r>
    </w:p>
    <w:p w:rsidR="005C3F2F" w:rsidRPr="004B3825" w:rsidRDefault="005C3F2F" w:rsidP="005C3F2F">
      <w:pPr>
        <w:pStyle w:val="SingleTxtG"/>
        <w:keepNext/>
        <w:ind w:left="2438" w:hanging="1304"/>
        <w:jc w:val="left"/>
      </w:pPr>
      <w:r w:rsidRPr="004B3825">
        <w:rPr>
          <w:bCs/>
        </w:rPr>
        <w:t>6.2.2.4</w:t>
      </w:r>
      <w:r w:rsidRPr="004B3825">
        <w:t>.1.4</w:t>
      </w:r>
      <w:r w:rsidRPr="004B3825">
        <w:tab/>
        <w:t>Prescriptions spécifiques s</w:t>
      </w:r>
      <w:r>
        <w:t>’</w:t>
      </w:r>
      <w:r w:rsidRPr="004B3825">
        <w:t>appliquant au cycle d</w:t>
      </w:r>
      <w:r>
        <w:t>’</w:t>
      </w:r>
      <w:r w:rsidRPr="004B3825">
        <w:t xml:space="preserve">essai </w:t>
      </w:r>
      <w:proofErr w:type="spellStart"/>
      <w:r w:rsidRPr="004B3825">
        <w:t>NCEE</w:t>
      </w:r>
      <w:proofErr w:type="spellEnd"/>
    </w:p>
    <w:p w:rsidR="005C3F2F" w:rsidRPr="004B3825" w:rsidRDefault="005C3F2F" w:rsidP="005C3F2F">
      <w:pPr>
        <w:pStyle w:val="SingleTxtG"/>
        <w:ind w:left="2438"/>
      </w:pPr>
      <w:r w:rsidRPr="004B3825">
        <w:t>Sous réserve des prescriptions du paragraphe 6.2.2.4.1.4.2 ci-dessous, l</w:t>
      </w:r>
      <w:r>
        <w:t>’</w:t>
      </w:r>
      <w:r w:rsidRPr="004B3825">
        <w:t>essai doit être effectué trois fois avec de l</w:t>
      </w:r>
      <w:r>
        <w:t>’</w:t>
      </w:r>
      <w:r w:rsidRPr="004B3825">
        <w:t>essence de référence. ».</w:t>
      </w:r>
    </w:p>
    <w:p w:rsidR="005C3F2F" w:rsidRPr="004B3825" w:rsidRDefault="005C3F2F" w:rsidP="005C3F2F">
      <w:pPr>
        <w:pStyle w:val="SingleTxtG"/>
        <w:keepNext/>
      </w:pPr>
      <w:r w:rsidRPr="004B3825">
        <w:rPr>
          <w:i/>
        </w:rPr>
        <w:t>Le paragraphe 6.2.2.4.1.4 devient le paragraphe 6.2.2.4.1.4.1.</w:t>
      </w:r>
    </w:p>
    <w:p w:rsidR="005C3F2F" w:rsidRPr="004B3825" w:rsidRDefault="005C3F2F" w:rsidP="005C3F2F">
      <w:pPr>
        <w:pStyle w:val="SingleTxtG"/>
        <w:keepNext/>
      </w:pPr>
      <w:r w:rsidRPr="004B3825">
        <w:rPr>
          <w:i/>
        </w:rPr>
        <w:t xml:space="preserve">Le paragraphe 6.2.2.4.1.5 devient le paragraphe 6.2.2.4.1.4.2 </w:t>
      </w:r>
      <w:r w:rsidRPr="004B3825">
        <w:t>et est modifié</w:t>
      </w:r>
      <w:r w:rsidRPr="004B3825">
        <w:rPr>
          <w:i/>
        </w:rPr>
        <w:t xml:space="preserve"> </w:t>
      </w:r>
      <w:r w:rsidRPr="004B3825">
        <w:rPr>
          <w:iCs/>
        </w:rPr>
        <w:t>comme suit :</w:t>
      </w:r>
    </w:p>
    <w:p w:rsidR="005C3F2F" w:rsidRPr="004B3825" w:rsidRDefault="005C3F2F" w:rsidP="005C3F2F">
      <w:pPr>
        <w:pStyle w:val="SingleTxtG"/>
        <w:ind w:left="2438" w:hanging="1304"/>
        <w:rPr>
          <w:bCs/>
        </w:rPr>
      </w:pPr>
      <w:r w:rsidRPr="004B3825">
        <w:rPr>
          <w:lang w:eastAsia="it-IT"/>
        </w:rPr>
        <w:t>« 6.2.2.4.1.4.2</w:t>
      </w:r>
      <w:r w:rsidRPr="004B3825">
        <w:rPr>
          <w:lang w:eastAsia="it-IT"/>
        </w:rPr>
        <w:tab/>
        <w:t>Le nombre d</w:t>
      </w:r>
      <w:r>
        <w:rPr>
          <w:lang w:eastAsia="it-IT"/>
        </w:rPr>
        <w:t>’</w:t>
      </w:r>
      <w:r w:rsidRPr="004B3825">
        <w:rPr>
          <w:lang w:eastAsia="it-IT"/>
        </w:rPr>
        <w:t>essais d</w:t>
      </w:r>
      <w:r>
        <w:rPr>
          <w:lang w:eastAsia="it-IT"/>
        </w:rPr>
        <w:t>’</w:t>
      </w:r>
      <w:r w:rsidRPr="004B3825">
        <w:rPr>
          <w:lang w:eastAsia="it-IT"/>
        </w:rPr>
        <w:t>émission prescrit au paragraphe 6.2.2.4.1.4 peut… ».</w:t>
      </w:r>
    </w:p>
    <w:p w:rsidR="005C3F2F" w:rsidRPr="004B3825" w:rsidRDefault="005C3F2F" w:rsidP="005C3F2F">
      <w:pPr>
        <w:pStyle w:val="SingleTxtG"/>
        <w:keepNext/>
      </w:pPr>
      <w:r w:rsidRPr="004B3825">
        <w:rPr>
          <w:i/>
        </w:rPr>
        <w:t>Ajouter les nouveaux paragraphes 6.2.2.4.1.5 et 6.2.2.4.1.5.1</w:t>
      </w:r>
      <w:r w:rsidRPr="004B3825">
        <w:t>,</w:t>
      </w:r>
      <w:r w:rsidRPr="004B3825">
        <w:rPr>
          <w:i/>
        </w:rPr>
        <w:t xml:space="preserve"> </w:t>
      </w:r>
      <w:r w:rsidRPr="004B3825">
        <w:rPr>
          <w:iCs/>
        </w:rPr>
        <w:t>libellés</w:t>
      </w:r>
      <w:r w:rsidRPr="004B3825">
        <w:rPr>
          <w:i/>
        </w:rPr>
        <w:t xml:space="preserve"> </w:t>
      </w:r>
      <w:r w:rsidRPr="004B3825">
        <w:rPr>
          <w:iCs/>
        </w:rPr>
        <w:t>comme suit :</w:t>
      </w:r>
    </w:p>
    <w:p w:rsidR="005C3F2F" w:rsidRPr="004B3825" w:rsidRDefault="005C3F2F" w:rsidP="005C3F2F">
      <w:pPr>
        <w:pStyle w:val="SingleTxtG"/>
        <w:ind w:left="2438" w:hanging="1304"/>
      </w:pPr>
      <w:r w:rsidRPr="004B3825">
        <w:rPr>
          <w:bCs/>
        </w:rPr>
        <w:t>« 6.2.2.4</w:t>
      </w:r>
      <w:r w:rsidRPr="004B3825">
        <w:t>.1.5</w:t>
      </w:r>
      <w:r w:rsidRPr="004B3825">
        <w:tab/>
        <w:t>Prescriptions spécifiques s</w:t>
      </w:r>
      <w:r>
        <w:t>’</w:t>
      </w:r>
      <w:r w:rsidRPr="004B3825">
        <w:t>appliquant au cycle d</w:t>
      </w:r>
      <w:r>
        <w:t>’</w:t>
      </w:r>
      <w:r w:rsidRPr="004B3825">
        <w:t xml:space="preserve">essai </w:t>
      </w:r>
      <w:proofErr w:type="spellStart"/>
      <w:r w:rsidRPr="004B3825">
        <w:t>WLTC</w:t>
      </w:r>
      <w:proofErr w:type="spellEnd"/>
    </w:p>
    <w:p w:rsidR="005C3F2F" w:rsidRPr="004B3825" w:rsidRDefault="005C3F2F" w:rsidP="005C3F2F">
      <w:pPr>
        <w:pStyle w:val="SingleTxtG"/>
        <w:ind w:left="2438"/>
      </w:pPr>
      <w:r w:rsidRPr="004B3825">
        <w:t>Sous réserve des prescriptions du paragraphe 6.2.2.4.1.5.1 ci-dessous, l</w:t>
      </w:r>
      <w:r>
        <w:t>’</w:t>
      </w:r>
      <w:r w:rsidRPr="004B3825">
        <w:t>essai doit être effectué deux fois avec de l</w:t>
      </w:r>
      <w:r>
        <w:t>’</w:t>
      </w:r>
      <w:r w:rsidRPr="004B3825">
        <w:t>essence de référence.</w:t>
      </w:r>
    </w:p>
    <w:p w:rsidR="005C3F2F" w:rsidRPr="004B3825" w:rsidRDefault="005C3F2F" w:rsidP="005C3F2F">
      <w:pPr>
        <w:pStyle w:val="SingleTxtG"/>
        <w:ind w:left="2438" w:hanging="1304"/>
      </w:pPr>
      <w:r w:rsidRPr="004B3825">
        <w:rPr>
          <w:bCs/>
          <w:color w:val="000000"/>
        </w:rPr>
        <w:t>6.2.2.</w:t>
      </w:r>
      <w:r w:rsidRPr="004B3825">
        <w:rPr>
          <w:color w:val="000000"/>
        </w:rPr>
        <w:t>4.1.5.1</w:t>
      </w:r>
      <w:r w:rsidRPr="004B3825">
        <w:rPr>
          <w:color w:val="000000"/>
        </w:rPr>
        <w:tab/>
      </w:r>
      <w:r w:rsidRPr="004B3825">
        <w:rPr>
          <w:bCs/>
        </w:rPr>
        <w:t>Le nombre d</w:t>
      </w:r>
      <w:r>
        <w:rPr>
          <w:bCs/>
        </w:rPr>
        <w:t>’</w:t>
      </w:r>
      <w:r w:rsidRPr="004B3825">
        <w:rPr>
          <w:bCs/>
        </w:rPr>
        <w:t>essais d</w:t>
      </w:r>
      <w:r>
        <w:rPr>
          <w:bCs/>
        </w:rPr>
        <w:t>’</w:t>
      </w:r>
      <w:r w:rsidRPr="004B3825">
        <w:rPr>
          <w:bCs/>
        </w:rPr>
        <w:t xml:space="preserve">émission prescrit au paragraphe </w:t>
      </w:r>
      <w:r w:rsidRPr="004B3825">
        <w:rPr>
          <w:color w:val="000000"/>
          <w:lang w:eastAsia="it-IT"/>
        </w:rPr>
        <w:t>6.2.2.4.1.5</w:t>
      </w:r>
      <w:r w:rsidRPr="004B3825">
        <w:rPr>
          <w:color w:val="000000"/>
        </w:rPr>
        <w:t xml:space="preserve"> peut être </w:t>
      </w:r>
      <w:r w:rsidRPr="004B3825">
        <w:rPr>
          <w:color w:val="000000"/>
          <w:spacing w:val="-2"/>
        </w:rPr>
        <w:t>réduit à un seul essai</w:t>
      </w:r>
      <w:r w:rsidRPr="004B3825">
        <w:rPr>
          <w:spacing w:val="-2"/>
        </w:rPr>
        <w:t xml:space="preserve"> si le résultat obtenu pour chaque polluant réglementé est inférieur ou égal à 0,9 fois la limite d</w:t>
      </w:r>
      <w:r>
        <w:rPr>
          <w:spacing w:val="-2"/>
        </w:rPr>
        <w:t>’</w:t>
      </w:r>
      <w:r w:rsidRPr="004B3825">
        <w:rPr>
          <w:spacing w:val="-2"/>
        </w:rPr>
        <w:t>émission (c</w:t>
      </w:r>
      <w:r>
        <w:rPr>
          <w:spacing w:val="-2"/>
        </w:rPr>
        <w:t>’</w:t>
      </w:r>
      <w:r w:rsidRPr="004B3825">
        <w:rPr>
          <w:spacing w:val="-2"/>
        </w:rPr>
        <w:t>est</w:t>
      </w:r>
      <w:r w:rsidRPr="004B3825">
        <w:rPr>
          <w:spacing w:val="-2"/>
        </w:rPr>
        <w:noBreakHyphen/>
        <w:t>à</w:t>
      </w:r>
      <w:r w:rsidRPr="004B3825">
        <w:rPr>
          <w:spacing w:val="-2"/>
        </w:rPr>
        <w:noBreakHyphen/>
        <w:t>dire V1 ≤ 0,90 G) ;</w:t>
      </w:r>
    </w:p>
    <w:p w:rsidR="005C3F2F" w:rsidRPr="004B3825" w:rsidRDefault="005C3F2F" w:rsidP="005C3F2F">
      <w:pPr>
        <w:pStyle w:val="SingleTxtG"/>
        <w:ind w:left="2438"/>
      </w:pPr>
      <w:r w:rsidRPr="004B3825">
        <w:t>où :</w:t>
      </w:r>
    </w:p>
    <w:p w:rsidR="005C3F2F" w:rsidRPr="004B3825" w:rsidRDefault="005C3F2F" w:rsidP="005C3F2F">
      <w:pPr>
        <w:pStyle w:val="SingleTxtG"/>
        <w:tabs>
          <w:tab w:val="left" w:pos="3261"/>
        </w:tabs>
        <w:ind w:left="3175" w:hanging="737"/>
      </w:pPr>
      <w:r w:rsidRPr="004B3825">
        <w:t>V1</w:t>
      </w:r>
      <w:r w:rsidRPr="004B3825">
        <w:tab/>
        <w:t>est la valeur des émissions d</w:t>
      </w:r>
      <w:r>
        <w:t>’</w:t>
      </w:r>
      <w:r w:rsidRPr="004B3825">
        <w:t>un polluant obtenue pendant le premier essai de type I ;</w:t>
      </w:r>
    </w:p>
    <w:p w:rsidR="005C3F2F" w:rsidRPr="004B3825" w:rsidRDefault="005C3F2F" w:rsidP="005C3F2F">
      <w:pPr>
        <w:pStyle w:val="SingleTxtG"/>
        <w:tabs>
          <w:tab w:val="left" w:pos="3261"/>
        </w:tabs>
        <w:ind w:left="3175" w:hanging="737"/>
      </w:pPr>
      <w:r w:rsidRPr="004B3825">
        <w:t>G</w:t>
      </w:r>
      <w:r w:rsidRPr="004B3825">
        <w:tab/>
        <w:t>est la valeur limite des émissions d</w:t>
      </w:r>
      <w:r>
        <w:t>’</w:t>
      </w:r>
      <w:r w:rsidRPr="004B3825">
        <w:t xml:space="preserve">un polluant (CO, </w:t>
      </w:r>
      <w:proofErr w:type="spellStart"/>
      <w:r w:rsidRPr="004B3825">
        <w:t>HC</w:t>
      </w:r>
      <w:proofErr w:type="spellEnd"/>
      <w:r w:rsidRPr="004B3825">
        <w:t xml:space="preserve"> ou NO</w:t>
      </w:r>
      <w:r w:rsidRPr="004B3825">
        <w:rPr>
          <w:vertAlign w:val="subscript"/>
        </w:rPr>
        <w:t>X</w:t>
      </w:r>
      <w:r w:rsidRPr="004B3825">
        <w:t>) d</w:t>
      </w:r>
      <w:r>
        <w:t>’</w:t>
      </w:r>
      <w:r w:rsidRPr="004B3825">
        <w:t>après l</w:t>
      </w:r>
      <w:r>
        <w:t>’</w:t>
      </w:r>
      <w:r w:rsidRPr="004B3825">
        <w:t>homologation de type du ou des véhicules, corrigée des facteurs de détérioration. ».</w:t>
      </w:r>
    </w:p>
    <w:p w:rsidR="005C3F2F" w:rsidRPr="004B3825" w:rsidRDefault="005C3F2F" w:rsidP="005C3F2F">
      <w:pPr>
        <w:pStyle w:val="SingleTxtG"/>
        <w:keepNext/>
      </w:pPr>
      <w:r w:rsidRPr="004B3825">
        <w:rPr>
          <w:i/>
        </w:rPr>
        <w:t>Paragraphe 6.2.2.4.1.6</w:t>
      </w:r>
      <w:r w:rsidRPr="004B3825">
        <w:t>,</w:t>
      </w:r>
      <w:r w:rsidRPr="004B3825">
        <w:rPr>
          <w:i/>
        </w:rPr>
        <w:t xml:space="preserve"> </w:t>
      </w:r>
      <w:r w:rsidRPr="004B3825">
        <w:t>lire :</w:t>
      </w:r>
    </w:p>
    <w:p w:rsidR="005C3F2F" w:rsidRPr="004B3825" w:rsidRDefault="005C3F2F" w:rsidP="005C3F2F">
      <w:pPr>
        <w:pStyle w:val="SingleTxtG"/>
        <w:ind w:left="2438" w:hanging="1304"/>
        <w:rPr>
          <w:color w:val="000000"/>
        </w:rPr>
      </w:pPr>
      <w:bookmarkStart w:id="5" w:name="_Hlk528314256"/>
      <w:r w:rsidRPr="004B3825">
        <w:rPr>
          <w:color w:val="000000"/>
        </w:rPr>
        <w:t>« 6.2.2.4.1.6</w:t>
      </w:r>
      <w:bookmarkEnd w:id="5"/>
      <w:r w:rsidRPr="004B3825">
        <w:rPr>
          <w:color w:val="000000"/>
        </w:rPr>
        <w:tab/>
      </w:r>
      <w:r w:rsidRPr="004B3825">
        <w:rPr>
          <w:bCs/>
        </w:rPr>
        <w:t>Essai de mesure des émissions d</w:t>
      </w:r>
      <w:r>
        <w:rPr>
          <w:bCs/>
        </w:rPr>
        <w:t>’</w:t>
      </w:r>
      <w:r w:rsidRPr="004B3825">
        <w:rPr>
          <w:bCs/>
        </w:rPr>
        <w:t xml:space="preserve">échappement en mode </w:t>
      </w:r>
      <w:proofErr w:type="spellStart"/>
      <w:r w:rsidRPr="004B3825">
        <w:rPr>
          <w:bCs/>
        </w:rPr>
        <w:t>GNC</w:t>
      </w:r>
      <w:proofErr w:type="spellEnd"/>
    </w:p>
    <w:p w:rsidR="005C3F2F" w:rsidRPr="004B3825" w:rsidRDefault="005C3F2F" w:rsidP="005C3F2F">
      <w:pPr>
        <w:pStyle w:val="SingleTxtG"/>
        <w:ind w:left="2438"/>
        <w:rPr>
          <w:color w:val="000000"/>
        </w:rPr>
      </w:pPr>
      <w:r w:rsidRPr="004B3825">
        <w:t>Le cycle d</w:t>
      </w:r>
      <w:r>
        <w:t>’</w:t>
      </w:r>
      <w:r w:rsidRPr="004B3825">
        <w:t>essai (</w:t>
      </w:r>
      <w:proofErr w:type="spellStart"/>
      <w:r w:rsidRPr="004B3825">
        <w:t>NCEE</w:t>
      </w:r>
      <w:proofErr w:type="spellEnd"/>
      <w:r w:rsidRPr="004B3825">
        <w:t xml:space="preserve"> ou </w:t>
      </w:r>
      <w:proofErr w:type="spellStart"/>
      <w:r w:rsidRPr="004B3825">
        <w:t>WLTC</w:t>
      </w:r>
      <w:proofErr w:type="spellEnd"/>
      <w:r w:rsidRPr="004B3825">
        <w:t>) doit être choisi selon l</w:t>
      </w:r>
      <w:r>
        <w:t>’</w:t>
      </w:r>
      <w:r w:rsidRPr="004B3825">
        <w:t>homologation de type initiale du véhicule.</w:t>
      </w:r>
      <w:r w:rsidRPr="004B3825">
        <w:rPr>
          <w:color w:val="000000"/>
        </w:rPr>
        <w:t xml:space="preserve"> Le ou les véhicules de base équipés du système d</w:t>
      </w:r>
      <w:r>
        <w:rPr>
          <w:color w:val="000000"/>
        </w:rPr>
        <w:t>’</w:t>
      </w:r>
      <w:r w:rsidRPr="004B3825">
        <w:rPr>
          <w:color w:val="000000"/>
        </w:rPr>
        <w:t>adaptation doivent être conformes aux valeurs limites définies lors de l</w:t>
      </w:r>
      <w:r>
        <w:rPr>
          <w:color w:val="000000"/>
        </w:rPr>
        <w:t>’</w:t>
      </w:r>
      <w:r w:rsidRPr="004B3825">
        <w:rPr>
          <w:color w:val="000000"/>
        </w:rPr>
        <w:t>homologation de type du ou des véhicules d</w:t>
      </w:r>
      <w:r>
        <w:rPr>
          <w:color w:val="000000"/>
        </w:rPr>
        <w:t>’</w:t>
      </w:r>
      <w:r w:rsidRPr="004B3825">
        <w:rPr>
          <w:color w:val="000000"/>
        </w:rPr>
        <w:t>origine, corrigées des facteurs de détérioration appliqués à cette occasion.</w:t>
      </w:r>
    </w:p>
    <w:p w:rsidR="005C3F2F" w:rsidRPr="004B3825" w:rsidRDefault="005C3F2F" w:rsidP="005C3F2F">
      <w:pPr>
        <w:pStyle w:val="SingleTxtG"/>
        <w:ind w:left="2438"/>
      </w:pPr>
      <w:r w:rsidRPr="004B3825">
        <w:rPr>
          <w:spacing w:val="-2"/>
        </w:rPr>
        <w:t xml:space="preserve">Si le ou les véhicules de base sont conformes soit au Règlement ONU </w:t>
      </w:r>
      <w:r w:rsidRPr="004B3825">
        <w:rPr>
          <w:rFonts w:eastAsia="MS Mincho"/>
          <w:spacing w:val="-2"/>
        </w:rPr>
        <w:t>n</w:t>
      </w:r>
      <w:r w:rsidRPr="004B3825">
        <w:rPr>
          <w:rFonts w:eastAsia="MS Mincho"/>
          <w:spacing w:val="-2"/>
          <w:vertAlign w:val="superscript"/>
        </w:rPr>
        <w:t>o</w:t>
      </w:r>
      <w:r w:rsidRPr="004B3825">
        <w:rPr>
          <w:spacing w:val="-2"/>
        </w:rPr>
        <w:t> 83,</w:t>
      </w:r>
      <w:r w:rsidRPr="004B3825">
        <w:t xml:space="preserve"> série 05 d</w:t>
      </w:r>
      <w:r>
        <w:t>’</w:t>
      </w:r>
      <w:r w:rsidRPr="004B3825">
        <w:t xml:space="preserve">amendements, soit à la Directive 98/69/CE, soit au Règlement ONU </w:t>
      </w:r>
      <w:r w:rsidRPr="004B3825">
        <w:rPr>
          <w:rFonts w:eastAsia="MS Mincho"/>
        </w:rPr>
        <w:t>n</w:t>
      </w:r>
      <w:r w:rsidRPr="004B3825">
        <w:rPr>
          <w:rFonts w:eastAsia="MS Mincho"/>
          <w:vertAlign w:val="superscript"/>
        </w:rPr>
        <w:t>o</w:t>
      </w:r>
      <w:r w:rsidRPr="004B3825">
        <w:t> 49, série 04 d</w:t>
      </w:r>
      <w:r>
        <w:t>’</w:t>
      </w:r>
      <w:r w:rsidRPr="004B3825">
        <w:t>amendements, ou encore à la Directive 1999/96/CE, le véhicule ne doit pas utiliser d</w:t>
      </w:r>
      <w:r>
        <w:t>’</w:t>
      </w:r>
      <w:r w:rsidRPr="004B3825">
        <w:t>essence pendant plus de 90 s pendant chaque essai.</w:t>
      </w:r>
    </w:p>
    <w:p w:rsidR="005C3F2F" w:rsidRPr="004B3825" w:rsidRDefault="005C3F2F" w:rsidP="005C3F2F">
      <w:pPr>
        <w:pStyle w:val="SingleTxtG"/>
        <w:ind w:left="2438"/>
      </w:pPr>
      <w:r w:rsidRPr="004B3825">
        <w:t xml:space="preserve">Pour les véhicules conformes au Règlement ONU </w:t>
      </w:r>
      <w:r w:rsidRPr="004B3825">
        <w:rPr>
          <w:rFonts w:eastAsia="MS Mincho"/>
        </w:rPr>
        <w:t>n</w:t>
      </w:r>
      <w:r w:rsidRPr="004B3825">
        <w:rPr>
          <w:rFonts w:eastAsia="MS Mincho"/>
          <w:vertAlign w:val="superscript"/>
        </w:rPr>
        <w:t>o</w:t>
      </w:r>
      <w:r w:rsidRPr="004B3825">
        <w:t> 83 jusqu</w:t>
      </w:r>
      <w:r>
        <w:t>’</w:t>
      </w:r>
      <w:r w:rsidRPr="004B3825">
        <w:t>à la série 07 d</w:t>
      </w:r>
      <w:r>
        <w:t>’</w:t>
      </w:r>
      <w:r w:rsidRPr="004B3825">
        <w:t xml:space="preserve">amendements, </w:t>
      </w:r>
      <w:r w:rsidRPr="004B3825">
        <w:rPr>
          <w:bCs/>
        </w:rPr>
        <w:t>ou aux séries d</w:t>
      </w:r>
      <w:r>
        <w:rPr>
          <w:bCs/>
        </w:rPr>
        <w:t>’</w:t>
      </w:r>
      <w:r w:rsidRPr="004B3825">
        <w:rPr>
          <w:bCs/>
        </w:rPr>
        <w:t xml:space="preserve">amendements </w:t>
      </w:r>
      <w:r w:rsidRPr="004B3825">
        <w:t xml:space="preserve">05 ou suivantes au Règlement ONU </w:t>
      </w:r>
      <w:r w:rsidRPr="004B3825">
        <w:rPr>
          <w:rFonts w:eastAsia="MS Mincho"/>
        </w:rPr>
        <w:t>n</w:t>
      </w:r>
      <w:r w:rsidRPr="004B3825">
        <w:rPr>
          <w:rFonts w:eastAsia="MS Mincho"/>
          <w:vertAlign w:val="superscript"/>
        </w:rPr>
        <w:t>o</w:t>
      </w:r>
      <w:r w:rsidRPr="004B3825">
        <w:t> 49, cette période ne doit pas dépasser 60 s.</w:t>
      </w:r>
    </w:p>
    <w:p w:rsidR="005C3F2F" w:rsidRPr="004B3825" w:rsidRDefault="005C3F2F" w:rsidP="005C3F2F">
      <w:pPr>
        <w:pStyle w:val="SingleTxtG"/>
        <w:ind w:left="2438"/>
        <w:rPr>
          <w:color w:val="000000"/>
        </w:rPr>
      </w:pPr>
      <w:r w:rsidRPr="004B3825">
        <w:t xml:space="preserve">Pour les véhicules homologués au titre du cycle </w:t>
      </w:r>
      <w:proofErr w:type="spellStart"/>
      <w:r w:rsidRPr="004B3825">
        <w:t>WLTC</w:t>
      </w:r>
      <w:proofErr w:type="spellEnd"/>
      <w:r w:rsidRPr="004B3825">
        <w:t>, cette période doit être prédéterminée et ne doit pas être modifiée par le conducteur. ».</w:t>
      </w:r>
    </w:p>
    <w:p w:rsidR="005C3F2F" w:rsidRPr="004B3825" w:rsidRDefault="005C3F2F" w:rsidP="005C3F2F">
      <w:pPr>
        <w:pStyle w:val="SingleTxtG"/>
        <w:keepNext/>
      </w:pPr>
      <w:r w:rsidRPr="004B3825">
        <w:rPr>
          <w:i/>
        </w:rPr>
        <w:t>Paragraphe 6.2.2.4.1.6.2</w:t>
      </w:r>
      <w:r w:rsidRPr="004B3825">
        <w:t>,</w:t>
      </w:r>
      <w:r w:rsidRPr="004B3825">
        <w:rPr>
          <w:i/>
        </w:rPr>
        <w:t xml:space="preserve"> </w:t>
      </w:r>
      <w:r w:rsidRPr="004B3825">
        <w:rPr>
          <w:iCs/>
        </w:rPr>
        <w:t>lire :</w:t>
      </w:r>
    </w:p>
    <w:p w:rsidR="005C3F2F" w:rsidRPr="004B3825" w:rsidRDefault="005C3F2F" w:rsidP="005C3F2F">
      <w:pPr>
        <w:pStyle w:val="SingleTxtG"/>
        <w:keepNext/>
        <w:ind w:left="2438" w:hanging="1304"/>
      </w:pPr>
      <w:bookmarkStart w:id="6" w:name="_Hlk528314267"/>
      <w:r w:rsidRPr="004B3825">
        <w:t>« 6.2.2.4.1.6.2</w:t>
      </w:r>
      <w:bookmarkEnd w:id="6"/>
      <w:r w:rsidRPr="004B3825">
        <w:tab/>
        <w:t>Utilisation de l</w:t>
      </w:r>
      <w:r>
        <w:t>’</w:t>
      </w:r>
      <w:r w:rsidRPr="004B3825">
        <w:t>essence</w:t>
      </w:r>
    </w:p>
    <w:p w:rsidR="005C3F2F" w:rsidRPr="004B3825" w:rsidRDefault="005C3F2F" w:rsidP="005C3F2F">
      <w:pPr>
        <w:pStyle w:val="SingleTxtG"/>
        <w:ind w:left="2438"/>
      </w:pPr>
      <w:r w:rsidRPr="004B3825">
        <w:t xml:space="preserve">Si le véhicule de base est conforme au Règlement ONU </w:t>
      </w:r>
      <w:r w:rsidRPr="004B3825">
        <w:rPr>
          <w:rFonts w:eastAsia="MS Mincho"/>
        </w:rPr>
        <w:t>n</w:t>
      </w:r>
      <w:r w:rsidRPr="004B3825">
        <w:rPr>
          <w:rFonts w:eastAsia="MS Mincho"/>
          <w:vertAlign w:val="superscript"/>
        </w:rPr>
        <w:t>o</w:t>
      </w:r>
      <w:r w:rsidRPr="004B3825">
        <w:t> 83, série 05 d</w:t>
      </w:r>
      <w:r>
        <w:t>’</w:t>
      </w:r>
      <w:r w:rsidRPr="004B3825">
        <w:t>amendements, à la Directive 98/69/CE, au Règlement ONU</w:t>
      </w:r>
      <w:r w:rsidRPr="004B3825">
        <w:rPr>
          <w:rFonts w:eastAsia="MS Mincho"/>
        </w:rPr>
        <w:t xml:space="preserve"> n</w:t>
      </w:r>
      <w:r w:rsidRPr="004B3825">
        <w:rPr>
          <w:rFonts w:eastAsia="MS Mincho"/>
          <w:vertAlign w:val="superscript"/>
        </w:rPr>
        <w:t>o</w:t>
      </w:r>
      <w:r w:rsidRPr="004B3825">
        <w:t> 49, série 04 d</w:t>
      </w:r>
      <w:r>
        <w:t>’</w:t>
      </w:r>
      <w:r w:rsidRPr="004B3825">
        <w:t>amendements, ou encore à la Directive 1999/96/CE, il ne doit pas fonctionner à l</w:t>
      </w:r>
      <w:r>
        <w:t>’</w:t>
      </w:r>
      <w:r w:rsidRPr="004B3825">
        <w:t>essence pendant plus de 90 s lors de chaque essai.</w:t>
      </w:r>
    </w:p>
    <w:p w:rsidR="005C3F2F" w:rsidRPr="004B3825" w:rsidRDefault="005C3F2F" w:rsidP="005C3F2F">
      <w:pPr>
        <w:pStyle w:val="SingleTxtG"/>
        <w:ind w:left="2438"/>
      </w:pPr>
      <w:r w:rsidRPr="004B3825">
        <w:lastRenderedPageBreak/>
        <w:t xml:space="preserve">Pour les véhicules conformes au Règlement ONU </w:t>
      </w:r>
      <w:r w:rsidRPr="004B3825">
        <w:rPr>
          <w:rFonts w:eastAsia="MS Mincho"/>
        </w:rPr>
        <w:t>n</w:t>
      </w:r>
      <w:r w:rsidRPr="004B3825">
        <w:rPr>
          <w:rFonts w:eastAsia="MS Mincho"/>
          <w:vertAlign w:val="superscript"/>
        </w:rPr>
        <w:t>o</w:t>
      </w:r>
      <w:r w:rsidRPr="004B3825">
        <w:t> 83 jusqu</w:t>
      </w:r>
      <w:r>
        <w:t>’</w:t>
      </w:r>
      <w:r w:rsidRPr="004B3825">
        <w:t>à la série 07 d</w:t>
      </w:r>
      <w:r>
        <w:t>’</w:t>
      </w:r>
      <w:r w:rsidRPr="004B3825">
        <w:t xml:space="preserve">amendements, </w:t>
      </w:r>
      <w:r w:rsidRPr="004B3825">
        <w:rPr>
          <w:bCs/>
        </w:rPr>
        <w:t xml:space="preserve">ou aux séries </w:t>
      </w:r>
      <w:r w:rsidRPr="004B3825">
        <w:t>05 ou suivantes d</w:t>
      </w:r>
      <w:r>
        <w:t>’</w:t>
      </w:r>
      <w:r w:rsidRPr="004B3825">
        <w:t xml:space="preserve">amendements au Règlement ONU </w:t>
      </w:r>
      <w:r w:rsidRPr="004B3825">
        <w:rPr>
          <w:rFonts w:eastAsia="MS Mincho"/>
        </w:rPr>
        <w:t>n</w:t>
      </w:r>
      <w:r w:rsidRPr="004B3825">
        <w:rPr>
          <w:rFonts w:eastAsia="MS Mincho"/>
          <w:vertAlign w:val="superscript"/>
        </w:rPr>
        <w:t>o</w:t>
      </w:r>
      <w:r w:rsidRPr="004B3825">
        <w:t> 49, cette période ne doit pas dépasser 60 s.</w:t>
      </w:r>
    </w:p>
    <w:p w:rsidR="005C3F2F" w:rsidRPr="004B3825" w:rsidRDefault="005C3F2F" w:rsidP="005C3F2F">
      <w:pPr>
        <w:pStyle w:val="SingleTxtG"/>
        <w:ind w:left="2438"/>
        <w:rPr>
          <w:color w:val="000000"/>
        </w:rPr>
      </w:pPr>
      <w:r w:rsidRPr="004B3825">
        <w:rPr>
          <w:color w:val="000000"/>
        </w:rPr>
        <w:t xml:space="preserve">Pour les véhicules homologués au titre du cycle </w:t>
      </w:r>
      <w:proofErr w:type="spellStart"/>
      <w:r w:rsidRPr="004B3825">
        <w:rPr>
          <w:color w:val="000000"/>
        </w:rPr>
        <w:t>WLTC</w:t>
      </w:r>
      <w:proofErr w:type="spellEnd"/>
      <w:r w:rsidRPr="004B3825">
        <w:rPr>
          <w:color w:val="000000"/>
        </w:rPr>
        <w:t>, cette période doit être prédéterminée et ne doit pas être modifiée par le conducteur. ».</w:t>
      </w:r>
    </w:p>
    <w:p w:rsidR="005C3F2F" w:rsidRPr="004B3825" w:rsidRDefault="005C3F2F" w:rsidP="005C3F2F">
      <w:pPr>
        <w:pStyle w:val="SingleTxtG"/>
        <w:keepNext/>
      </w:pPr>
      <w:r w:rsidRPr="004B3825">
        <w:rPr>
          <w:i/>
        </w:rPr>
        <w:t>Paragraphe 6.2.2.4.1.7</w:t>
      </w:r>
      <w:r w:rsidRPr="004B3825">
        <w:t>,</w:t>
      </w:r>
      <w:r w:rsidRPr="004B3825">
        <w:rPr>
          <w:i/>
        </w:rPr>
        <w:t xml:space="preserve"> </w:t>
      </w:r>
      <w:r w:rsidRPr="004B3825">
        <w:t>lire :</w:t>
      </w:r>
    </w:p>
    <w:p w:rsidR="005C3F2F" w:rsidRPr="004B3825" w:rsidRDefault="005C3F2F" w:rsidP="005C3F2F">
      <w:pPr>
        <w:pStyle w:val="SingleTxtG"/>
        <w:ind w:left="2438" w:hanging="1304"/>
        <w:rPr>
          <w:color w:val="000000"/>
        </w:rPr>
      </w:pPr>
      <w:r w:rsidRPr="004B3825">
        <w:rPr>
          <w:color w:val="000000"/>
        </w:rPr>
        <w:t>« 6.2.2.4.1.7</w:t>
      </w:r>
      <w:r w:rsidRPr="004B3825">
        <w:rPr>
          <w:color w:val="000000"/>
        </w:rPr>
        <w:tab/>
      </w:r>
      <w:r w:rsidRPr="004B3825">
        <w:t>Prescriptions spécifiques s</w:t>
      </w:r>
      <w:r>
        <w:t>’</w:t>
      </w:r>
      <w:r w:rsidRPr="004B3825">
        <w:t>appliquant au cycle d</w:t>
      </w:r>
      <w:r>
        <w:t>’</w:t>
      </w:r>
      <w:r w:rsidRPr="004B3825">
        <w:t xml:space="preserve">essai </w:t>
      </w:r>
      <w:proofErr w:type="spellStart"/>
      <w:r w:rsidRPr="004B3825">
        <w:t>NCEE</w:t>
      </w:r>
      <w:proofErr w:type="spellEnd"/>
    </w:p>
    <w:p w:rsidR="005C3F2F" w:rsidRPr="004B3825" w:rsidRDefault="005C3F2F" w:rsidP="005C3F2F">
      <w:pPr>
        <w:pStyle w:val="SingleTxtG"/>
        <w:ind w:left="2438"/>
        <w:rPr>
          <w:color w:val="000000"/>
        </w:rPr>
      </w:pPr>
      <w:r w:rsidRPr="004B3825">
        <w:rPr>
          <w:color w:val="000000"/>
        </w:rPr>
        <w:t>Sous réserve des prescriptions du paragraphe 6.2.2.4.1.7.2 ci-dessous, l</w:t>
      </w:r>
      <w:r>
        <w:rPr>
          <w:color w:val="000000"/>
        </w:rPr>
        <w:t>’</w:t>
      </w:r>
      <w:r w:rsidRPr="004B3825">
        <w:rPr>
          <w:color w:val="000000"/>
        </w:rPr>
        <w:t xml:space="preserve">essai doit être effectué trois fois avec chaque carburant </w:t>
      </w:r>
      <w:proofErr w:type="spellStart"/>
      <w:r w:rsidRPr="004B3825">
        <w:rPr>
          <w:color w:val="000000"/>
        </w:rPr>
        <w:t>GNC</w:t>
      </w:r>
      <w:proofErr w:type="spellEnd"/>
      <w:r w:rsidRPr="004B3825">
        <w:rPr>
          <w:color w:val="000000"/>
        </w:rPr>
        <w:t xml:space="preserve"> de référence.</w:t>
      </w:r>
    </w:p>
    <w:p w:rsidR="005C3F2F" w:rsidRPr="004B3825" w:rsidRDefault="005C3F2F" w:rsidP="005C3F2F">
      <w:pPr>
        <w:pStyle w:val="SingleTxtG"/>
        <w:ind w:left="2438" w:hanging="1304"/>
        <w:rPr>
          <w:color w:val="000000"/>
        </w:rPr>
      </w:pPr>
      <w:r w:rsidRPr="004B3825">
        <w:rPr>
          <w:color w:val="000000"/>
        </w:rPr>
        <w:t>6.2.2.4.1.7.1</w:t>
      </w:r>
      <w:r w:rsidRPr="004B3825">
        <w:rPr>
          <w:color w:val="000000"/>
        </w:rPr>
        <w:tab/>
        <w:t>Malgré les prescriptions du paragraphe 6.1.2.4.1.7</w:t>
      </w:r>
      <w:r w:rsidRPr="004B3825">
        <w:t xml:space="preserve"> plus haut, pour chaque polluant ou combinaison de polluants, un des trois résultats d</w:t>
      </w:r>
      <w:r>
        <w:t>’</w:t>
      </w:r>
      <w:r w:rsidRPr="004B3825">
        <w:t>essai peut dépasser, au maximum de 10 %, la limite prescrite, à condition que la moyenne arithmétique des trois résultats soit inférieure à celle-ci. Dans ce cas, les limites prescrites peuvent être dépassées par plus d</w:t>
      </w:r>
      <w:r>
        <w:t>’</w:t>
      </w:r>
      <w:r w:rsidRPr="004B3825">
        <w:t>un polluant pendant le même essai ou pendant des essais différents</w:t>
      </w:r>
      <w:r w:rsidRPr="004B3825">
        <w:rPr>
          <w:color w:val="000000"/>
        </w:rPr>
        <w:t>. ».</w:t>
      </w:r>
    </w:p>
    <w:p w:rsidR="005C3F2F" w:rsidRPr="004B3825" w:rsidRDefault="005C3F2F" w:rsidP="005C3F2F">
      <w:pPr>
        <w:pStyle w:val="SingleTxtG"/>
        <w:keepNext/>
        <w:rPr>
          <w:i/>
        </w:rPr>
      </w:pPr>
      <w:r w:rsidRPr="004B3825">
        <w:rPr>
          <w:i/>
        </w:rPr>
        <w:t xml:space="preserve">Le paragraphe 6.2.2.4.1.8 devient le paragraphe 6.2.2.4.1.7.2 </w:t>
      </w:r>
      <w:r w:rsidRPr="004B3825">
        <w:t>et est modifié</w:t>
      </w:r>
      <w:r w:rsidRPr="004B3825">
        <w:rPr>
          <w:i/>
        </w:rPr>
        <w:t xml:space="preserve"> </w:t>
      </w:r>
      <w:r w:rsidRPr="004B3825">
        <w:rPr>
          <w:iCs/>
        </w:rPr>
        <w:t>comme suit :</w:t>
      </w:r>
    </w:p>
    <w:p w:rsidR="005C3F2F" w:rsidRPr="004B3825" w:rsidRDefault="005C3F2F" w:rsidP="005C3F2F">
      <w:pPr>
        <w:pStyle w:val="SingleTxtG"/>
        <w:ind w:left="2438" w:hanging="1304"/>
      </w:pPr>
      <w:r w:rsidRPr="004B3825">
        <w:rPr>
          <w:lang w:eastAsia="it-IT"/>
        </w:rPr>
        <w:t>« 6.2.2.4.1.7.2</w:t>
      </w:r>
      <w:r w:rsidRPr="004B3825">
        <w:rPr>
          <w:lang w:eastAsia="it-IT"/>
        </w:rPr>
        <w:tab/>
        <w:t>Le nombre d</w:t>
      </w:r>
      <w:r>
        <w:rPr>
          <w:lang w:eastAsia="it-IT"/>
        </w:rPr>
        <w:t>’</w:t>
      </w:r>
      <w:r w:rsidRPr="004B3825">
        <w:rPr>
          <w:lang w:eastAsia="it-IT"/>
        </w:rPr>
        <w:t>essais d</w:t>
      </w:r>
      <w:r>
        <w:rPr>
          <w:lang w:eastAsia="it-IT"/>
        </w:rPr>
        <w:t>’</w:t>
      </w:r>
      <w:r w:rsidRPr="004B3825">
        <w:rPr>
          <w:lang w:eastAsia="it-IT"/>
        </w:rPr>
        <w:t>émission prescrit au paragraphe 6.2.2.4.1.7 plus haut… ».</w:t>
      </w:r>
    </w:p>
    <w:p w:rsidR="005C3F2F" w:rsidRPr="004B3825" w:rsidRDefault="005C3F2F" w:rsidP="005C3F2F">
      <w:pPr>
        <w:pStyle w:val="SingleTxtG"/>
        <w:keepNext/>
      </w:pPr>
      <w:r w:rsidRPr="004B3825">
        <w:rPr>
          <w:i/>
        </w:rPr>
        <w:t>Ajouter les nouveaux paragraphes 6.2.2.4.1.8 et 6.2.2.4.1.8.1</w:t>
      </w:r>
      <w:r w:rsidRPr="004B3825">
        <w:t>,</w:t>
      </w:r>
      <w:r w:rsidRPr="004B3825">
        <w:rPr>
          <w:i/>
        </w:rPr>
        <w:t xml:space="preserve"> </w:t>
      </w:r>
      <w:r w:rsidRPr="004B3825">
        <w:rPr>
          <w:iCs/>
        </w:rPr>
        <w:t>libellés comme suit :</w:t>
      </w:r>
    </w:p>
    <w:p w:rsidR="005C3F2F" w:rsidRPr="004B3825" w:rsidRDefault="005C3F2F" w:rsidP="005C3F2F">
      <w:pPr>
        <w:pStyle w:val="SingleTxtG"/>
        <w:ind w:left="2438" w:hanging="1304"/>
        <w:rPr>
          <w:color w:val="000000"/>
        </w:rPr>
      </w:pPr>
      <w:r w:rsidRPr="004B3825">
        <w:rPr>
          <w:color w:val="000000"/>
        </w:rPr>
        <w:t>« 6.2.2.4.1.8</w:t>
      </w:r>
      <w:r w:rsidRPr="004B3825">
        <w:rPr>
          <w:color w:val="000000"/>
        </w:rPr>
        <w:tab/>
        <w:t>Prescriptions spécifiques s</w:t>
      </w:r>
      <w:r>
        <w:rPr>
          <w:color w:val="000000"/>
        </w:rPr>
        <w:t>’</w:t>
      </w:r>
      <w:r w:rsidRPr="004B3825">
        <w:rPr>
          <w:color w:val="000000"/>
        </w:rPr>
        <w:t>appliquant au cycle d</w:t>
      </w:r>
      <w:r>
        <w:rPr>
          <w:color w:val="000000"/>
        </w:rPr>
        <w:t>’</w:t>
      </w:r>
      <w:r w:rsidRPr="004B3825">
        <w:rPr>
          <w:color w:val="000000"/>
        </w:rPr>
        <w:t xml:space="preserve">essai </w:t>
      </w:r>
      <w:proofErr w:type="spellStart"/>
      <w:r w:rsidRPr="004B3825">
        <w:rPr>
          <w:color w:val="000000"/>
        </w:rPr>
        <w:t>WLTC</w:t>
      </w:r>
      <w:proofErr w:type="spellEnd"/>
    </w:p>
    <w:p w:rsidR="005C3F2F" w:rsidRPr="004B3825" w:rsidRDefault="005C3F2F" w:rsidP="005C3F2F">
      <w:pPr>
        <w:pStyle w:val="SingleTxtG"/>
        <w:ind w:left="2438"/>
        <w:rPr>
          <w:color w:val="000000"/>
        </w:rPr>
      </w:pPr>
      <w:r w:rsidRPr="004B3825">
        <w:rPr>
          <w:color w:val="000000"/>
        </w:rPr>
        <w:t>Sous réserve des prescriptions du paragraphe 6.2.2.4.1.8.1 ci-dessous, l</w:t>
      </w:r>
      <w:r>
        <w:rPr>
          <w:color w:val="000000"/>
        </w:rPr>
        <w:t>’</w:t>
      </w:r>
      <w:r w:rsidRPr="004B3825">
        <w:rPr>
          <w:color w:val="000000"/>
        </w:rPr>
        <w:t xml:space="preserve">essai doit être effectué deux fois avec chaque carburant </w:t>
      </w:r>
      <w:proofErr w:type="spellStart"/>
      <w:r w:rsidRPr="004B3825">
        <w:rPr>
          <w:color w:val="000000"/>
        </w:rPr>
        <w:t>GNC</w:t>
      </w:r>
      <w:proofErr w:type="spellEnd"/>
      <w:r w:rsidRPr="004B3825">
        <w:rPr>
          <w:color w:val="000000"/>
        </w:rPr>
        <w:t xml:space="preserve"> de référence.</w:t>
      </w:r>
    </w:p>
    <w:p w:rsidR="005C3F2F" w:rsidRPr="004B3825" w:rsidRDefault="005C3F2F" w:rsidP="005C3F2F">
      <w:pPr>
        <w:pStyle w:val="SingleTxtG"/>
        <w:ind w:left="2438" w:hanging="1304"/>
      </w:pPr>
      <w:r w:rsidRPr="004B3825">
        <w:rPr>
          <w:bCs/>
        </w:rPr>
        <w:t>6.2.2.4.1.8.1</w:t>
      </w:r>
      <w:r w:rsidRPr="004B3825">
        <w:rPr>
          <w:bCs/>
        </w:rPr>
        <w:tab/>
      </w:r>
      <w:r w:rsidRPr="004B3825">
        <w:t>Le nombre d</w:t>
      </w:r>
      <w:r>
        <w:t>’</w:t>
      </w:r>
      <w:r w:rsidRPr="004B3825">
        <w:t>essais d</w:t>
      </w:r>
      <w:r>
        <w:t>’</w:t>
      </w:r>
      <w:r w:rsidRPr="004B3825">
        <w:t xml:space="preserve">émission prescrit au paragraphe </w:t>
      </w:r>
      <w:r w:rsidRPr="004B3825">
        <w:rPr>
          <w:lang w:eastAsia="it-IT"/>
        </w:rPr>
        <w:t>6.1.2.4.1.8</w:t>
      </w:r>
      <w:r w:rsidRPr="004B3825">
        <w:t xml:space="preserve"> plus haut pour chaque carburant </w:t>
      </w:r>
      <w:proofErr w:type="spellStart"/>
      <w:r w:rsidRPr="004B3825">
        <w:t>GNC</w:t>
      </w:r>
      <w:proofErr w:type="spellEnd"/>
      <w:r w:rsidRPr="004B3825">
        <w:t xml:space="preserve"> de référence peut être réduit à un seul essai si la valeur obtenue pour chaque polluant ou pour la combinaison de deux polluants réglementés est inférieure ou égale à 0,9 fois la valeur d</w:t>
      </w:r>
      <w:r>
        <w:t>’</w:t>
      </w:r>
      <w:r w:rsidRPr="004B3825">
        <w:t>émission limite (par exemple M</w:t>
      </w:r>
      <w:r w:rsidRPr="004B3825">
        <w:rPr>
          <w:vertAlign w:val="subscript"/>
        </w:rPr>
        <w:t>1</w:t>
      </w:r>
      <w:r w:rsidRPr="004B3825">
        <w:t xml:space="preserve"> ≤ 0,90 G) ;</w:t>
      </w:r>
    </w:p>
    <w:p w:rsidR="005C3F2F" w:rsidRPr="004B3825" w:rsidRDefault="005C3F2F" w:rsidP="005C3F2F">
      <w:pPr>
        <w:pStyle w:val="SingleTxtG"/>
        <w:ind w:left="2438"/>
      </w:pPr>
      <w:r w:rsidRPr="004B3825">
        <w:t>où :</w:t>
      </w:r>
    </w:p>
    <w:p w:rsidR="005C3F2F" w:rsidRPr="004B3825" w:rsidRDefault="005C3F2F" w:rsidP="005C3F2F">
      <w:pPr>
        <w:pStyle w:val="SingleTxtG"/>
        <w:tabs>
          <w:tab w:val="left" w:pos="3261"/>
        </w:tabs>
        <w:ind w:left="3175" w:hanging="737"/>
      </w:pPr>
      <w:r w:rsidRPr="004B3825">
        <w:t>M</w:t>
      </w:r>
      <w:r w:rsidRPr="004B3825">
        <w:rPr>
          <w:vertAlign w:val="subscript"/>
        </w:rPr>
        <w:t>1</w:t>
      </w:r>
      <w:r w:rsidRPr="004B3825">
        <w:tab/>
        <w:t>est la valeur des émissions d</w:t>
      </w:r>
      <w:r>
        <w:t>’</w:t>
      </w:r>
      <w:r w:rsidRPr="004B3825">
        <w:t>un polluant obtenue lors du premier essai de type I ;</w:t>
      </w:r>
    </w:p>
    <w:p w:rsidR="005C3F2F" w:rsidRPr="004B3825" w:rsidRDefault="005C3F2F" w:rsidP="005C3F2F">
      <w:pPr>
        <w:pStyle w:val="SingleTxtG"/>
        <w:tabs>
          <w:tab w:val="left" w:pos="3261"/>
        </w:tabs>
        <w:ind w:left="3175" w:hanging="737"/>
      </w:pPr>
      <w:r w:rsidRPr="004B3825">
        <w:t>G</w:t>
      </w:r>
      <w:r w:rsidRPr="004B3825">
        <w:tab/>
        <w:t>est la valeur limite des émissions d</w:t>
      </w:r>
      <w:r>
        <w:t>’</w:t>
      </w:r>
      <w:r w:rsidRPr="004B3825">
        <w:t xml:space="preserve">un seul polluant (CO, </w:t>
      </w:r>
      <w:proofErr w:type="spellStart"/>
      <w:r w:rsidRPr="004B3825">
        <w:t>HC</w:t>
      </w:r>
      <w:proofErr w:type="spellEnd"/>
      <w:r w:rsidRPr="004B3825">
        <w:t xml:space="preserve"> ou NO</w:t>
      </w:r>
      <w:r w:rsidRPr="004B3825">
        <w:rPr>
          <w:vertAlign w:val="subscript"/>
        </w:rPr>
        <w:t>X</w:t>
      </w:r>
      <w:r w:rsidRPr="004B3825">
        <w:t>) ou de la somme de deux polluants (</w:t>
      </w:r>
      <w:proofErr w:type="spellStart"/>
      <w:r w:rsidRPr="004B3825">
        <w:t>HC</w:t>
      </w:r>
      <w:proofErr w:type="spellEnd"/>
      <w:r w:rsidRPr="004B3825">
        <w:t xml:space="preserve"> + NO</w:t>
      </w:r>
      <w:r w:rsidRPr="004B3825">
        <w:rPr>
          <w:vertAlign w:val="subscript"/>
        </w:rPr>
        <w:t>X</w:t>
      </w:r>
      <w:r w:rsidRPr="004B3825">
        <w:t>) fixée lors de l</w:t>
      </w:r>
      <w:r>
        <w:t>’</w:t>
      </w:r>
      <w:r w:rsidRPr="004B3825">
        <w:t>homologation de type du ou des véhicules, corrigée des facteurs de détérioration. ».</w:t>
      </w:r>
    </w:p>
    <w:p w:rsidR="005C3F2F" w:rsidRPr="004B3825" w:rsidRDefault="005C3F2F" w:rsidP="005C3F2F">
      <w:pPr>
        <w:pStyle w:val="SingleTxtG"/>
        <w:keepNext/>
      </w:pPr>
      <w:r w:rsidRPr="004B3825">
        <w:rPr>
          <w:i/>
        </w:rPr>
        <w:t>Paragraphe 6.2.2.4.3.1</w:t>
      </w:r>
      <w:r w:rsidRPr="004B3825">
        <w:t>,</w:t>
      </w:r>
      <w:r w:rsidRPr="004B3825">
        <w:rPr>
          <w:i/>
        </w:rPr>
        <w:t xml:space="preserve"> </w:t>
      </w:r>
      <w:r w:rsidRPr="004B3825">
        <w:t>lire :</w:t>
      </w:r>
    </w:p>
    <w:p w:rsidR="005C3F2F" w:rsidRPr="004B3825" w:rsidRDefault="005C3F2F" w:rsidP="005C3F2F">
      <w:pPr>
        <w:pStyle w:val="SingleTxtG"/>
        <w:ind w:left="2438" w:hanging="1304"/>
      </w:pPr>
      <w:r w:rsidRPr="004B3825">
        <w:t>« 6.2.2.4.3</w:t>
      </w:r>
      <w:r w:rsidRPr="004B3825">
        <w:rPr>
          <w:bCs/>
        </w:rPr>
        <w:t>.</w:t>
      </w:r>
      <w:r w:rsidRPr="004B3825">
        <w:t>1</w:t>
      </w:r>
      <w:r w:rsidRPr="004B3825">
        <w:tab/>
        <w:t>Les émissions de CO</w:t>
      </w:r>
      <w:r w:rsidRPr="004B3825">
        <w:rPr>
          <w:vertAlign w:val="subscript"/>
        </w:rPr>
        <w:t>2</w:t>
      </w:r>
      <w:r w:rsidRPr="004B3825">
        <w:t xml:space="preserve"> sont calculées conformément au Règlement ONU </w:t>
      </w:r>
      <w:r w:rsidRPr="004B3825">
        <w:rPr>
          <w:rFonts w:eastAsia="MS Mincho"/>
        </w:rPr>
        <w:t>n</w:t>
      </w:r>
      <w:r w:rsidRPr="004B3825">
        <w:rPr>
          <w:rFonts w:eastAsia="MS Mincho"/>
          <w:vertAlign w:val="superscript"/>
        </w:rPr>
        <w:t>o</w:t>
      </w:r>
      <w:r w:rsidRPr="004B3825">
        <w:t xml:space="preserve"> 101 ou au </w:t>
      </w:r>
      <w:proofErr w:type="spellStart"/>
      <w:r w:rsidRPr="004B3825">
        <w:t>RTM</w:t>
      </w:r>
      <w:proofErr w:type="spellEnd"/>
      <w:r w:rsidRPr="004B3825">
        <w:t xml:space="preserve"> ONU </w:t>
      </w:r>
      <w:r w:rsidRPr="004B3825">
        <w:rPr>
          <w:rFonts w:eastAsia="MS Mincho"/>
        </w:rPr>
        <w:t>n</w:t>
      </w:r>
      <w:r w:rsidRPr="004B3825">
        <w:rPr>
          <w:rFonts w:eastAsia="MS Mincho"/>
          <w:vertAlign w:val="superscript"/>
        </w:rPr>
        <w:t>o</w:t>
      </w:r>
      <w:r w:rsidRPr="004B3825">
        <w:t> 15, selon le cas, pour chaque véhicule de base, le cas échéant</w:t>
      </w:r>
      <w:r w:rsidRPr="004B3825">
        <w:rPr>
          <w:iCs/>
        </w:rPr>
        <w:t>.</w:t>
      </w:r>
    </w:p>
    <w:p w:rsidR="005C3F2F" w:rsidRPr="004B3825" w:rsidRDefault="005C3F2F" w:rsidP="005C3F2F">
      <w:pPr>
        <w:pStyle w:val="SingleTxtG"/>
        <w:ind w:left="2438"/>
      </w:pPr>
      <w:r w:rsidRPr="004B3825">
        <w:t>La valeur moyenne des émissions de CO</w:t>
      </w:r>
      <w:r w:rsidRPr="004B3825">
        <w:rPr>
          <w:vertAlign w:val="subscript"/>
        </w:rPr>
        <w:t>2</w:t>
      </w:r>
      <w:r w:rsidRPr="004B3825">
        <w:t xml:space="preserve"> se calcule comme suit :</w:t>
      </w:r>
    </w:p>
    <w:p w:rsidR="005C3F2F" w:rsidRPr="004B3825" w:rsidRDefault="005C3F2F" w:rsidP="005C3F2F">
      <w:pPr>
        <w:pStyle w:val="SingleTxtG"/>
        <w:tabs>
          <w:tab w:val="left" w:pos="3261"/>
        </w:tabs>
        <w:ind w:left="3175" w:hanging="737"/>
      </w:pPr>
      <w:r w:rsidRPr="004B3825">
        <w:t>… ».</w:t>
      </w:r>
    </w:p>
    <w:p w:rsidR="005C3F2F" w:rsidRPr="004B3825" w:rsidRDefault="005C3F2F" w:rsidP="005C3F2F">
      <w:pPr>
        <w:pStyle w:val="SingleTxtG"/>
        <w:keepNext/>
        <w:rPr>
          <w:i/>
        </w:rPr>
      </w:pPr>
      <w:r w:rsidRPr="004B3825">
        <w:rPr>
          <w:i/>
        </w:rPr>
        <w:t>Annexe 2A</w:t>
      </w:r>
    </w:p>
    <w:p w:rsidR="005C3F2F" w:rsidRPr="004B3825" w:rsidRDefault="005C3F2F" w:rsidP="005C3F2F">
      <w:pPr>
        <w:pStyle w:val="SingleTxtG"/>
        <w:keepNext/>
      </w:pPr>
      <w:r w:rsidRPr="004B3825">
        <w:rPr>
          <w:i/>
        </w:rPr>
        <w:t>Paragraphe 2</w:t>
      </w:r>
      <w:r w:rsidRPr="004B3825">
        <w:t>,</w:t>
      </w:r>
      <w:r w:rsidRPr="004B3825">
        <w:rPr>
          <w:i/>
        </w:rPr>
        <w:t xml:space="preserve"> </w:t>
      </w:r>
      <w:r w:rsidRPr="004B3825">
        <w:t>lire :</w:t>
      </w:r>
    </w:p>
    <w:p w:rsidR="005C3F2F" w:rsidRPr="004B3825" w:rsidRDefault="005C3F2F" w:rsidP="005C3F2F">
      <w:pPr>
        <w:pStyle w:val="SingleTxtG"/>
        <w:ind w:left="2438" w:hanging="1304"/>
      </w:pPr>
      <w:r w:rsidRPr="004B3825">
        <w:t>« 2.</w:t>
      </w:r>
      <w:r w:rsidRPr="004B3825">
        <w:tab/>
        <w:t>Calcul du ratio de consommation de GPL</w:t>
      </w:r>
    </w:p>
    <w:p w:rsidR="005C3F2F" w:rsidRPr="004B3825" w:rsidRDefault="005C3F2F" w:rsidP="005C3F2F">
      <w:pPr>
        <w:pStyle w:val="SingleTxtG"/>
        <w:tabs>
          <w:tab w:val="left" w:pos="3261"/>
        </w:tabs>
        <w:ind w:left="3175" w:hanging="737"/>
      </w:pPr>
      <w:r w:rsidRPr="004B3825">
        <w:t>…</w:t>
      </w:r>
    </w:p>
    <w:p w:rsidR="005C3F2F" w:rsidRPr="004B3825" w:rsidRDefault="005C3F2F" w:rsidP="005C3F2F">
      <w:pPr>
        <w:pStyle w:val="SingleTxtG"/>
        <w:tabs>
          <w:tab w:val="left" w:pos="3261"/>
        </w:tabs>
        <w:ind w:left="3175" w:hanging="737"/>
      </w:pPr>
      <w:proofErr w:type="spellStart"/>
      <w:r w:rsidRPr="004B3825">
        <w:t>FC</w:t>
      </w:r>
      <w:r w:rsidRPr="004B3825">
        <w:rPr>
          <w:vertAlign w:val="subscript"/>
        </w:rPr>
        <w:t>norm</w:t>
      </w:r>
      <w:proofErr w:type="spellEnd"/>
      <w:r w:rsidRPr="004B3825">
        <w:t> </w:t>
      </w:r>
      <w:r w:rsidRPr="004B3825">
        <w:tab/>
        <w:t xml:space="preserve">est la consommation de carburant (l/100 km) calculée conformément aux dispositions du paragraphe 1.4.3 b) de </w:t>
      </w:r>
      <w:r w:rsidRPr="004B3825">
        <w:rPr>
          <w:spacing w:val="-2"/>
        </w:rPr>
        <w:t>l</w:t>
      </w:r>
      <w:r>
        <w:rPr>
          <w:spacing w:val="-2"/>
        </w:rPr>
        <w:t>’</w:t>
      </w:r>
      <w:r w:rsidRPr="004B3825">
        <w:rPr>
          <w:spacing w:val="-2"/>
        </w:rPr>
        <w:t xml:space="preserve">annexe 6 du Règlement ONU </w:t>
      </w:r>
      <w:r w:rsidRPr="004B3825">
        <w:rPr>
          <w:rFonts w:eastAsia="MS Mincho"/>
          <w:spacing w:val="-2"/>
        </w:rPr>
        <w:t>n</w:t>
      </w:r>
      <w:r w:rsidRPr="004B3825">
        <w:rPr>
          <w:rFonts w:eastAsia="MS Mincho"/>
          <w:spacing w:val="-2"/>
          <w:vertAlign w:val="superscript"/>
        </w:rPr>
        <w:t>o</w:t>
      </w:r>
      <w:r w:rsidRPr="004B3825">
        <w:rPr>
          <w:spacing w:val="-2"/>
        </w:rPr>
        <w:t> 101 ou du paragraphe 6 de l</w:t>
      </w:r>
      <w:r>
        <w:rPr>
          <w:spacing w:val="-2"/>
        </w:rPr>
        <w:t>’</w:t>
      </w:r>
      <w:r w:rsidRPr="004B3825">
        <w:rPr>
          <w:spacing w:val="-2"/>
        </w:rPr>
        <w:t>annexe 7</w:t>
      </w:r>
      <w:r w:rsidRPr="004B3825">
        <w:t xml:space="preserve"> du </w:t>
      </w:r>
      <w:proofErr w:type="spellStart"/>
      <w:r w:rsidRPr="004B3825">
        <w:lastRenderedPageBreak/>
        <w:t>RTM</w:t>
      </w:r>
      <w:proofErr w:type="spellEnd"/>
      <w:r w:rsidRPr="004B3825">
        <w:t xml:space="preserve"> ONU </w:t>
      </w:r>
      <w:r w:rsidRPr="004B3825">
        <w:rPr>
          <w:rFonts w:eastAsia="MS Mincho"/>
        </w:rPr>
        <w:t>n</w:t>
      </w:r>
      <w:r w:rsidRPr="004B3825">
        <w:rPr>
          <w:rFonts w:eastAsia="MS Mincho"/>
          <w:vertAlign w:val="superscript"/>
        </w:rPr>
        <w:t>o</w:t>
      </w:r>
      <w:r w:rsidRPr="004B3825">
        <w:t xml:space="preserve"> 15, selon le cas. Le cas échéant, on calcule le facteur de correction </w:t>
      </w:r>
      <w:proofErr w:type="spellStart"/>
      <w:r w:rsidRPr="004B3825">
        <w:t>cf</w:t>
      </w:r>
      <w:proofErr w:type="spellEnd"/>
      <w:r w:rsidRPr="004B3825">
        <w:t xml:space="preserve"> qui figure dans l</w:t>
      </w:r>
      <w:r>
        <w:t>’</w:t>
      </w:r>
      <w:r w:rsidRPr="004B3825">
        <w:t xml:space="preserve">équation servant à calculer </w:t>
      </w:r>
      <w:proofErr w:type="spellStart"/>
      <w:r w:rsidRPr="004B3825">
        <w:t>FC</w:t>
      </w:r>
      <w:r w:rsidRPr="004B3825">
        <w:rPr>
          <w:vertAlign w:val="subscript"/>
        </w:rPr>
        <w:t>norm</w:t>
      </w:r>
      <w:proofErr w:type="spellEnd"/>
      <w:r w:rsidRPr="004B3825">
        <w:t xml:space="preserve"> en utilisant le rapport H/C du carburant gazeux ;</w:t>
      </w:r>
    </w:p>
    <w:p w:rsidR="005C3F2F" w:rsidRPr="004B3825" w:rsidRDefault="005C3F2F" w:rsidP="005C3F2F">
      <w:pPr>
        <w:pStyle w:val="SingleTxtG"/>
        <w:tabs>
          <w:tab w:val="left" w:pos="3261"/>
        </w:tabs>
        <w:ind w:left="3175" w:hanging="737"/>
      </w:pPr>
      <w:r w:rsidRPr="004B3825">
        <w:t>… ».</w:t>
      </w:r>
    </w:p>
    <w:p w:rsidR="005C3F2F" w:rsidRPr="004B3825" w:rsidRDefault="005C3F2F" w:rsidP="005C3F2F">
      <w:pPr>
        <w:pStyle w:val="SingleTxtG"/>
        <w:keepNext/>
        <w:rPr>
          <w:i/>
        </w:rPr>
      </w:pPr>
      <w:r w:rsidRPr="004B3825">
        <w:rPr>
          <w:i/>
        </w:rPr>
        <w:t>Annexe 2B</w:t>
      </w:r>
    </w:p>
    <w:p w:rsidR="005C3F2F" w:rsidRPr="004B3825" w:rsidRDefault="005C3F2F" w:rsidP="005C3F2F">
      <w:pPr>
        <w:pStyle w:val="SingleTxtG"/>
        <w:keepNext/>
      </w:pPr>
      <w:r w:rsidRPr="004B3825">
        <w:rPr>
          <w:i/>
        </w:rPr>
        <w:t>Paragraphe 2</w:t>
      </w:r>
      <w:r w:rsidRPr="004B3825">
        <w:t>,</w:t>
      </w:r>
      <w:r w:rsidRPr="004B3825">
        <w:rPr>
          <w:i/>
        </w:rPr>
        <w:t xml:space="preserve"> </w:t>
      </w:r>
      <w:r w:rsidRPr="004B3825">
        <w:t>lire :</w:t>
      </w:r>
    </w:p>
    <w:p w:rsidR="005C3F2F" w:rsidRPr="004B3825" w:rsidRDefault="005C3F2F" w:rsidP="005C3F2F">
      <w:pPr>
        <w:pStyle w:val="SingleTxtG"/>
        <w:ind w:left="2438" w:hanging="1304"/>
      </w:pPr>
      <w:r w:rsidRPr="004B3825">
        <w:t>« 2.</w:t>
      </w:r>
      <w:r w:rsidRPr="004B3825">
        <w:tab/>
        <w:t xml:space="preserve">Calcul du ratio de consommation de </w:t>
      </w:r>
      <w:proofErr w:type="spellStart"/>
      <w:r w:rsidRPr="004B3825">
        <w:t>GNC</w:t>
      </w:r>
      <w:proofErr w:type="spellEnd"/>
    </w:p>
    <w:p w:rsidR="005C3F2F" w:rsidRPr="004B3825" w:rsidRDefault="005C3F2F" w:rsidP="005C3F2F">
      <w:pPr>
        <w:pStyle w:val="SingleTxtG"/>
        <w:tabs>
          <w:tab w:val="left" w:pos="3261"/>
        </w:tabs>
        <w:ind w:left="3175" w:hanging="737"/>
      </w:pPr>
      <w:r w:rsidRPr="004B3825">
        <w:t>…</w:t>
      </w:r>
    </w:p>
    <w:p w:rsidR="005C3F2F" w:rsidRPr="004B3825" w:rsidRDefault="005C3F2F" w:rsidP="005C3F2F">
      <w:pPr>
        <w:pStyle w:val="SingleTxtG"/>
        <w:tabs>
          <w:tab w:val="left" w:pos="3261"/>
        </w:tabs>
        <w:ind w:left="3175" w:hanging="737"/>
      </w:pPr>
      <w:proofErr w:type="spellStart"/>
      <w:r w:rsidRPr="004B3825">
        <w:t>FC</w:t>
      </w:r>
      <w:r w:rsidRPr="004B3825">
        <w:rPr>
          <w:vertAlign w:val="subscript"/>
        </w:rPr>
        <w:t>norm</w:t>
      </w:r>
      <w:proofErr w:type="spellEnd"/>
      <w:r w:rsidRPr="004B3825">
        <w:tab/>
        <w:t>est la consommation de carburant (m</w:t>
      </w:r>
      <w:r w:rsidRPr="004B3825">
        <w:rPr>
          <w:vertAlign w:val="superscript"/>
        </w:rPr>
        <w:t>3</w:t>
      </w:r>
      <w:r w:rsidRPr="004B3825">
        <w:t>/100 km) calculée conformément aux dispositions du paragraphe 1.4.3 c) de l</w:t>
      </w:r>
      <w:r>
        <w:t>’</w:t>
      </w:r>
      <w:r w:rsidRPr="004B3825">
        <w:t xml:space="preserve">annexe 6 du Règlement ONU </w:t>
      </w:r>
      <w:r w:rsidRPr="004B3825">
        <w:rPr>
          <w:rFonts w:eastAsia="MS Mincho"/>
        </w:rPr>
        <w:t>n</w:t>
      </w:r>
      <w:r w:rsidRPr="004B3825">
        <w:rPr>
          <w:rFonts w:eastAsia="MS Mincho"/>
          <w:vertAlign w:val="superscript"/>
        </w:rPr>
        <w:t>o</w:t>
      </w:r>
      <w:r w:rsidRPr="004B3825">
        <w:t> 101 ou du paragraphe 6 de l</w:t>
      </w:r>
      <w:r>
        <w:t>’</w:t>
      </w:r>
      <w:r w:rsidRPr="004B3825">
        <w:t xml:space="preserve">annexe 7 du </w:t>
      </w:r>
      <w:proofErr w:type="spellStart"/>
      <w:r w:rsidRPr="004B3825">
        <w:t>RTM</w:t>
      </w:r>
      <w:proofErr w:type="spellEnd"/>
      <w:r w:rsidRPr="004B3825">
        <w:t xml:space="preserve"> ONU </w:t>
      </w:r>
      <w:r w:rsidRPr="004B3825">
        <w:rPr>
          <w:rFonts w:eastAsia="MS Mincho"/>
        </w:rPr>
        <w:t>n</w:t>
      </w:r>
      <w:r w:rsidRPr="004B3825">
        <w:rPr>
          <w:rFonts w:eastAsia="MS Mincho"/>
          <w:vertAlign w:val="superscript"/>
        </w:rPr>
        <w:t>o</w:t>
      </w:r>
      <w:r w:rsidRPr="004B3825">
        <w:t> 15, selon le cas ;</w:t>
      </w:r>
    </w:p>
    <w:p w:rsidR="005C3F2F" w:rsidRPr="004B3825" w:rsidRDefault="005C3F2F" w:rsidP="005C3F2F">
      <w:pPr>
        <w:pStyle w:val="SingleTxtG"/>
        <w:tabs>
          <w:tab w:val="left" w:pos="3261"/>
        </w:tabs>
        <w:ind w:left="3175" w:hanging="737"/>
      </w:pPr>
      <w:r w:rsidRPr="004B3825">
        <w:t>… ».</w:t>
      </w:r>
    </w:p>
    <w:p w:rsidR="005F0207" w:rsidRPr="005C3F2F" w:rsidRDefault="005C3F2F" w:rsidP="005C3F2F">
      <w:pPr>
        <w:pStyle w:val="SingleTxtG"/>
        <w:spacing w:before="240" w:after="0"/>
        <w:jc w:val="center"/>
        <w:rPr>
          <w:u w:val="single"/>
        </w:rPr>
      </w:pPr>
      <w:r>
        <w:rPr>
          <w:u w:val="single"/>
        </w:rPr>
        <w:tab/>
      </w:r>
      <w:r>
        <w:rPr>
          <w:u w:val="single"/>
        </w:rPr>
        <w:tab/>
      </w:r>
      <w:r>
        <w:rPr>
          <w:u w:val="single"/>
        </w:rPr>
        <w:tab/>
      </w:r>
    </w:p>
    <w:sectPr w:rsidR="005F0207" w:rsidRPr="005C3F2F" w:rsidSect="0046013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984" w:rsidRDefault="00370984"/>
  </w:endnote>
  <w:endnote w:type="continuationSeparator" w:id="0">
    <w:p w:rsidR="00370984" w:rsidRDefault="00370984">
      <w:pPr>
        <w:pStyle w:val="Pieddepage"/>
      </w:pPr>
    </w:p>
  </w:endnote>
  <w:endnote w:type="continuationNotice" w:id="1">
    <w:p w:rsidR="00370984" w:rsidRPr="00C451B9" w:rsidRDefault="0037098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137" w:rsidRPr="00460137" w:rsidRDefault="00460137" w:rsidP="00460137">
    <w:pPr>
      <w:pStyle w:val="Pieddepage"/>
      <w:tabs>
        <w:tab w:val="right" w:pos="9638"/>
      </w:tabs>
    </w:pPr>
    <w:r w:rsidRPr="00460137">
      <w:rPr>
        <w:b/>
        <w:sz w:val="18"/>
      </w:rPr>
      <w:fldChar w:fldCharType="begin"/>
    </w:r>
    <w:r w:rsidRPr="00460137">
      <w:rPr>
        <w:b/>
        <w:sz w:val="18"/>
      </w:rPr>
      <w:instrText xml:space="preserve"> PAGE  \* MERGEFORMAT </w:instrText>
    </w:r>
    <w:r w:rsidRPr="00460137">
      <w:rPr>
        <w:b/>
        <w:sz w:val="18"/>
      </w:rPr>
      <w:fldChar w:fldCharType="separate"/>
    </w:r>
    <w:r w:rsidRPr="00460137">
      <w:rPr>
        <w:b/>
        <w:noProof/>
        <w:sz w:val="18"/>
      </w:rPr>
      <w:t>2</w:t>
    </w:r>
    <w:r w:rsidRPr="00460137">
      <w:rPr>
        <w:b/>
        <w:sz w:val="18"/>
      </w:rPr>
      <w:fldChar w:fldCharType="end"/>
    </w:r>
    <w:r>
      <w:rPr>
        <w:b/>
        <w:sz w:val="18"/>
      </w:rPr>
      <w:tab/>
    </w:r>
    <w:r>
      <w:t>GE.20-00747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137" w:rsidRPr="00460137" w:rsidRDefault="00460137" w:rsidP="00460137">
    <w:pPr>
      <w:pStyle w:val="Pieddepage"/>
      <w:tabs>
        <w:tab w:val="right" w:pos="9638"/>
      </w:tabs>
      <w:rPr>
        <w:b/>
        <w:sz w:val="18"/>
      </w:rPr>
    </w:pPr>
    <w:r>
      <w:t>GE.20-00747</w:t>
    </w:r>
    <w:r>
      <w:tab/>
    </w:r>
    <w:r w:rsidRPr="00460137">
      <w:rPr>
        <w:b/>
        <w:sz w:val="18"/>
      </w:rPr>
      <w:fldChar w:fldCharType="begin"/>
    </w:r>
    <w:r w:rsidRPr="00460137">
      <w:rPr>
        <w:b/>
        <w:sz w:val="18"/>
      </w:rPr>
      <w:instrText xml:space="preserve"> PAGE  \* MERGEFORMAT </w:instrText>
    </w:r>
    <w:r w:rsidRPr="00460137">
      <w:rPr>
        <w:b/>
        <w:sz w:val="18"/>
      </w:rPr>
      <w:fldChar w:fldCharType="separate"/>
    </w:r>
    <w:r w:rsidRPr="00460137">
      <w:rPr>
        <w:b/>
        <w:noProof/>
        <w:sz w:val="18"/>
      </w:rPr>
      <w:t>3</w:t>
    </w:r>
    <w:r w:rsidRPr="004601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460137" w:rsidRDefault="00460137" w:rsidP="00460137">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20-00747  (F)    170220    170220</w:t>
    </w:r>
    <w:r>
      <w:rPr>
        <w:sz w:val="20"/>
      </w:rPr>
      <w:br/>
    </w:r>
    <w:r w:rsidRPr="00460137">
      <w:rPr>
        <w:rFonts w:ascii="C39T30Lfz" w:hAnsi="C39T30Lfz"/>
        <w:sz w:val="56"/>
      </w:rPr>
      <w:t></w:t>
    </w:r>
    <w:r w:rsidRPr="00460137">
      <w:rPr>
        <w:rFonts w:ascii="C39T30Lfz" w:hAnsi="C39T30Lfz"/>
        <w:sz w:val="56"/>
      </w:rPr>
      <w:t></w:t>
    </w:r>
    <w:r w:rsidRPr="00460137">
      <w:rPr>
        <w:rFonts w:ascii="C39T30Lfz" w:hAnsi="C39T30Lfz"/>
        <w:sz w:val="56"/>
      </w:rPr>
      <w:t></w:t>
    </w:r>
    <w:r w:rsidRPr="00460137">
      <w:rPr>
        <w:rFonts w:ascii="C39T30Lfz" w:hAnsi="C39T30Lfz"/>
        <w:sz w:val="56"/>
      </w:rPr>
      <w:t></w:t>
    </w:r>
    <w:r w:rsidRPr="00460137">
      <w:rPr>
        <w:rFonts w:ascii="C39T30Lfz" w:hAnsi="C39T30Lfz"/>
        <w:sz w:val="56"/>
      </w:rPr>
      <w:t></w:t>
    </w:r>
    <w:r w:rsidRPr="00460137">
      <w:rPr>
        <w:rFonts w:ascii="C39T30Lfz" w:hAnsi="C39T30Lfz"/>
        <w:sz w:val="56"/>
      </w:rPr>
      <w:t></w:t>
    </w:r>
    <w:r w:rsidRPr="00460137">
      <w:rPr>
        <w:rFonts w:ascii="C39T30Lfz" w:hAnsi="C39T30Lfz"/>
        <w:sz w:val="56"/>
      </w:rPr>
      <w:t></w:t>
    </w:r>
    <w:r w:rsidRPr="00460137">
      <w:rPr>
        <w:rFonts w:ascii="C39T30Lfz" w:hAnsi="C39T30Lfz"/>
        <w:sz w:val="56"/>
      </w:rPr>
      <w:t></w:t>
    </w:r>
    <w:r w:rsidRPr="0046013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14/Rev.1/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14/Rev.1/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984" w:rsidRPr="00D27D5E" w:rsidRDefault="00370984" w:rsidP="00D27D5E">
      <w:pPr>
        <w:tabs>
          <w:tab w:val="right" w:pos="2155"/>
        </w:tabs>
        <w:spacing w:after="80"/>
        <w:ind w:left="680"/>
        <w:rPr>
          <w:u w:val="single"/>
        </w:rPr>
      </w:pPr>
      <w:r>
        <w:rPr>
          <w:u w:val="single"/>
        </w:rPr>
        <w:tab/>
      </w:r>
    </w:p>
  </w:footnote>
  <w:footnote w:type="continuationSeparator" w:id="0">
    <w:p w:rsidR="00370984" w:rsidRPr="00D171D4" w:rsidRDefault="00370984" w:rsidP="00D171D4">
      <w:pPr>
        <w:tabs>
          <w:tab w:val="right" w:pos="2155"/>
        </w:tabs>
        <w:spacing w:after="80"/>
        <w:ind w:left="680"/>
        <w:rPr>
          <w:u w:val="single"/>
        </w:rPr>
      </w:pPr>
      <w:r w:rsidRPr="00D171D4">
        <w:rPr>
          <w:u w:val="single"/>
        </w:rPr>
        <w:tab/>
      </w:r>
    </w:p>
  </w:footnote>
  <w:footnote w:type="continuationNotice" w:id="1">
    <w:p w:rsidR="00370984" w:rsidRPr="00C451B9" w:rsidRDefault="00370984"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rsidR="00591072" w:rsidRPr="00591072" w:rsidRDefault="00591072" w:rsidP="00591072">
      <w:pPr>
        <w:pStyle w:val="Notedebasdepage"/>
      </w:pPr>
      <w:r w:rsidRPr="00460137">
        <w:tab/>
      </w:r>
      <w:r w:rsidRPr="00460137">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137" w:rsidRPr="00460137" w:rsidRDefault="00460137">
    <w:pPr>
      <w:pStyle w:val="En-tte"/>
      <w:rPr>
        <w:lang w:val="en-US"/>
      </w:rPr>
    </w:pPr>
    <w:r>
      <w:fldChar w:fldCharType="begin"/>
    </w:r>
    <w:r w:rsidRPr="00460137">
      <w:rPr>
        <w:lang w:val="en-US"/>
      </w:rPr>
      <w:instrText xml:space="preserve"> TITLE  \* MERGEFORMAT </w:instrText>
    </w:r>
    <w:r>
      <w:fldChar w:fldCharType="separate"/>
    </w:r>
    <w:r w:rsidRPr="00460137">
      <w:rPr>
        <w:lang w:val="en-US"/>
      </w:rPr>
      <w:t>E/</w:t>
    </w:r>
    <w:proofErr w:type="spellStart"/>
    <w:r w:rsidRPr="00460137">
      <w:rPr>
        <w:lang w:val="en-US"/>
      </w:rPr>
      <w:t>ECE</w:t>
    </w:r>
    <w:proofErr w:type="spellEnd"/>
    <w:r w:rsidRPr="00460137">
      <w:rPr>
        <w:lang w:val="en-US"/>
      </w:rPr>
      <w:t>/324/Rev.2/Add.114/Rev.1/Amend.3</w:t>
    </w:r>
    <w:r>
      <w:fldChar w:fldCharType="end"/>
    </w:r>
    <w:r w:rsidRPr="00460137">
      <w:rPr>
        <w:lang w:val="en-US"/>
      </w:rPr>
      <w:br/>
    </w:r>
    <w:r>
      <w:fldChar w:fldCharType="begin"/>
    </w:r>
    <w:r w:rsidRPr="00460137">
      <w:rPr>
        <w:lang w:val="en-US"/>
      </w:rPr>
      <w:instrText xml:space="preserve"> KEYWORDS  \* MERGEFORMAT </w:instrText>
    </w:r>
    <w:r>
      <w:fldChar w:fldCharType="separate"/>
    </w:r>
    <w:r w:rsidRPr="00460137">
      <w:rPr>
        <w:lang w:val="en-US"/>
      </w:rPr>
      <w:t>E/</w:t>
    </w:r>
    <w:proofErr w:type="spellStart"/>
    <w:r w:rsidRPr="00460137">
      <w:rPr>
        <w:lang w:val="en-US"/>
      </w:rPr>
      <w:t>ECE</w:t>
    </w:r>
    <w:proofErr w:type="spellEnd"/>
    <w:r w:rsidRPr="00460137">
      <w:rPr>
        <w:lang w:val="en-US"/>
      </w:rPr>
      <w:t>/TRANS/505/Rev.2/Add.114/Rev.1/Amend.3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137" w:rsidRPr="00460137" w:rsidRDefault="00460137" w:rsidP="00460137">
    <w:pPr>
      <w:pStyle w:val="En-tte"/>
      <w:jc w:val="right"/>
      <w:rPr>
        <w:lang w:val="en-US"/>
      </w:rPr>
    </w:pPr>
    <w:r>
      <w:fldChar w:fldCharType="begin"/>
    </w:r>
    <w:r w:rsidRPr="00460137">
      <w:rPr>
        <w:lang w:val="en-US"/>
      </w:rPr>
      <w:instrText xml:space="preserve"> TITLE  \* MERGEFORMAT </w:instrText>
    </w:r>
    <w:r>
      <w:fldChar w:fldCharType="separate"/>
    </w:r>
    <w:r w:rsidRPr="00460137">
      <w:rPr>
        <w:lang w:val="en-US"/>
      </w:rPr>
      <w:t>E/</w:t>
    </w:r>
    <w:proofErr w:type="spellStart"/>
    <w:r w:rsidRPr="00460137">
      <w:rPr>
        <w:lang w:val="en-US"/>
      </w:rPr>
      <w:t>ECE</w:t>
    </w:r>
    <w:proofErr w:type="spellEnd"/>
    <w:r w:rsidRPr="00460137">
      <w:rPr>
        <w:lang w:val="en-US"/>
      </w:rPr>
      <w:t>/324/Rev.2/Add.114/Rev.1/Amend.3</w:t>
    </w:r>
    <w:r>
      <w:fldChar w:fldCharType="end"/>
    </w:r>
    <w:r w:rsidRPr="00460137">
      <w:rPr>
        <w:lang w:val="en-US"/>
      </w:rPr>
      <w:br/>
    </w:r>
    <w:r>
      <w:fldChar w:fldCharType="begin"/>
    </w:r>
    <w:r w:rsidRPr="00460137">
      <w:rPr>
        <w:lang w:val="en-US"/>
      </w:rPr>
      <w:instrText xml:space="preserve"> KEYWORDS  \* MERGEFORMAT </w:instrText>
    </w:r>
    <w:r>
      <w:fldChar w:fldCharType="separate"/>
    </w:r>
    <w:r w:rsidRPr="00460137">
      <w:rPr>
        <w:lang w:val="en-US"/>
      </w:rPr>
      <w:t>E/</w:t>
    </w:r>
    <w:proofErr w:type="spellStart"/>
    <w:r w:rsidRPr="00460137">
      <w:rPr>
        <w:lang w:val="en-US"/>
      </w:rPr>
      <w:t>ECE</w:t>
    </w:r>
    <w:proofErr w:type="spellEnd"/>
    <w:r w:rsidRPr="00460137">
      <w:rPr>
        <w:lang w:val="en-US"/>
      </w:rPr>
      <w:t>/TRANS/505/Rev.2/Add.114/Rev.1/Amend.3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0984"/>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263BB"/>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68FC"/>
    <w:rsid w:val="0036776C"/>
    <w:rsid w:val="00370223"/>
    <w:rsid w:val="00370984"/>
    <w:rsid w:val="00372A7A"/>
    <w:rsid w:val="00372D1D"/>
    <w:rsid w:val="00374106"/>
    <w:rsid w:val="0037679A"/>
    <w:rsid w:val="0038047C"/>
    <w:rsid w:val="00390EEF"/>
    <w:rsid w:val="00394410"/>
    <w:rsid w:val="0039599D"/>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137"/>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037A"/>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3F2F"/>
    <w:rsid w:val="005C549A"/>
    <w:rsid w:val="005D0035"/>
    <w:rsid w:val="005D0BDD"/>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4EE6"/>
    <w:rsid w:val="0085586A"/>
    <w:rsid w:val="00856DB2"/>
    <w:rsid w:val="00895DE5"/>
    <w:rsid w:val="008A0FA8"/>
    <w:rsid w:val="008A1EC0"/>
    <w:rsid w:val="008A4A2E"/>
    <w:rsid w:val="008B44C4"/>
    <w:rsid w:val="008C322B"/>
    <w:rsid w:val="008C4B74"/>
    <w:rsid w:val="008C62F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9F669A"/>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E0E96"/>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54C5815"/>
  <w15:docId w15:val="{39A740B0-9E6B-41CD-8E48-E93348C1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1GChar">
    <w:name w:val="_ H_1_G Char"/>
    <w:link w:val="H1G"/>
    <w:rsid w:val="002263BB"/>
    <w:rPr>
      <w:rFonts w:eastAsiaTheme="minorHAnsi"/>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7</Pages>
  <Words>2131</Words>
  <Characters>13857</Characters>
  <Application>Microsoft Office Word</Application>
  <DocSecurity>0</DocSecurity>
  <Lines>1385</Lines>
  <Paragraphs>940</Paragraphs>
  <ScaleCrop>false</ScaleCrop>
  <HeadingPairs>
    <vt:vector size="2" baseType="variant">
      <vt:variant>
        <vt:lpstr>Titre</vt:lpstr>
      </vt:variant>
      <vt:variant>
        <vt:i4>1</vt:i4>
      </vt:variant>
    </vt:vector>
  </HeadingPairs>
  <TitlesOfParts>
    <vt:vector size="1" baseType="lpstr">
      <vt:lpstr>E/ECE/324/Rev.2/Add.114/Rev.1/Amend.3</vt:lpstr>
    </vt:vector>
  </TitlesOfParts>
  <Company>CSD</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E/ECE/324/Rev.2/Add.114/Rev.1/Amend.3</dc:title>
  <dc:creator>Brianne MAGNAT</dc:creator>
  <cp:keywords>E/ECE/TRANS/505/Rev.2/Add.114/Rev.1/Amend.3</cp:keywords>
  <cp:lastModifiedBy>Brianne Magnat</cp:lastModifiedBy>
  <cp:revision>2</cp:revision>
  <cp:lastPrinted>2008-11-04T15:54:00Z</cp:lastPrinted>
  <dcterms:created xsi:type="dcterms:W3CDTF">2020-02-17T14:27:00Z</dcterms:created>
  <dcterms:modified xsi:type="dcterms:W3CDTF">2020-02-17T14:27:00Z</dcterms:modified>
</cp:coreProperties>
</file>