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D3E1D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E1D" w:rsidRPr="001D3E1D" w:rsidRDefault="001D3E1D" w:rsidP="001D3E1D">
            <w:pPr>
              <w:jc w:val="right"/>
              <w:rPr>
                <w:lang w:val="en-US"/>
              </w:rPr>
            </w:pPr>
            <w:r w:rsidRPr="001D3E1D">
              <w:rPr>
                <w:sz w:val="40"/>
                <w:lang w:val="en-US"/>
              </w:rPr>
              <w:t>E</w:t>
            </w:r>
            <w:r w:rsidRPr="001D3E1D">
              <w:rPr>
                <w:lang w:val="en-US"/>
              </w:rPr>
              <w:t>/ECE/324/Rev.2/Add.114/Rev.1/Amend.3/Corr.1−</w:t>
            </w:r>
            <w:r w:rsidRPr="001D3E1D">
              <w:rPr>
                <w:sz w:val="40"/>
                <w:lang w:val="en-US"/>
              </w:rPr>
              <w:t>E</w:t>
            </w:r>
            <w:r w:rsidRPr="001D3E1D">
              <w:rPr>
                <w:lang w:val="en-US"/>
              </w:rPr>
              <w:t>/ECE/TRANS/505/Rev.2/Add.114/Rev.1/Amend.3/Corr.1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D3E1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D3E1D" w:rsidP="00A27C92">
            <w:pPr>
              <w:spacing w:before="480" w:line="240" w:lineRule="exact"/>
            </w:pPr>
            <w:r>
              <w:t>24 avril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1D3E1D">
      <w:pPr>
        <w:pStyle w:val="H1G"/>
        <w:spacing w:before="240" w:after="120"/>
      </w:pPr>
      <w:r>
        <w:tab/>
      </w:r>
      <w:r>
        <w:tab/>
      </w:r>
      <w:r w:rsidR="001D3E1D" w:rsidRPr="001D3E1D">
        <w:rPr>
          <w:lang w:val="fr-FR"/>
        </w:rPr>
        <w:t>Concernant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1D3E1D" w:rsidRPr="001D3E1D">
        <w:rPr>
          <w:b w:val="0"/>
          <w:bCs/>
          <w:sz w:val="20"/>
          <w:lang w:val="fr-FR"/>
        </w:rPr>
        <w:footnoteReference w:customMarkFollows="1" w:id="2"/>
        <w:t>*</w:t>
      </w:r>
    </w:p>
    <w:p w:rsidR="00421A10" w:rsidRPr="00A12483" w:rsidRDefault="001D3E1D" w:rsidP="00D1694E">
      <w:pPr>
        <w:pStyle w:val="SingleTxtG"/>
        <w:spacing w:after="80"/>
        <w:jc w:val="left"/>
        <w:rPr>
          <w:b/>
          <w:sz w:val="24"/>
          <w:szCs w:val="24"/>
        </w:rPr>
      </w:pPr>
      <w:r w:rsidRPr="001D3E1D">
        <w:rPr>
          <w:lang w:val="fr-FR"/>
        </w:rPr>
        <w:t>(Révision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1D3E1D">
      <w:pPr>
        <w:pStyle w:val="HChG"/>
        <w:spacing w:before="240" w:after="120"/>
      </w:pPr>
      <w:r>
        <w:tab/>
      </w:r>
      <w:r>
        <w:tab/>
      </w:r>
      <w:r w:rsidR="001D3E1D" w:rsidRPr="001D3E1D">
        <w:rPr>
          <w:lang w:val="fr-FR"/>
        </w:rPr>
        <w:t>Additif 114</w:t>
      </w:r>
      <w:r w:rsidR="001D3E1D">
        <w:rPr>
          <w:lang w:val="fr-FR"/>
        </w:rPr>
        <w:t> </w:t>
      </w:r>
      <w:r w:rsidR="001D3E1D" w:rsidRPr="001D3E1D">
        <w:rPr>
          <w:lang w:val="fr-FR"/>
        </w:rPr>
        <w:t>: Règlement ONU n</w:t>
      </w:r>
      <w:r w:rsidR="001D3E1D" w:rsidRPr="001D3E1D">
        <w:rPr>
          <w:vertAlign w:val="superscript"/>
          <w:lang w:val="fr-FR"/>
        </w:rPr>
        <w:t>o</w:t>
      </w:r>
      <w:r w:rsidR="001D3E1D" w:rsidRPr="001D3E1D">
        <w:rPr>
          <w:lang w:val="fr-FR"/>
        </w:rPr>
        <w:t> 115</w:t>
      </w:r>
    </w:p>
    <w:p w:rsidR="00421A10" w:rsidRPr="006549FF" w:rsidRDefault="0029791D" w:rsidP="001D3E1D">
      <w:pPr>
        <w:pStyle w:val="H1G"/>
        <w:spacing w:before="240" w:after="120"/>
      </w:pPr>
      <w:r>
        <w:tab/>
      </w:r>
      <w:r>
        <w:tab/>
      </w:r>
      <w:r w:rsidR="001D3E1D" w:rsidRPr="001D3E1D">
        <w:rPr>
          <w:lang w:val="fr-FR"/>
        </w:rPr>
        <w:t xml:space="preserve">Révision 1 </w:t>
      </w:r>
      <w:r w:rsidR="001D3E1D">
        <w:rPr>
          <w:lang w:val="fr-FR"/>
        </w:rPr>
        <w:t>−</w:t>
      </w:r>
      <w:r w:rsidR="001D3E1D" w:rsidRPr="001D3E1D">
        <w:rPr>
          <w:lang w:val="fr-FR"/>
        </w:rPr>
        <w:t xml:space="preserve"> Amendement 3 </w:t>
      </w:r>
      <w:r w:rsidR="001D3E1D">
        <w:rPr>
          <w:lang w:val="fr-FR"/>
        </w:rPr>
        <w:t>−</w:t>
      </w:r>
      <w:r w:rsidR="001D3E1D" w:rsidRPr="001D3E1D">
        <w:rPr>
          <w:lang w:val="fr-FR"/>
        </w:rPr>
        <w:t xml:space="preserve"> Rectificatif 1</w:t>
      </w:r>
    </w:p>
    <w:p w:rsidR="00421A10" w:rsidRPr="004A7E44" w:rsidRDefault="001D3E1D" w:rsidP="0029791D">
      <w:pPr>
        <w:pStyle w:val="SingleTxtG"/>
        <w:spacing w:after="0"/>
      </w:pPr>
      <w:r w:rsidRPr="001D3E1D">
        <w:rPr>
          <w:lang w:val="fr-FR"/>
        </w:rPr>
        <w:t xml:space="preserve">Rectificatif 1 au complément 8 à la version originale du Règlement </w:t>
      </w:r>
      <w:r>
        <w:rPr>
          <w:lang w:val="fr-FR"/>
        </w:rPr>
        <w:t>−</w:t>
      </w:r>
      <w:r w:rsidRPr="001D3E1D">
        <w:rPr>
          <w:lang w:val="fr-FR"/>
        </w:rPr>
        <w:t xml:space="preserve"> Date d’entrée en vigueur</w:t>
      </w:r>
      <w:r>
        <w:rPr>
          <w:lang w:val="fr-FR"/>
        </w:rPr>
        <w:t> </w:t>
      </w:r>
      <w:r w:rsidRPr="001D3E1D">
        <w:rPr>
          <w:lang w:val="fr-FR"/>
        </w:rPr>
        <w:t>: 11 mars 2020</w:t>
      </w:r>
    </w:p>
    <w:p w:rsidR="00421A10" w:rsidRDefault="0029791D" w:rsidP="00D1694E">
      <w:pPr>
        <w:pStyle w:val="H1G"/>
        <w:spacing w:before="240" w:after="120" w:line="250" w:lineRule="exact"/>
        <w:rPr>
          <w:lang w:val="fr-FR"/>
        </w:rPr>
      </w:pPr>
      <w:r>
        <w:tab/>
      </w:r>
      <w:r>
        <w:tab/>
      </w:r>
      <w:r w:rsidR="001D3E1D" w:rsidRPr="001D3E1D">
        <w:rPr>
          <w:lang w:val="fr-FR"/>
        </w:rPr>
        <w:t>Prescriptions uniformes relatives à l’homologation</w:t>
      </w:r>
      <w:r w:rsidR="001D3E1D">
        <w:rPr>
          <w:lang w:val="fr-FR"/>
        </w:rPr>
        <w:t> </w:t>
      </w:r>
      <w:r w:rsidR="001D3E1D" w:rsidRPr="001D3E1D">
        <w:rPr>
          <w:lang w:val="fr-FR"/>
        </w:rPr>
        <w:t>:</w:t>
      </w:r>
    </w:p>
    <w:p w:rsidR="001D3E1D" w:rsidRDefault="001D3E1D" w:rsidP="00D1694E">
      <w:pPr>
        <w:pStyle w:val="H1G"/>
        <w:spacing w:before="120" w:after="120" w:line="250" w:lineRule="exact"/>
        <w:rPr>
          <w:lang w:val="fr-FR"/>
        </w:rPr>
      </w:pPr>
      <w:r w:rsidRPr="001D3E1D">
        <w:rPr>
          <w:lang w:val="fr-FR"/>
        </w:rPr>
        <w:tab/>
        <w:t>I.</w:t>
      </w:r>
      <w:r w:rsidRPr="001D3E1D">
        <w:rPr>
          <w:lang w:val="fr-FR"/>
        </w:rPr>
        <w:tab/>
        <w:t>Des systèmes spéciaux d’adaptation au GPL (gaz de pétrole liquéfié) pour véhicules automobiles leur permettant d’utiliser ce carburant dans leur système de propulsion</w:t>
      </w:r>
    </w:p>
    <w:p w:rsidR="001D3E1D" w:rsidRPr="001D3E1D" w:rsidRDefault="001D3E1D" w:rsidP="00D1694E">
      <w:pPr>
        <w:pStyle w:val="H1G"/>
        <w:spacing w:before="120" w:after="120" w:line="250" w:lineRule="exact"/>
        <w:rPr>
          <w:lang w:val="fr-FR"/>
        </w:rPr>
      </w:pPr>
      <w:r w:rsidRPr="001D3E1D">
        <w:rPr>
          <w:lang w:val="fr-FR"/>
        </w:rPr>
        <w:tab/>
        <w:t>II.</w:t>
      </w:r>
      <w:r w:rsidRPr="001D3E1D">
        <w:rPr>
          <w:lang w:val="fr-FR"/>
        </w:rPr>
        <w:tab/>
        <w:t>Des systèmes spéciaux d’adaptation au GNC (gaz naturel comprimé) pour véhicules automobiles leur permettant d’utiliser ce carburant dans leur système de propulsion</w:t>
      </w:r>
    </w:p>
    <w:p w:rsidR="00D1694E" w:rsidRDefault="00D1694E" w:rsidP="00D1694E">
      <w:pPr>
        <w:pStyle w:val="SingleTxtG"/>
        <w:spacing w:line="220" w:lineRule="atLeast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-3175</wp:posOffset>
                </wp:positionH>
                <wp:positionV relativeFrom="margin">
                  <wp:posOffset>6458268</wp:posOffset>
                </wp:positionV>
                <wp:extent cx="6119495" cy="1119225"/>
                <wp:effectExtent l="0" t="0" r="0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25pt;margin-top:508.55pt;width:481.85pt;height:88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3E1D">
        <w:rPr>
          <w:lang w:val="fr-FR"/>
        </w:rPr>
        <w:tab/>
      </w:r>
      <w:r w:rsidR="001D3E1D" w:rsidRPr="001D3E1D">
        <w:rPr>
          <w:lang w:val="fr-FR"/>
        </w:rPr>
        <w:t>Le présent document est communiqué uniquement à titre d’information. Le texte authentique, juridiquement contraignant, est celui du document ECE/TRANS/WP.29/</w:t>
      </w:r>
      <w:r>
        <w:rPr>
          <w:lang w:val="fr-FR"/>
        </w:rPr>
        <w:br/>
      </w:r>
      <w:r w:rsidR="001D3E1D" w:rsidRPr="001D3E1D">
        <w:rPr>
          <w:lang w:val="fr-FR"/>
        </w:rPr>
        <w:t>2020/49.</w:t>
      </w:r>
    </w:p>
    <w:p w:rsidR="001D3E1D" w:rsidRPr="0093474E" w:rsidRDefault="00D1694E" w:rsidP="00D1694E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br w:type="page"/>
      </w:r>
      <w:r w:rsidR="001D3E1D" w:rsidRPr="0093474E">
        <w:rPr>
          <w:lang w:val="fr-FR"/>
        </w:rPr>
        <w:lastRenderedPageBreak/>
        <w:t>« </w:t>
      </w:r>
      <w:r w:rsidR="001D3E1D" w:rsidRPr="0093474E">
        <w:rPr>
          <w:i/>
          <w:iCs/>
          <w:lang w:val="fr-FR"/>
        </w:rPr>
        <w:t>Annexe 2A</w:t>
      </w:r>
      <w:r w:rsidR="001D3E1D" w:rsidRPr="0093474E">
        <w:rPr>
          <w:lang w:val="fr-FR"/>
        </w:rPr>
        <w:t xml:space="preserve"> », </w:t>
      </w:r>
      <w:r w:rsidR="001D3E1D">
        <w:rPr>
          <w:lang w:val="fr-FR"/>
        </w:rPr>
        <w:t>lire</w:t>
      </w:r>
      <w:r w:rsidR="001D3E1D" w:rsidRPr="0093474E">
        <w:rPr>
          <w:lang w:val="fr-FR"/>
        </w:rPr>
        <w:t xml:space="preserve"> </w:t>
      </w:r>
      <w:r w:rsidR="001D3E1D">
        <w:rPr>
          <w:lang w:val="fr-FR"/>
        </w:rPr>
        <w:t>« </w:t>
      </w:r>
      <w:r w:rsidR="001D3E1D" w:rsidRPr="0093474E">
        <w:rPr>
          <w:i/>
          <w:iCs/>
          <w:lang w:val="fr-FR"/>
        </w:rPr>
        <w:t>Annex</w:t>
      </w:r>
      <w:r w:rsidR="001D3E1D">
        <w:rPr>
          <w:i/>
          <w:iCs/>
          <w:lang w:val="fr-FR"/>
        </w:rPr>
        <w:t>e</w:t>
      </w:r>
      <w:r w:rsidR="001D3E1D" w:rsidRPr="0093474E">
        <w:rPr>
          <w:i/>
          <w:iCs/>
          <w:lang w:val="fr-FR"/>
        </w:rPr>
        <w:t xml:space="preserve"> 6A</w:t>
      </w:r>
      <w:r w:rsidR="001D3E1D">
        <w:rPr>
          <w:lang w:val="fr-FR"/>
        </w:rPr>
        <w:t> »</w:t>
      </w:r>
      <w:r w:rsidR="001D3E1D" w:rsidRPr="0093474E">
        <w:rPr>
          <w:lang w:val="fr-FR"/>
        </w:rPr>
        <w:t>,</w:t>
      </w:r>
    </w:p>
    <w:p w:rsidR="001D3E1D" w:rsidRPr="0093474E" w:rsidRDefault="001D3E1D" w:rsidP="001D3E1D">
      <w:pPr>
        <w:pStyle w:val="SingleTxtG"/>
        <w:rPr>
          <w:lang w:val="fr-FR"/>
        </w:rPr>
      </w:pPr>
      <w:r w:rsidRPr="0093474E">
        <w:rPr>
          <w:lang w:val="fr-FR"/>
        </w:rPr>
        <w:t>« </w:t>
      </w:r>
      <w:r w:rsidRPr="0093474E">
        <w:rPr>
          <w:i/>
          <w:iCs/>
          <w:lang w:val="fr-FR"/>
        </w:rPr>
        <w:t>Annexe 2B</w:t>
      </w:r>
      <w:r w:rsidRPr="0093474E">
        <w:rPr>
          <w:lang w:val="fr-FR"/>
        </w:rPr>
        <w:t xml:space="preserve"> », </w:t>
      </w:r>
      <w:r>
        <w:rPr>
          <w:lang w:val="fr-FR"/>
        </w:rPr>
        <w:t>lire</w:t>
      </w:r>
      <w:r w:rsidRPr="0093474E">
        <w:rPr>
          <w:lang w:val="fr-FR"/>
        </w:rPr>
        <w:t xml:space="preserve"> </w:t>
      </w:r>
      <w:r>
        <w:rPr>
          <w:lang w:val="fr-FR"/>
        </w:rPr>
        <w:t>« </w:t>
      </w:r>
      <w:r w:rsidRPr="0093474E">
        <w:rPr>
          <w:i/>
          <w:iCs/>
          <w:lang w:val="fr-FR"/>
        </w:rPr>
        <w:t>Annex</w:t>
      </w:r>
      <w:r>
        <w:rPr>
          <w:i/>
          <w:iCs/>
          <w:lang w:val="fr-FR"/>
        </w:rPr>
        <w:t>e</w:t>
      </w:r>
      <w:r w:rsidRPr="0093474E">
        <w:rPr>
          <w:i/>
          <w:iCs/>
          <w:lang w:val="fr-FR"/>
        </w:rPr>
        <w:t xml:space="preserve"> 6B</w:t>
      </w:r>
      <w:r>
        <w:rPr>
          <w:lang w:val="fr-FR"/>
        </w:rPr>
        <w:t> »</w:t>
      </w:r>
      <w:r w:rsidRPr="0093474E">
        <w:rPr>
          <w:lang w:val="fr-FR"/>
        </w:rPr>
        <w:t>.</w:t>
      </w:r>
    </w:p>
    <w:p w:rsidR="005F0207" w:rsidRPr="001D3E1D" w:rsidRDefault="001D3E1D" w:rsidP="001D3E1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1D3E1D" w:rsidSect="001D3E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18" w:rsidRDefault="00690C18"/>
  </w:endnote>
  <w:endnote w:type="continuationSeparator" w:id="0">
    <w:p w:rsidR="00690C18" w:rsidRDefault="00690C18">
      <w:pPr>
        <w:pStyle w:val="Pieddepage"/>
      </w:pPr>
    </w:p>
  </w:endnote>
  <w:endnote w:type="continuationNotice" w:id="1">
    <w:p w:rsidR="00690C18" w:rsidRPr="00C451B9" w:rsidRDefault="00690C1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1D" w:rsidRPr="001D3E1D" w:rsidRDefault="001D3E1D" w:rsidP="001D3E1D">
    <w:pPr>
      <w:pStyle w:val="Pieddepage"/>
      <w:tabs>
        <w:tab w:val="right" w:pos="9638"/>
      </w:tabs>
    </w:pPr>
    <w:r w:rsidRPr="001D3E1D">
      <w:rPr>
        <w:b/>
        <w:sz w:val="18"/>
      </w:rPr>
      <w:fldChar w:fldCharType="begin"/>
    </w:r>
    <w:r w:rsidRPr="001D3E1D">
      <w:rPr>
        <w:b/>
        <w:sz w:val="18"/>
      </w:rPr>
      <w:instrText xml:space="preserve"> PAGE  \* MERGEFORMAT </w:instrText>
    </w:r>
    <w:r w:rsidRPr="001D3E1D">
      <w:rPr>
        <w:b/>
        <w:sz w:val="18"/>
      </w:rPr>
      <w:fldChar w:fldCharType="separate"/>
    </w:r>
    <w:r w:rsidRPr="001D3E1D">
      <w:rPr>
        <w:b/>
        <w:noProof/>
        <w:sz w:val="18"/>
      </w:rPr>
      <w:t>2</w:t>
    </w:r>
    <w:r w:rsidRPr="001D3E1D">
      <w:rPr>
        <w:b/>
        <w:sz w:val="18"/>
      </w:rPr>
      <w:fldChar w:fldCharType="end"/>
    </w:r>
    <w:r>
      <w:rPr>
        <w:b/>
        <w:sz w:val="18"/>
      </w:rPr>
      <w:tab/>
    </w:r>
    <w:r>
      <w:t>GE.20-05969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1D" w:rsidRPr="001D3E1D" w:rsidRDefault="001D3E1D" w:rsidP="001D3E1D">
    <w:pPr>
      <w:pStyle w:val="Pieddepage"/>
      <w:tabs>
        <w:tab w:val="right" w:pos="9638"/>
      </w:tabs>
      <w:rPr>
        <w:b/>
        <w:sz w:val="18"/>
      </w:rPr>
    </w:pPr>
    <w:r>
      <w:t>GE.20-05969</w:t>
    </w:r>
    <w:r>
      <w:tab/>
    </w:r>
    <w:r w:rsidRPr="001D3E1D">
      <w:rPr>
        <w:b/>
        <w:sz w:val="18"/>
      </w:rPr>
      <w:fldChar w:fldCharType="begin"/>
    </w:r>
    <w:r w:rsidRPr="001D3E1D">
      <w:rPr>
        <w:b/>
        <w:sz w:val="18"/>
      </w:rPr>
      <w:instrText xml:space="preserve"> PAGE  \* MERGEFORMAT </w:instrText>
    </w:r>
    <w:r w:rsidRPr="001D3E1D">
      <w:rPr>
        <w:b/>
        <w:sz w:val="18"/>
      </w:rPr>
      <w:fldChar w:fldCharType="separate"/>
    </w:r>
    <w:r w:rsidRPr="001D3E1D">
      <w:rPr>
        <w:b/>
        <w:noProof/>
        <w:sz w:val="18"/>
      </w:rPr>
      <w:t>3</w:t>
    </w:r>
    <w:r w:rsidRPr="001D3E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D3E1D" w:rsidRDefault="001D3E1D" w:rsidP="001D3E1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20-05969  (F)    170620    170620</w:t>
    </w:r>
    <w:r>
      <w:rPr>
        <w:sz w:val="20"/>
      </w:rPr>
      <w:br/>
    </w:r>
    <w:r w:rsidRPr="001D3E1D">
      <w:rPr>
        <w:rFonts w:ascii="C39T30Lfz" w:hAnsi="C39T30Lfz"/>
        <w:sz w:val="56"/>
      </w:rPr>
      <w:t></w:t>
    </w:r>
    <w:r w:rsidRPr="001D3E1D">
      <w:rPr>
        <w:rFonts w:ascii="C39T30Lfz" w:hAnsi="C39T30Lfz"/>
        <w:sz w:val="56"/>
      </w:rPr>
      <w:t></w:t>
    </w:r>
    <w:r w:rsidRPr="001D3E1D">
      <w:rPr>
        <w:rFonts w:ascii="C39T30Lfz" w:hAnsi="C39T30Lfz"/>
        <w:sz w:val="56"/>
      </w:rPr>
      <w:t></w:t>
    </w:r>
    <w:r w:rsidRPr="001D3E1D">
      <w:rPr>
        <w:rFonts w:ascii="C39T30Lfz" w:hAnsi="C39T30Lfz"/>
        <w:sz w:val="56"/>
      </w:rPr>
      <w:t></w:t>
    </w:r>
    <w:r w:rsidRPr="001D3E1D">
      <w:rPr>
        <w:rFonts w:ascii="C39T30Lfz" w:hAnsi="C39T30Lfz"/>
        <w:sz w:val="56"/>
      </w:rPr>
      <w:t></w:t>
    </w:r>
    <w:r w:rsidRPr="001D3E1D">
      <w:rPr>
        <w:rFonts w:ascii="C39T30Lfz" w:hAnsi="C39T30Lfz"/>
        <w:sz w:val="56"/>
      </w:rPr>
      <w:t></w:t>
    </w:r>
    <w:r w:rsidRPr="001D3E1D">
      <w:rPr>
        <w:rFonts w:ascii="C39T30Lfz" w:hAnsi="C39T30Lfz"/>
        <w:sz w:val="56"/>
      </w:rPr>
      <w:t></w:t>
    </w:r>
    <w:r w:rsidRPr="001D3E1D">
      <w:rPr>
        <w:rFonts w:ascii="C39T30Lfz" w:hAnsi="C39T30Lfz"/>
        <w:sz w:val="56"/>
      </w:rPr>
      <w:t></w:t>
    </w:r>
    <w:r w:rsidRPr="001D3E1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714375" cy="7143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18" w:rsidRPr="00D27D5E" w:rsidRDefault="00690C1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0C18" w:rsidRPr="00D171D4" w:rsidRDefault="00690C1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90C18" w:rsidRPr="00C451B9" w:rsidRDefault="00690C18" w:rsidP="00C451B9">
      <w:pPr>
        <w:spacing w:line="240" w:lineRule="auto"/>
        <w:rPr>
          <w:sz w:val="2"/>
          <w:szCs w:val="2"/>
        </w:rPr>
      </w:pPr>
    </w:p>
  </w:footnote>
  <w:footnote w:id="2">
    <w:p w:rsidR="001D3E1D" w:rsidRPr="00D13D8B" w:rsidRDefault="001D3E1D" w:rsidP="001D3E1D">
      <w:pPr>
        <w:pStyle w:val="Notedebasdepage"/>
        <w:rPr>
          <w:lang w:val="fr-FR"/>
        </w:rPr>
      </w:pPr>
      <w:r>
        <w:tab/>
      </w:r>
      <w:r w:rsidRPr="001D3E1D">
        <w:rPr>
          <w:rStyle w:val="Appelnotedebasdep"/>
          <w:sz w:val="20"/>
          <w:vertAlign w:val="baseline"/>
        </w:rPr>
        <w:t>*</w:t>
      </w:r>
      <w:r>
        <w:rPr>
          <w:sz w:val="20"/>
        </w:rPr>
        <w:tab/>
      </w:r>
      <w:r w:rsidRPr="00D13D8B">
        <w:rPr>
          <w:lang w:val="fr-FR"/>
        </w:rPr>
        <w:t>A</w:t>
      </w:r>
      <w:r>
        <w:rPr>
          <w:lang w:val="fr-FR"/>
        </w:rPr>
        <w:t>ncien</w:t>
      </w:r>
      <w:r w:rsidRPr="00D13D8B">
        <w:rPr>
          <w:lang w:val="fr-FR"/>
        </w:rPr>
        <w:t>s titres de l’Accord</w:t>
      </w:r>
      <w:r w:rsidR="00D1694E">
        <w:rPr>
          <w:lang w:val="fr-FR"/>
        </w:rPr>
        <w:t> </w:t>
      </w:r>
      <w:r w:rsidRPr="00D13D8B">
        <w:rPr>
          <w:lang w:val="fr-FR"/>
        </w:rPr>
        <w:t>:</w:t>
      </w:r>
    </w:p>
    <w:p w:rsidR="001D3E1D" w:rsidRPr="00D13D8B" w:rsidRDefault="001D3E1D" w:rsidP="001D3E1D">
      <w:pPr>
        <w:pStyle w:val="Notedebasdepage"/>
        <w:rPr>
          <w:lang w:val="fr-FR"/>
        </w:rPr>
      </w:pPr>
      <w:r w:rsidRPr="00D13D8B">
        <w:rPr>
          <w:lang w:val="fr-FR"/>
        </w:rPr>
        <w:tab/>
      </w:r>
      <w:r w:rsidRPr="00D13D8B">
        <w:rPr>
          <w:lang w:val="fr-FR"/>
        </w:rPr>
        <w:tab/>
        <w:t xml:space="preserve">Accord concernant l’adoption de conditions uniformes d’homologation et la reconnaissance réciproque de l’homologation des équipements et pièces de véhicules à moteur, </w:t>
      </w:r>
      <w:r>
        <w:rPr>
          <w:lang w:val="fr-FR"/>
        </w:rPr>
        <w:t>en date, à Genève, du 20</w:t>
      </w:r>
      <w:r>
        <w:rPr>
          <w:lang w:val="fr-FR"/>
        </w:rPr>
        <w:t> </w:t>
      </w:r>
      <w:r>
        <w:rPr>
          <w:lang w:val="fr-FR"/>
        </w:rPr>
        <w:t>mars 1958 (version originale) ;</w:t>
      </w:r>
    </w:p>
    <w:p w:rsidR="001D3E1D" w:rsidRPr="001D3E1D" w:rsidRDefault="001D3E1D" w:rsidP="001D3E1D">
      <w:pPr>
        <w:pStyle w:val="Notedebasdepage"/>
      </w:pPr>
      <w:r w:rsidRPr="00D13D8B">
        <w:rPr>
          <w:lang w:val="fr-FR"/>
        </w:rPr>
        <w:tab/>
      </w:r>
      <w:r w:rsidRPr="00D13D8B">
        <w:rPr>
          <w:lang w:val="fr-FR"/>
        </w:rPr>
        <w:tab/>
      </w:r>
      <w:r>
        <w:rPr>
          <w:lang w:val="fr-FR"/>
        </w:rPr>
        <w:t xml:space="preserve"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</w:t>
      </w:r>
      <w:bookmarkStart w:id="0" w:name="_GoBack"/>
      <w:bookmarkEnd w:id="0"/>
      <w:r>
        <w:rPr>
          <w:lang w:val="fr-FR"/>
        </w:rPr>
        <w:t>en date, à Genève, du 5 octobre 1995 (Révision 2</w:t>
      </w:r>
      <w:r w:rsidRPr="006A2C4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1D" w:rsidRPr="001D3E1D" w:rsidRDefault="001D3E1D">
    <w:pPr>
      <w:pStyle w:val="En-tte"/>
      <w:rPr>
        <w:lang w:val="en-US"/>
      </w:rPr>
    </w:pPr>
    <w:r>
      <w:fldChar w:fldCharType="begin"/>
    </w:r>
    <w:r w:rsidRPr="001D3E1D">
      <w:rPr>
        <w:lang w:val="en-US"/>
      </w:rPr>
      <w:instrText xml:space="preserve"> TITLE  \* MERGEFORMAT </w:instrText>
    </w:r>
    <w:r>
      <w:fldChar w:fldCharType="separate"/>
    </w:r>
    <w:r w:rsidRPr="001D3E1D">
      <w:rPr>
        <w:lang w:val="en-US"/>
      </w:rPr>
      <w:t>E/ECE/324/Rev.2/Add.114/Rev.1/Amend.3/Corr.1</w:t>
    </w:r>
    <w:r>
      <w:fldChar w:fldCharType="end"/>
    </w:r>
    <w:r w:rsidRPr="001D3E1D">
      <w:rPr>
        <w:lang w:val="en-US"/>
      </w:rPr>
      <w:br/>
    </w:r>
    <w:r>
      <w:fldChar w:fldCharType="begin"/>
    </w:r>
    <w:r w:rsidRPr="001D3E1D">
      <w:rPr>
        <w:lang w:val="en-US"/>
      </w:rPr>
      <w:instrText xml:space="preserve"> KEYWORDS  \* MERGEFORMAT </w:instrText>
    </w:r>
    <w:r>
      <w:fldChar w:fldCharType="separate"/>
    </w:r>
    <w:r w:rsidRPr="001D3E1D">
      <w:rPr>
        <w:lang w:val="en-US"/>
      </w:rPr>
      <w:t>E/ECE/TRANS/505/Rev.2/Add.114/Rev.1/Amend.3/Corr.1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1D" w:rsidRPr="001D3E1D" w:rsidRDefault="001D3E1D" w:rsidP="001D3E1D">
    <w:pPr>
      <w:pStyle w:val="En-tte"/>
      <w:jc w:val="right"/>
      <w:rPr>
        <w:lang w:val="en-US"/>
      </w:rPr>
    </w:pPr>
    <w:r>
      <w:fldChar w:fldCharType="begin"/>
    </w:r>
    <w:r w:rsidRPr="001D3E1D">
      <w:rPr>
        <w:lang w:val="en-US"/>
      </w:rPr>
      <w:instrText xml:space="preserve"> TITLE  \* MERGEFORMAT </w:instrText>
    </w:r>
    <w:r>
      <w:fldChar w:fldCharType="separate"/>
    </w:r>
    <w:r w:rsidRPr="001D3E1D">
      <w:rPr>
        <w:lang w:val="en-US"/>
      </w:rPr>
      <w:t>E/ECE/324/Rev.2/Add.114/Rev.1/Amend.3/Corr.1</w:t>
    </w:r>
    <w:r>
      <w:fldChar w:fldCharType="end"/>
    </w:r>
    <w:r w:rsidRPr="001D3E1D">
      <w:rPr>
        <w:lang w:val="en-US"/>
      </w:rPr>
      <w:br/>
    </w:r>
    <w:r>
      <w:fldChar w:fldCharType="begin"/>
    </w:r>
    <w:r w:rsidRPr="001D3E1D">
      <w:rPr>
        <w:lang w:val="en-US"/>
      </w:rPr>
      <w:instrText xml:space="preserve"> KEYWORDS  \* MERGEFORMAT </w:instrText>
    </w:r>
    <w:r>
      <w:fldChar w:fldCharType="separate"/>
    </w:r>
    <w:r w:rsidRPr="001D3E1D">
      <w:rPr>
        <w:lang w:val="en-US"/>
      </w:rPr>
      <w:t>E/ECE/TRANS/505/Rev.2/Add.114/Rev.1/Amend.3/Corr.1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0C1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3E1D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0C18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05646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694E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419F5F"/>
  <w15:docId w15:val="{F1B7E5CC-9114-4DB9-B7AC-DFB4C80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188</Words>
  <Characters>1163</Characters>
  <Application>Microsoft Office Word</Application>
  <DocSecurity>0</DocSecurity>
  <Lines>29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E/ECE/324/Rev.2/Add.114/Rev.1/Amend.3/Corr.1</vt:lpstr>
    </vt:vector>
  </TitlesOfParts>
  <Company>CSD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E/ECE/324/Rev.2/Add.114/Rev.1/Amend.3/Corr.1</dc:title>
  <dc:creator>Sandrine CLERE</dc:creator>
  <cp:keywords>E/ECE/TRANS/505/Rev.2/Add.114/Rev.1/Amend.3/Corr.1</cp:keywords>
  <cp:lastModifiedBy>Sandrine CLERE</cp:lastModifiedBy>
  <cp:revision>2</cp:revision>
  <cp:lastPrinted>2008-11-04T15:54:00Z</cp:lastPrinted>
  <dcterms:created xsi:type="dcterms:W3CDTF">2020-06-17T15:10:00Z</dcterms:created>
  <dcterms:modified xsi:type="dcterms:W3CDTF">2020-06-17T15:10:00Z</dcterms:modified>
</cp:coreProperties>
</file>