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956E6A" w:rsidTr="002A7B4A">
        <w:trPr>
          <w:trHeight w:hRule="exact" w:val="851"/>
        </w:trPr>
        <w:tc>
          <w:tcPr>
            <w:tcW w:w="142" w:type="dxa"/>
            <w:tcBorders>
              <w:bottom w:val="single" w:sz="4" w:space="0" w:color="auto"/>
            </w:tcBorders>
          </w:tcPr>
          <w:p w:rsidR="002D5AAC" w:rsidRPr="008C1A9B" w:rsidRDefault="002D5AAC" w:rsidP="00956E6A">
            <w:pPr>
              <w:kinsoku w:val="0"/>
              <w:overflowPunct w:val="0"/>
              <w:autoSpaceDE w:val="0"/>
              <w:autoSpaceDN w:val="0"/>
              <w:adjustRightInd w:val="0"/>
              <w:snapToGrid w:val="0"/>
              <w:rPr>
                <w:lang w:val="fr-CH"/>
              </w:rPr>
            </w:pPr>
            <w:bookmarkStart w:id="0" w:name="_GoBack"/>
            <w:bookmarkEnd w:id="0"/>
          </w:p>
        </w:tc>
        <w:tc>
          <w:tcPr>
            <w:tcW w:w="709" w:type="dxa"/>
            <w:tcBorders>
              <w:bottom w:val="single" w:sz="4" w:space="0" w:color="auto"/>
            </w:tcBorders>
            <w:vAlign w:val="bottom"/>
          </w:tcPr>
          <w:p w:rsidR="002D5AAC" w:rsidRPr="00BD33EE" w:rsidRDefault="002D5AAC" w:rsidP="002A7B4A"/>
        </w:tc>
        <w:tc>
          <w:tcPr>
            <w:tcW w:w="8788" w:type="dxa"/>
            <w:gridSpan w:val="3"/>
            <w:tcBorders>
              <w:bottom w:val="single" w:sz="4" w:space="0" w:color="auto"/>
            </w:tcBorders>
            <w:vAlign w:val="bottom"/>
          </w:tcPr>
          <w:p w:rsidR="00956E6A" w:rsidRPr="00956E6A" w:rsidRDefault="00956E6A" w:rsidP="00956E6A">
            <w:pPr>
              <w:jc w:val="right"/>
              <w:rPr>
                <w:lang w:val="en-US"/>
              </w:rPr>
            </w:pPr>
            <w:r w:rsidRPr="00956E6A">
              <w:rPr>
                <w:sz w:val="40"/>
                <w:lang w:val="en-US"/>
              </w:rPr>
              <w:t>E</w:t>
            </w:r>
            <w:r w:rsidRPr="00956E6A">
              <w:rPr>
                <w:lang w:val="en-US"/>
              </w:rPr>
              <w:t>/ECE/324/Rev.2/Add.109/Rev.5/Amend.2</w:t>
            </w:r>
            <w:r w:rsidRPr="00956E6A">
              <w:rPr>
                <w:rFonts w:cs="Times New Roman"/>
                <w:lang w:val="en-US"/>
              </w:rPr>
              <w:t>−</w:t>
            </w:r>
            <w:r w:rsidRPr="00956E6A">
              <w:rPr>
                <w:sz w:val="40"/>
                <w:lang w:val="en-US"/>
              </w:rPr>
              <w:t>E</w:t>
            </w:r>
            <w:r w:rsidRPr="00956E6A">
              <w:rPr>
                <w:lang w:val="en-US"/>
              </w:rPr>
              <w:t>/ECE/TRANS/505/Rev.2/Add.109/Rev.5/Amend.2</w:t>
            </w:r>
          </w:p>
        </w:tc>
      </w:tr>
      <w:tr w:rsidR="002D5AAC" w:rsidRPr="009D084C" w:rsidTr="002A7B4A">
        <w:trPr>
          <w:trHeight w:hRule="exact" w:val="2835"/>
        </w:trPr>
        <w:tc>
          <w:tcPr>
            <w:tcW w:w="1280" w:type="dxa"/>
            <w:gridSpan w:val="3"/>
            <w:tcBorders>
              <w:top w:val="single" w:sz="4" w:space="0" w:color="auto"/>
              <w:bottom w:val="single" w:sz="12" w:space="0" w:color="auto"/>
            </w:tcBorders>
          </w:tcPr>
          <w:p w:rsidR="002D5AAC" w:rsidRPr="00956E6A" w:rsidRDefault="002D5AAC" w:rsidP="002A7B4A">
            <w:pPr>
              <w:spacing w:before="120"/>
              <w:rPr>
                <w:szCs w:val="20"/>
                <w:lang w:val="en-US"/>
              </w:rPr>
            </w:pPr>
          </w:p>
        </w:tc>
        <w:tc>
          <w:tcPr>
            <w:tcW w:w="5540" w:type="dxa"/>
            <w:tcBorders>
              <w:top w:val="single" w:sz="4" w:space="0" w:color="auto"/>
              <w:bottom w:val="single" w:sz="12" w:space="0" w:color="auto"/>
            </w:tcBorders>
          </w:tcPr>
          <w:p w:rsidR="002D5AAC" w:rsidRPr="00956E6A"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rsidR="002D5AAC" w:rsidRDefault="002D5AAC" w:rsidP="00956E6A">
            <w:pPr>
              <w:spacing w:before="240"/>
              <w:rPr>
                <w:szCs w:val="20"/>
                <w:lang w:val="en-US"/>
              </w:rPr>
            </w:pPr>
          </w:p>
          <w:p w:rsidR="00956E6A" w:rsidRDefault="00956E6A" w:rsidP="00956E6A">
            <w:pPr>
              <w:spacing w:before="240" w:line="240" w:lineRule="exact"/>
              <w:rPr>
                <w:szCs w:val="20"/>
                <w:lang w:val="en-US"/>
              </w:rPr>
            </w:pPr>
          </w:p>
          <w:p w:rsidR="00956E6A" w:rsidRPr="009D084C" w:rsidRDefault="00956E6A" w:rsidP="00956E6A">
            <w:pPr>
              <w:spacing w:line="240" w:lineRule="exact"/>
              <w:rPr>
                <w:szCs w:val="20"/>
                <w:lang w:val="en-US"/>
              </w:rPr>
            </w:pPr>
            <w:r>
              <w:rPr>
                <w:szCs w:val="20"/>
                <w:lang w:val="en-US"/>
              </w:rPr>
              <w:t xml:space="preserve">21 November 2019 </w:t>
            </w:r>
          </w:p>
        </w:tc>
      </w:tr>
    </w:tbl>
    <w:p w:rsidR="00956E6A" w:rsidRPr="00B1153E" w:rsidRDefault="00956E6A" w:rsidP="00213D4F">
      <w:pPr>
        <w:pStyle w:val="HChG"/>
        <w:spacing w:before="200" w:after="120"/>
      </w:pPr>
      <w:r w:rsidRPr="00392A12">
        <w:tab/>
      </w:r>
      <w:r w:rsidRPr="00392A12">
        <w:tab/>
      </w:r>
      <w:r w:rsidRPr="00B1153E">
        <w:t>Соглашение</w:t>
      </w:r>
      <w:bookmarkStart w:id="1" w:name="_Toc340666199"/>
      <w:bookmarkStart w:id="2" w:name="_Toc340745062"/>
      <w:bookmarkEnd w:id="1"/>
      <w:bookmarkEnd w:id="2"/>
    </w:p>
    <w:p w:rsidR="00956E6A" w:rsidRPr="00B1153E" w:rsidRDefault="00956E6A" w:rsidP="00213D4F">
      <w:pPr>
        <w:pStyle w:val="H1G"/>
        <w:spacing w:before="200" w:after="120"/>
      </w:pPr>
      <w:r w:rsidRPr="00B1153E">
        <w:tab/>
      </w:r>
      <w:r w:rsidRPr="00B1153E">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CD4FA9">
        <w:rPr>
          <w:sz w:val="20"/>
        </w:rPr>
        <w:footnoteReference w:customMarkFollows="1" w:id="1"/>
        <w:t>*</w:t>
      </w:r>
    </w:p>
    <w:p w:rsidR="00956E6A" w:rsidRPr="0040619A" w:rsidRDefault="00956E6A" w:rsidP="00956E6A">
      <w:pPr>
        <w:pStyle w:val="SingleTxtG"/>
      </w:pPr>
      <w:r>
        <w:tab/>
      </w:r>
      <w:r w:rsidRPr="007A2E01">
        <w:t>(Пересмотр 3, включающий поправки, вступившие в силу 14 сентября 2017 года</w:t>
      </w:r>
      <w:r>
        <w:t>)</w:t>
      </w:r>
    </w:p>
    <w:p w:rsidR="00956E6A" w:rsidRPr="00956E6A" w:rsidRDefault="00956E6A" w:rsidP="00213D4F">
      <w:pPr>
        <w:pStyle w:val="H1G"/>
        <w:spacing w:before="120" w:after="80"/>
        <w:ind w:left="0" w:right="0" w:firstLine="0"/>
        <w:jc w:val="center"/>
      </w:pPr>
      <w:r w:rsidRPr="00956E6A">
        <w:t>_________</w:t>
      </w:r>
    </w:p>
    <w:p w:rsidR="00956E6A" w:rsidRPr="0040619A" w:rsidRDefault="00956E6A" w:rsidP="00213D4F">
      <w:pPr>
        <w:pStyle w:val="H1G"/>
        <w:spacing w:before="200" w:after="120"/>
      </w:pPr>
      <w:r w:rsidRPr="00956E6A">
        <w:tab/>
      </w:r>
      <w:r w:rsidRPr="00956E6A">
        <w:tab/>
      </w:r>
      <w:r>
        <w:t>Добавление</w:t>
      </w:r>
      <w:r w:rsidRPr="0040619A">
        <w:t xml:space="preserve"> 109 – </w:t>
      </w:r>
      <w:r w:rsidRPr="00956E6A">
        <w:t>Правила</w:t>
      </w:r>
      <w:r>
        <w:t xml:space="preserve"> № </w:t>
      </w:r>
      <w:r w:rsidRPr="0040619A">
        <w:t>110</w:t>
      </w:r>
      <w:r>
        <w:t xml:space="preserve"> ООН</w:t>
      </w:r>
    </w:p>
    <w:p w:rsidR="00956E6A" w:rsidRPr="0040619A" w:rsidRDefault="00956E6A" w:rsidP="00956E6A">
      <w:pPr>
        <w:pStyle w:val="H1G"/>
      </w:pPr>
      <w:r w:rsidRPr="0040619A">
        <w:tab/>
      </w:r>
      <w:r w:rsidRPr="0040619A">
        <w:tab/>
      </w:r>
      <w:r>
        <w:t>Пересмотр</w:t>
      </w:r>
      <w:r w:rsidRPr="0040619A">
        <w:t xml:space="preserve"> 5 – </w:t>
      </w:r>
      <w:r w:rsidRPr="00956E6A">
        <w:t>Поправка</w:t>
      </w:r>
      <w:r w:rsidRPr="0040619A">
        <w:t xml:space="preserve"> 2</w:t>
      </w:r>
    </w:p>
    <w:p w:rsidR="00956E6A" w:rsidRPr="0040619A" w:rsidRDefault="00956E6A" w:rsidP="00213D4F">
      <w:pPr>
        <w:pStyle w:val="SingleTxtG"/>
      </w:pPr>
      <w:r>
        <w:t>Дополнение</w:t>
      </w:r>
      <w:r w:rsidRPr="0040619A">
        <w:t xml:space="preserve"> 2 </w:t>
      </w:r>
      <w:r>
        <w:t>к</w:t>
      </w:r>
      <w:r w:rsidRPr="0040619A">
        <w:t xml:space="preserve"> </w:t>
      </w:r>
      <w:r w:rsidRPr="00213D4F">
        <w:t>поправкам</w:t>
      </w:r>
      <w:r w:rsidRPr="0040619A">
        <w:t xml:space="preserve"> </w:t>
      </w:r>
      <w:r>
        <w:t>серии</w:t>
      </w:r>
      <w:r w:rsidRPr="0040619A">
        <w:t xml:space="preserve"> 03 – </w:t>
      </w:r>
      <w:r>
        <w:t>Дата вступления в силу</w:t>
      </w:r>
      <w:r w:rsidRPr="007A2E01">
        <w:t xml:space="preserve">: 15 </w:t>
      </w:r>
      <w:r>
        <w:t>октября</w:t>
      </w:r>
      <w:r w:rsidRPr="007A2E01">
        <w:t xml:space="preserve"> 2019</w:t>
      </w:r>
      <w:r w:rsidR="00213D4F">
        <w:t> </w:t>
      </w:r>
      <w:r>
        <w:t>года</w:t>
      </w:r>
    </w:p>
    <w:p w:rsidR="00956E6A" w:rsidRPr="0040619A" w:rsidRDefault="00956E6A" w:rsidP="00213D4F">
      <w:pPr>
        <w:pStyle w:val="H1G"/>
        <w:spacing w:before="200" w:after="120"/>
      </w:pPr>
      <w:r w:rsidRPr="0040619A">
        <w:tab/>
      </w:r>
      <w:r w:rsidRPr="0040619A">
        <w:tab/>
      </w:r>
      <w:r>
        <w:rPr>
          <w:lang w:eastAsia="ar-SA"/>
        </w:rPr>
        <w:t>Т</w:t>
      </w:r>
      <w:r w:rsidRPr="00AD4CC4">
        <w:rPr>
          <w:lang w:eastAsia="ar-SA"/>
        </w:rPr>
        <w:t xml:space="preserve">ранспортные </w:t>
      </w:r>
      <w:r w:rsidRPr="00213D4F">
        <w:t>средства</w:t>
      </w:r>
      <w:r w:rsidRPr="00AD4CC4">
        <w:rPr>
          <w:lang w:eastAsia="ar-SA"/>
        </w:rPr>
        <w:t>, работающие на КПГ и</w:t>
      </w:r>
      <w:r w:rsidR="00C50F0A">
        <w:rPr>
          <w:lang w:eastAsia="ar-SA"/>
        </w:rPr>
        <w:t xml:space="preserve"> </w:t>
      </w:r>
      <w:r w:rsidRPr="00AD4CC4">
        <w:rPr>
          <w:lang w:eastAsia="ar-SA"/>
        </w:rPr>
        <w:t>СПГ</w:t>
      </w:r>
    </w:p>
    <w:p w:rsidR="00956E6A" w:rsidRPr="0040619A" w:rsidRDefault="00956E6A" w:rsidP="00956E6A">
      <w:pPr>
        <w:pStyle w:val="SingleTxtG"/>
        <w:rPr>
          <w:lang w:eastAsia="en-GB"/>
        </w:rPr>
      </w:pPr>
      <w:r w:rsidRPr="00C1749D">
        <w:t xml:space="preserve">Настоящий документ опубликован исключительно в информационных целях. Аутентичным и </w:t>
      </w:r>
      <w:r w:rsidRPr="00956E6A">
        <w:t>юридически</w:t>
      </w:r>
      <w:r w:rsidRPr="00C1749D">
        <w:t xml:space="preserve"> обязательным текстом является документ</w:t>
      </w:r>
      <w:r w:rsidRPr="0040619A">
        <w:rPr>
          <w:spacing w:val="-4"/>
          <w:lang w:eastAsia="en-GB"/>
        </w:rPr>
        <w:t>:</w:t>
      </w:r>
      <w:r w:rsidRPr="0040619A">
        <w:rPr>
          <w:lang w:eastAsia="en-GB"/>
        </w:rPr>
        <w:t xml:space="preserve"> </w:t>
      </w:r>
      <w:r w:rsidRPr="00212686">
        <w:rPr>
          <w:spacing w:val="-6"/>
          <w:lang w:val="en-GB" w:eastAsia="en-GB"/>
        </w:rPr>
        <w:t>ECE</w:t>
      </w:r>
      <w:r w:rsidRPr="0040619A">
        <w:rPr>
          <w:spacing w:val="-6"/>
          <w:lang w:eastAsia="en-GB"/>
        </w:rPr>
        <w:t>/</w:t>
      </w:r>
      <w:r w:rsidRPr="00212686">
        <w:rPr>
          <w:spacing w:val="-6"/>
          <w:lang w:val="en-GB" w:eastAsia="en-GB"/>
        </w:rPr>
        <w:t>TRANS</w:t>
      </w:r>
      <w:r w:rsidRPr="0040619A">
        <w:rPr>
          <w:spacing w:val="-6"/>
          <w:lang w:eastAsia="en-GB"/>
        </w:rPr>
        <w:t>/</w:t>
      </w:r>
      <w:r w:rsidRPr="00212686">
        <w:rPr>
          <w:spacing w:val="-6"/>
          <w:lang w:val="en-GB" w:eastAsia="en-GB"/>
        </w:rPr>
        <w:t>WP</w:t>
      </w:r>
      <w:r w:rsidRPr="0040619A">
        <w:rPr>
          <w:spacing w:val="-6"/>
          <w:lang w:eastAsia="en-GB"/>
        </w:rPr>
        <w:t xml:space="preserve">.29/2019/13 </w:t>
      </w:r>
      <w:r>
        <w:rPr>
          <w:spacing w:val="-6"/>
          <w:lang w:eastAsia="en-GB"/>
        </w:rPr>
        <w:t xml:space="preserve">с поправками, содержащимися в пункте </w:t>
      </w:r>
      <w:r w:rsidRPr="0040619A">
        <w:rPr>
          <w:spacing w:val="-6"/>
          <w:lang w:eastAsia="en-GB"/>
        </w:rPr>
        <w:t xml:space="preserve">104 </w:t>
      </w:r>
      <w:r>
        <w:rPr>
          <w:spacing w:val="-6"/>
          <w:lang w:eastAsia="en-GB"/>
        </w:rPr>
        <w:t>документа</w:t>
      </w:r>
      <w:r w:rsidRPr="0040619A">
        <w:rPr>
          <w:spacing w:val="-6"/>
          <w:lang w:eastAsia="en-GB"/>
        </w:rPr>
        <w:t xml:space="preserve"> </w:t>
      </w:r>
      <w:r>
        <w:rPr>
          <w:spacing w:val="-6"/>
          <w:lang w:val="en-GB" w:eastAsia="en-GB"/>
        </w:rPr>
        <w:t>ECE</w:t>
      </w:r>
      <w:r w:rsidRPr="0040619A">
        <w:rPr>
          <w:spacing w:val="-6"/>
          <w:lang w:eastAsia="en-GB"/>
        </w:rPr>
        <w:t>/</w:t>
      </w:r>
      <w:r>
        <w:rPr>
          <w:spacing w:val="-6"/>
          <w:lang w:val="en-GB" w:eastAsia="en-GB"/>
        </w:rPr>
        <w:t>TRANS</w:t>
      </w:r>
      <w:r w:rsidRPr="0040619A">
        <w:rPr>
          <w:spacing w:val="-6"/>
          <w:lang w:eastAsia="en-GB"/>
        </w:rPr>
        <w:t>/</w:t>
      </w:r>
      <w:r>
        <w:rPr>
          <w:spacing w:val="-6"/>
          <w:lang w:val="en-GB" w:eastAsia="en-GB"/>
        </w:rPr>
        <w:t>WP</w:t>
      </w:r>
      <w:r w:rsidRPr="0040619A">
        <w:rPr>
          <w:spacing w:val="-6"/>
          <w:lang w:eastAsia="en-GB"/>
        </w:rPr>
        <w:t>.29/1145.</w:t>
      </w:r>
    </w:p>
    <w:p w:rsidR="00956E6A" w:rsidRPr="00956E6A" w:rsidRDefault="00956E6A" w:rsidP="00956E6A">
      <w:pPr>
        <w:suppressAutoHyphens w:val="0"/>
        <w:spacing w:line="240" w:lineRule="auto"/>
        <w:jc w:val="center"/>
        <w:rPr>
          <w:b/>
          <w:sz w:val="24"/>
        </w:rPr>
      </w:pPr>
      <w:r>
        <w:rPr>
          <w:b/>
          <w:noProof/>
          <w:sz w:val="24"/>
          <w:lang w:eastAsia="ru-RU"/>
        </w:rPr>
        <w:drawing>
          <wp:anchor distT="0" distB="137160" distL="114300" distR="114300" simplePos="0" relativeHeight="251659264" behindDoc="0" locked="0" layoutInCell="1" allowOverlap="1" wp14:anchorId="3A0B6E05" wp14:editId="63888E61">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956E6A">
        <w:rPr>
          <w:b/>
          <w:sz w:val="24"/>
        </w:rPr>
        <w:t>_________</w:t>
      </w:r>
    </w:p>
    <w:p w:rsidR="00956E6A" w:rsidRPr="00956E6A" w:rsidRDefault="00956E6A" w:rsidP="00956E6A">
      <w:pPr>
        <w:suppressAutoHyphens w:val="0"/>
        <w:spacing w:line="240" w:lineRule="auto"/>
        <w:rPr>
          <w:b/>
          <w:sz w:val="28"/>
          <w:lang w:eastAsia="ar-SA"/>
        </w:rPr>
      </w:pPr>
      <w:r>
        <w:rPr>
          <w:b/>
          <w:bCs/>
        </w:rPr>
        <w:tab/>
      </w:r>
      <w:r>
        <w:rPr>
          <w:b/>
          <w:bCs/>
        </w:rPr>
        <w:tab/>
      </w:r>
      <w:r>
        <w:rPr>
          <w:b/>
          <w:bCs/>
        </w:rPr>
        <w:tab/>
      </w:r>
      <w:r>
        <w:rPr>
          <w:b/>
          <w:bCs/>
        </w:rPr>
        <w:tab/>
      </w:r>
      <w:r>
        <w:rPr>
          <w:b/>
          <w:bCs/>
        </w:rPr>
        <w:tab/>
      </w:r>
      <w:r w:rsidRPr="00B1153E">
        <w:rPr>
          <w:b/>
          <w:bCs/>
        </w:rPr>
        <w:t>ОРГАНИЗАЦИЯ ОБЪЕДИНЕННЫХ НАЦИЙ</w:t>
      </w:r>
      <w:r w:rsidRPr="00956E6A">
        <w:rPr>
          <w:lang w:eastAsia="ar-SA"/>
        </w:rPr>
        <w:t xml:space="preserve"> </w:t>
      </w:r>
      <w:r w:rsidRPr="00956E6A">
        <w:rPr>
          <w:lang w:eastAsia="ar-SA"/>
        </w:rPr>
        <w:br w:type="page"/>
      </w:r>
    </w:p>
    <w:p w:rsidR="00956E6A" w:rsidRPr="00AD4CC4" w:rsidRDefault="00956E6A" w:rsidP="00956E6A">
      <w:pPr>
        <w:pStyle w:val="HChG"/>
        <w:rPr>
          <w:lang w:eastAsia="ar-SA"/>
        </w:rPr>
      </w:pPr>
      <w:r w:rsidRPr="00956E6A">
        <w:rPr>
          <w:lang w:eastAsia="ar-SA"/>
        </w:rPr>
        <w:lastRenderedPageBreak/>
        <w:tab/>
      </w:r>
      <w:r w:rsidRPr="00956E6A">
        <w:rPr>
          <w:lang w:eastAsia="ar-SA"/>
        </w:rPr>
        <w:tab/>
      </w:r>
      <w:r w:rsidRPr="00AD4CC4">
        <w:rPr>
          <w:lang w:eastAsia="ar-SA"/>
        </w:rPr>
        <w:t xml:space="preserve">Дополнение 2 к поправкам серии 03 </w:t>
      </w:r>
      <w:r w:rsidR="006744E7">
        <w:rPr>
          <w:lang w:eastAsia="ar-SA"/>
        </w:rPr>
        <w:br/>
      </w:r>
      <w:r w:rsidRPr="00AD4CC4">
        <w:rPr>
          <w:lang w:eastAsia="ar-SA"/>
        </w:rPr>
        <w:t>к Правилам № 110 ООН (транспортные средства, работающие на КПГ и</w:t>
      </w:r>
      <w:r w:rsidR="00204C83">
        <w:rPr>
          <w:lang w:eastAsia="ar-SA"/>
        </w:rPr>
        <w:t xml:space="preserve"> </w:t>
      </w:r>
      <w:r w:rsidRPr="00AD4CC4">
        <w:rPr>
          <w:lang w:eastAsia="ar-SA"/>
        </w:rPr>
        <w:t>СПГ</w:t>
      </w:r>
      <w:r w:rsidRPr="00AD4CC4">
        <w:t>)</w:t>
      </w:r>
    </w:p>
    <w:p w:rsidR="00956E6A" w:rsidRPr="00AD4CC4" w:rsidRDefault="00956E6A" w:rsidP="00EB4076">
      <w:pPr>
        <w:pStyle w:val="SingleTxtG"/>
      </w:pPr>
      <w:r w:rsidRPr="00AD4CC4">
        <w:rPr>
          <w:i/>
        </w:rPr>
        <w:t>Пункты 4.32 и 4.33</w:t>
      </w:r>
      <w:r w:rsidRPr="00AD4CC4">
        <w:t xml:space="preserve"> изменить следующим образом:</w:t>
      </w:r>
    </w:p>
    <w:p w:rsidR="00956E6A" w:rsidRPr="00FC1F16" w:rsidRDefault="00956E6A" w:rsidP="00FC1F16">
      <w:pPr>
        <w:pStyle w:val="SingleTxtG"/>
        <w:ind w:left="2268" w:hanging="1134"/>
      </w:pPr>
      <w:r w:rsidRPr="00FC1F16">
        <w:t>«4.32</w:t>
      </w:r>
      <w:r w:rsidRPr="00FC1F16">
        <w:tab/>
      </w:r>
      <w:r w:rsidR="00EB4076" w:rsidRPr="004125FF">
        <w:rPr>
          <w:i/>
        </w:rPr>
        <w:tab/>
      </w:r>
      <w:r w:rsidRPr="004125FF">
        <w:rPr>
          <w:i/>
        </w:rPr>
        <w:t>"</w:t>
      </w:r>
      <w:r w:rsidRPr="00A41ED6">
        <w:rPr>
          <w:i/>
        </w:rPr>
        <w:t>Газовый инжектор</w:t>
      </w:r>
      <w:r w:rsidRPr="004125FF">
        <w:rPr>
          <w:i/>
        </w:rPr>
        <w:t>"</w:t>
      </w:r>
      <w:r w:rsidRPr="00FC1F16">
        <w:t xml:space="preserve"> означает устройство для введения газового топлива в двигатель либо в связанную с ним впускную систему. Газовый инжектор рассматривается как регулятор подачи газа.</w:t>
      </w:r>
    </w:p>
    <w:p w:rsidR="00956E6A" w:rsidRPr="00AD4CC4" w:rsidRDefault="00956E6A" w:rsidP="00EB4076">
      <w:pPr>
        <w:pStyle w:val="SingleTxtG"/>
        <w:ind w:left="2268" w:hanging="1134"/>
      </w:pPr>
      <w:r w:rsidRPr="00AD4CC4">
        <w:t>4.33</w:t>
      </w:r>
      <w:r w:rsidRPr="00AD4CC4">
        <w:tab/>
      </w:r>
      <w:r w:rsidRPr="00AD4CC4">
        <w:rPr>
          <w:i/>
          <w:iCs/>
        </w:rPr>
        <w:t>"Регулятор подачи газа"</w:t>
      </w:r>
      <w:r w:rsidRPr="00AD4CC4">
        <w:t xml:space="preserve"> означает устройство для ограничения потока газа, установленное на выходе из регулятора давления и регулирующее подачу газа в двигатель. Функция регулятора подачи газа может выполняться другим компонентом (например, газовым инжектором)».</w:t>
      </w:r>
    </w:p>
    <w:p w:rsidR="00956E6A" w:rsidRPr="00AD4CC4" w:rsidRDefault="00956E6A" w:rsidP="00EB4076">
      <w:pPr>
        <w:pStyle w:val="SingleTxtG"/>
        <w:ind w:left="2268" w:hanging="1134"/>
      </w:pPr>
      <w:r w:rsidRPr="00AD4CC4">
        <w:rPr>
          <w:i/>
        </w:rPr>
        <w:t xml:space="preserve">Пункт </w:t>
      </w:r>
      <w:r w:rsidRPr="00AD4CC4">
        <w:rPr>
          <w:i/>
          <w:spacing w:val="-1"/>
        </w:rPr>
        <w:t>4.56</w:t>
      </w:r>
      <w:r w:rsidRPr="00AD4CC4">
        <w:rPr>
          <w:spacing w:val="25"/>
        </w:rPr>
        <w:t xml:space="preserve"> </w:t>
      </w:r>
      <w:r w:rsidRPr="00AD4CC4">
        <w:rPr>
          <w:spacing w:val="1"/>
        </w:rPr>
        <w:t xml:space="preserve">изменить </w:t>
      </w:r>
      <w:r w:rsidRPr="00FC1F16">
        <w:t>следующим</w:t>
      </w:r>
      <w:r w:rsidRPr="00AD4CC4">
        <w:rPr>
          <w:spacing w:val="1"/>
        </w:rPr>
        <w:t xml:space="preserve"> </w:t>
      </w:r>
      <w:r w:rsidRPr="00EB4076">
        <w:t>образом</w:t>
      </w:r>
      <w:r w:rsidRPr="00AD4CC4">
        <w:rPr>
          <w:w w:val="103"/>
        </w:rPr>
        <w:t>:</w:t>
      </w:r>
    </w:p>
    <w:p w:rsidR="00956E6A" w:rsidRPr="00AD4CC4" w:rsidRDefault="00956E6A" w:rsidP="00EB4076">
      <w:pPr>
        <w:pStyle w:val="SingleTxtG"/>
        <w:ind w:left="2268" w:hanging="1134"/>
      </w:pPr>
      <w:r w:rsidRPr="00AD4CC4">
        <w:t>«4.56</w:t>
      </w:r>
      <w:r w:rsidRPr="00AD4CC4">
        <w:tab/>
      </w:r>
      <w:r w:rsidRPr="00AD4CC4">
        <w:rPr>
          <w:i/>
          <w:iCs/>
        </w:rPr>
        <w:t>"Готовые баллоны"</w:t>
      </w:r>
      <w:r w:rsidRPr="00AD4CC4">
        <w:t xml:space="preserve"> означает полностью изготовленные баллоны, которые готовы для использования, типичные для нормального производства, с нанесенной на них отличительной маркировкой и внешним покрытием, включая встроенную изоляцию и/или защиту, указанную изготовителем на рабочем чертеже баллона».</w:t>
      </w:r>
    </w:p>
    <w:p w:rsidR="00956E6A" w:rsidRPr="00AD4CC4" w:rsidRDefault="00956E6A" w:rsidP="00EB4076">
      <w:pPr>
        <w:pStyle w:val="SingleTxtG"/>
        <w:ind w:left="2268" w:hanging="1134"/>
      </w:pPr>
      <w:r w:rsidRPr="00AD4CC4">
        <w:rPr>
          <w:i/>
        </w:rPr>
        <w:t xml:space="preserve">Включить новое определение 4.76 </w:t>
      </w:r>
      <w:r w:rsidRPr="00AD4CC4">
        <w:t>следующего содержания:</w:t>
      </w:r>
    </w:p>
    <w:p w:rsidR="00956E6A" w:rsidRPr="00AD4CC4" w:rsidRDefault="00956E6A" w:rsidP="00EB4076">
      <w:pPr>
        <w:pStyle w:val="SingleTxtG"/>
        <w:ind w:left="2268" w:hanging="1134"/>
      </w:pPr>
      <w:r w:rsidRPr="00AD4CC4">
        <w:t>«4.76</w:t>
      </w:r>
      <w:r w:rsidRPr="00AD4CC4">
        <w:tab/>
      </w:r>
      <w:r w:rsidRPr="00AD4CC4">
        <w:rPr>
          <w:i/>
          <w:iCs/>
        </w:rPr>
        <w:t xml:space="preserve">"Сертифицированный баллон" </w:t>
      </w:r>
      <w:r w:rsidRPr="00AD4CC4">
        <w:t>означает готовый баллон, который удовлетворяет требованиям испытаний, описанных в настоящих Правилах применительно к готовым баллонам, и официально утвержден».</w:t>
      </w:r>
    </w:p>
    <w:p w:rsidR="00956E6A" w:rsidRPr="00AD4CC4" w:rsidRDefault="00956E6A" w:rsidP="00EB4076">
      <w:pPr>
        <w:pStyle w:val="SingleTxtG"/>
        <w:ind w:left="2268" w:hanging="1134"/>
        <w:rPr>
          <w:i/>
          <w:w w:val="103"/>
          <w:position w:val="-1"/>
        </w:rPr>
      </w:pPr>
      <w:r w:rsidRPr="00EB4076">
        <w:rPr>
          <w:i/>
        </w:rPr>
        <w:t>Приложение</w:t>
      </w:r>
      <w:r w:rsidRPr="00AD4CC4">
        <w:rPr>
          <w:i/>
          <w:w w:val="103"/>
          <w:position w:val="-1"/>
        </w:rPr>
        <w:t xml:space="preserve"> 3</w:t>
      </w:r>
      <w:r w:rsidRPr="003334DA">
        <w:rPr>
          <w:i/>
          <w:w w:val="103"/>
          <w:position w:val="-1"/>
          <w:lang w:val="en-GB"/>
        </w:rPr>
        <w:t>A</w:t>
      </w:r>
    </w:p>
    <w:p w:rsidR="00956E6A" w:rsidRPr="00AD4CC4" w:rsidRDefault="00956E6A" w:rsidP="00EB4076">
      <w:pPr>
        <w:pStyle w:val="SingleTxtG"/>
        <w:ind w:left="2268" w:hanging="1134"/>
        <w:rPr>
          <w:w w:val="103"/>
          <w:position w:val="-1"/>
        </w:rPr>
      </w:pPr>
      <w:r w:rsidRPr="00AD4CC4">
        <w:rPr>
          <w:i/>
          <w:w w:val="103"/>
          <w:position w:val="-1"/>
        </w:rPr>
        <w:t>Пункты 4.1.2–4.1.4.2</w:t>
      </w:r>
      <w:r w:rsidRPr="00AD4CC4">
        <w:rPr>
          <w:w w:val="103"/>
          <w:position w:val="-1"/>
        </w:rPr>
        <w:t xml:space="preserve"> изменить </w:t>
      </w:r>
      <w:r w:rsidRPr="00EB4076">
        <w:t>следующим</w:t>
      </w:r>
      <w:r w:rsidRPr="00AD4CC4">
        <w:rPr>
          <w:w w:val="103"/>
          <w:position w:val="-1"/>
        </w:rPr>
        <w:t xml:space="preserve"> образом:</w:t>
      </w:r>
    </w:p>
    <w:p w:rsidR="00956E6A" w:rsidRPr="00AD4CC4" w:rsidRDefault="00956E6A" w:rsidP="00EB4076">
      <w:pPr>
        <w:pStyle w:val="SingleTxtG"/>
        <w:ind w:left="2268" w:hanging="1134"/>
        <w:rPr>
          <w:w w:val="103"/>
          <w:position w:val="-1"/>
        </w:rPr>
      </w:pPr>
      <w:r w:rsidRPr="00AD4CC4">
        <w:rPr>
          <w:w w:val="103"/>
          <w:position w:val="-1"/>
        </w:rPr>
        <w:t>«4.1.2</w:t>
      </w:r>
      <w:r w:rsidRPr="00AD4CC4">
        <w:rPr>
          <w:w w:val="103"/>
          <w:position w:val="-1"/>
        </w:rPr>
        <w:tab/>
      </w:r>
      <w:r w:rsidRPr="00FC1F16">
        <w:t>Использование</w:t>
      </w:r>
      <w:r w:rsidRPr="00AD4CC4">
        <w:rPr>
          <w:w w:val="103"/>
          <w:position w:val="-1"/>
        </w:rPr>
        <w:t xml:space="preserve"> </w:t>
      </w:r>
      <w:r w:rsidRPr="00EB4076">
        <w:t>баллонов</w:t>
      </w:r>
    </w:p>
    <w:p w:rsidR="00956E6A" w:rsidRPr="00AD4CC4" w:rsidRDefault="00956E6A" w:rsidP="00EB4076">
      <w:pPr>
        <w:pStyle w:val="SingleTxtG"/>
        <w:ind w:left="2268" w:hanging="1134"/>
        <w:rPr>
          <w:w w:val="103"/>
          <w:position w:val="-1"/>
        </w:rPr>
      </w:pPr>
      <w:r w:rsidRPr="00AD4CC4">
        <w:rPr>
          <w:w w:val="103"/>
          <w:position w:val="-1"/>
        </w:rPr>
        <w:tab/>
      </w:r>
      <w:r w:rsidRPr="00AD4CC4">
        <w:t>Указанные условия эксплуатации</w:t>
      </w:r>
      <w:r w:rsidRPr="00AD4CC4">
        <w:rPr>
          <w:w w:val="103"/>
          <w:position w:val="-1"/>
        </w:rPr>
        <w:t>… целью информировать:</w:t>
      </w:r>
    </w:p>
    <w:p w:rsidR="00956E6A" w:rsidRPr="00AD4CC4" w:rsidRDefault="00956E6A" w:rsidP="00EB4076">
      <w:pPr>
        <w:pStyle w:val="SingleTxtG"/>
        <w:ind w:left="2268" w:hanging="1134"/>
        <w:rPr>
          <w:w w:val="103"/>
          <w:position w:val="-1"/>
        </w:rPr>
      </w:pPr>
      <w:r w:rsidRPr="00AD4CC4">
        <w:rPr>
          <w:w w:val="103"/>
          <w:position w:val="-1"/>
        </w:rPr>
        <w:tab/>
      </w:r>
      <w:r w:rsidRPr="00EE53FA">
        <w:rPr>
          <w:w w:val="103"/>
          <w:position w:val="-1"/>
          <w:lang w:val="en-GB"/>
        </w:rPr>
        <w:t>a</w:t>
      </w:r>
      <w:r w:rsidRPr="00AD4CC4">
        <w:rPr>
          <w:w w:val="103"/>
          <w:position w:val="-1"/>
        </w:rPr>
        <w:t>)</w:t>
      </w:r>
      <w:r w:rsidRPr="00AD4CC4">
        <w:rPr>
          <w:w w:val="103"/>
          <w:position w:val="-1"/>
        </w:rPr>
        <w:tab/>
      </w:r>
      <w:r w:rsidRPr="00EB4076">
        <w:t>изготовителей</w:t>
      </w:r>
      <w:r w:rsidRPr="00AD4CC4">
        <w:rPr>
          <w:w w:val="103"/>
          <w:position w:val="-1"/>
        </w:rPr>
        <w:t xml:space="preserve"> баллонов;</w:t>
      </w:r>
    </w:p>
    <w:p w:rsidR="00956E6A" w:rsidRPr="00AD4CC4" w:rsidRDefault="00956E6A" w:rsidP="00EB4076">
      <w:pPr>
        <w:pStyle w:val="SingleTxtG"/>
        <w:ind w:left="2268" w:hanging="1134"/>
        <w:rPr>
          <w:w w:val="103"/>
          <w:position w:val="-1"/>
        </w:rPr>
      </w:pPr>
      <w:r w:rsidRPr="00AD4CC4">
        <w:rPr>
          <w:w w:val="103"/>
          <w:position w:val="-1"/>
        </w:rPr>
        <w:tab/>
      </w:r>
      <w:r w:rsidRPr="00EE53FA">
        <w:rPr>
          <w:w w:val="103"/>
          <w:position w:val="-1"/>
          <w:lang w:val="en-GB"/>
        </w:rPr>
        <w:t>b</w:t>
      </w:r>
      <w:r w:rsidRPr="00AD4CC4">
        <w:rPr>
          <w:w w:val="103"/>
          <w:position w:val="-1"/>
        </w:rPr>
        <w:t>)</w:t>
      </w:r>
      <w:r w:rsidRPr="00AD4CC4">
        <w:rPr>
          <w:w w:val="103"/>
          <w:position w:val="-1"/>
        </w:rPr>
        <w:tab/>
      </w:r>
      <w:r w:rsidRPr="00EB4076">
        <w:t>владельцев</w:t>
      </w:r>
      <w:r w:rsidRPr="00AD4CC4">
        <w:rPr>
          <w:w w:val="103"/>
          <w:position w:val="-1"/>
        </w:rPr>
        <w:t xml:space="preserve"> сертифицированных баллонов; </w:t>
      </w:r>
    </w:p>
    <w:p w:rsidR="00956E6A" w:rsidRPr="00AD4CC4" w:rsidRDefault="00956E6A" w:rsidP="00EB4076">
      <w:pPr>
        <w:pStyle w:val="SingleTxtG"/>
        <w:ind w:left="2268" w:hanging="1134"/>
        <w:rPr>
          <w:w w:val="103"/>
          <w:position w:val="-1"/>
        </w:rPr>
      </w:pPr>
      <w:r w:rsidRPr="00AD4CC4">
        <w:rPr>
          <w:w w:val="103"/>
          <w:position w:val="-1"/>
        </w:rPr>
        <w:tab/>
        <w:t>…</w:t>
      </w:r>
    </w:p>
    <w:p w:rsidR="00956E6A" w:rsidRPr="00AD4CC4" w:rsidRDefault="00956E6A" w:rsidP="00EB4076">
      <w:pPr>
        <w:pStyle w:val="SingleTxtG"/>
        <w:ind w:left="2268" w:hanging="1134"/>
        <w:rPr>
          <w:w w:val="103"/>
          <w:position w:val="-1"/>
        </w:rPr>
      </w:pPr>
      <w:r w:rsidRPr="00AD4CC4">
        <w:rPr>
          <w:w w:val="103"/>
          <w:position w:val="-1"/>
        </w:rPr>
        <w:t>4.1.3</w:t>
      </w:r>
      <w:r w:rsidRPr="00AD4CC4">
        <w:rPr>
          <w:w w:val="103"/>
          <w:position w:val="-1"/>
        </w:rPr>
        <w:tab/>
        <w:t xml:space="preserve">Срок </w:t>
      </w:r>
      <w:r w:rsidRPr="00EB4076">
        <w:t>службы</w:t>
      </w:r>
    </w:p>
    <w:p w:rsidR="00956E6A" w:rsidRPr="00AD4CC4" w:rsidRDefault="00956E6A" w:rsidP="00EB4076">
      <w:pPr>
        <w:pStyle w:val="SingleTxtG"/>
        <w:ind w:left="2268" w:hanging="1134"/>
        <w:rPr>
          <w:w w:val="103"/>
          <w:position w:val="-1"/>
        </w:rPr>
      </w:pPr>
      <w:r w:rsidRPr="00AD4CC4">
        <w:rPr>
          <w:w w:val="103"/>
          <w:position w:val="-1"/>
        </w:rPr>
        <w:tab/>
      </w:r>
      <w:r w:rsidRPr="00AD4CC4">
        <w:t>Срок службы, в течение которого сертифицированные баллоны могут безопасно... составляет 20 лет.</w:t>
      </w:r>
    </w:p>
    <w:p w:rsidR="00956E6A" w:rsidRPr="00AD4CC4" w:rsidRDefault="00956E6A" w:rsidP="00EB4076">
      <w:pPr>
        <w:pStyle w:val="SingleTxtG"/>
        <w:ind w:left="2268" w:hanging="1134"/>
        <w:rPr>
          <w:w w:val="103"/>
          <w:position w:val="-1"/>
        </w:rPr>
      </w:pPr>
      <w:r w:rsidRPr="00AD4CC4">
        <w:rPr>
          <w:w w:val="103"/>
          <w:position w:val="-1"/>
        </w:rPr>
        <w:t>4.1.4</w:t>
      </w:r>
      <w:r w:rsidRPr="00AD4CC4">
        <w:rPr>
          <w:w w:val="103"/>
          <w:position w:val="-1"/>
        </w:rPr>
        <w:tab/>
      </w:r>
      <w:r w:rsidRPr="00EB4076">
        <w:t>Периодическая</w:t>
      </w:r>
      <w:r w:rsidRPr="00AD4CC4">
        <w:rPr>
          <w:w w:val="103"/>
          <w:position w:val="-1"/>
        </w:rPr>
        <w:t xml:space="preserve"> проверка на соответствие установленным требованиям</w:t>
      </w:r>
    </w:p>
    <w:p w:rsidR="00956E6A" w:rsidRPr="00FC1F16" w:rsidRDefault="00956E6A" w:rsidP="00EB4076">
      <w:pPr>
        <w:pStyle w:val="SingleTxtG"/>
        <w:ind w:left="2268" w:hanging="1134"/>
      </w:pPr>
      <w:r w:rsidRPr="00AD4CC4">
        <w:rPr>
          <w:w w:val="103"/>
          <w:position w:val="-1"/>
        </w:rPr>
        <w:tab/>
      </w:r>
      <w:r w:rsidRPr="00EB4076">
        <w:t>Рекомендации</w:t>
      </w:r>
      <w:r w:rsidRPr="00FC1F16">
        <w:t xml:space="preserve"> по периодической проверке баллонов на соответствие установленным требованиям методом визуального осмотра или испытания в течение срока службы даются изготовителем баллона исходя из условий эксплуатации, определенных в настоящем документе. Каждый сертифицированный баллон подвергают визуальному осмотру не реже одного раза в 48 месяцев после даты его сдачи в эксплуатацию на транспортном средстве (регистрации транспортного средства) и во время любой операции по повторному монтажу на предмет обнаружения внешних повреждений и изъянов. Рекомендуется также производить визуальный осмотр под крепежными хомутами. Визуальный осмотр производится компетентным органом, уполномоченным или признанным нормоустанавливающим органом, с учетом спецификаций изготовителя; сертифицированные баллоны без маркировки, содержащей обязательные данные, или с маркировкой, содержащей обязательные, но неразборчивые данные, подлежат в любом случае изъятию из эксплуатации. Если сертифицированный баллон можно </w:t>
      </w:r>
      <w:r w:rsidRPr="00FC1F16">
        <w:lastRenderedPageBreak/>
        <w:t xml:space="preserve">конкретно идентифицировать по названию изготовителя или </w:t>
      </w:r>
      <w:r w:rsidRPr="00EB4076">
        <w:t>серийному</w:t>
      </w:r>
      <w:r w:rsidRPr="00FC1F16">
        <w:t xml:space="preserve"> номеру, то допускается нанесение новой маркировки и, как следствие, дальнейшая эксплуатация сертифицированного баллона. Договаривающиеся стороны, которым требуется более частая (чем один раз в 48 месяцев) или более строгая периодическая проверка баллонов, могут делать это в соответствии с национальными или региональными требованиями.</w:t>
      </w:r>
    </w:p>
    <w:p w:rsidR="00956E6A" w:rsidRPr="00AD4CC4" w:rsidRDefault="00956E6A" w:rsidP="00EB4076">
      <w:pPr>
        <w:pStyle w:val="SingleTxtG"/>
        <w:ind w:left="2268" w:hanging="1134"/>
        <w:rPr>
          <w:w w:val="103"/>
          <w:position w:val="-1"/>
        </w:rPr>
      </w:pPr>
      <w:r w:rsidRPr="00AD4CC4">
        <w:rPr>
          <w:w w:val="103"/>
          <w:position w:val="-1"/>
        </w:rPr>
        <w:t>4.1.4.1</w:t>
      </w:r>
      <w:r w:rsidRPr="00AD4CC4">
        <w:rPr>
          <w:w w:val="103"/>
          <w:position w:val="-1"/>
        </w:rPr>
        <w:tab/>
      </w:r>
      <w:r w:rsidRPr="00AD4CC4">
        <w:t>Сертифицированные баллоны, бывшие в дорожно-транспортных происшествиях</w:t>
      </w:r>
    </w:p>
    <w:p w:rsidR="00956E6A" w:rsidRPr="00FC1F16" w:rsidRDefault="00956E6A" w:rsidP="00EB4076">
      <w:pPr>
        <w:pStyle w:val="SingleTxtG"/>
        <w:ind w:left="2268" w:hanging="1134"/>
      </w:pPr>
      <w:r w:rsidRPr="00AD4CC4">
        <w:rPr>
          <w:w w:val="103"/>
          <w:position w:val="-1"/>
        </w:rPr>
        <w:tab/>
      </w:r>
      <w:r w:rsidRPr="00EB4076">
        <w:t>Сертифицированные</w:t>
      </w:r>
      <w:r w:rsidRPr="00FC1F16">
        <w:t xml:space="preserve"> баллоны, бывшие... не предусмотрено иное. Сертифицированные баллоны, которые не получили... В противном случае сертифицированный баллон возвращают изготовителю на проверку.</w:t>
      </w:r>
    </w:p>
    <w:p w:rsidR="00956E6A" w:rsidRPr="00AD4CC4" w:rsidRDefault="00956E6A" w:rsidP="00EB4076">
      <w:pPr>
        <w:pStyle w:val="SingleTxtG"/>
        <w:ind w:left="2268" w:hanging="1134"/>
        <w:rPr>
          <w:w w:val="103"/>
          <w:position w:val="-1"/>
        </w:rPr>
      </w:pPr>
      <w:r w:rsidRPr="00AD4CC4">
        <w:rPr>
          <w:w w:val="103"/>
          <w:position w:val="-1"/>
        </w:rPr>
        <w:t>4.1.4.2</w:t>
      </w:r>
      <w:r w:rsidRPr="00AD4CC4">
        <w:rPr>
          <w:w w:val="103"/>
          <w:position w:val="-1"/>
        </w:rPr>
        <w:tab/>
      </w:r>
      <w:r w:rsidRPr="00AD4CC4">
        <w:t>Баллоны, подвергшиеся воздействию огня</w:t>
      </w:r>
    </w:p>
    <w:p w:rsidR="00956E6A" w:rsidRPr="00FC1F16" w:rsidRDefault="00956E6A" w:rsidP="00EB4076">
      <w:pPr>
        <w:pStyle w:val="SingleTxtG"/>
        <w:ind w:left="2268" w:hanging="1134"/>
      </w:pPr>
      <w:r w:rsidRPr="00AD4CC4">
        <w:rPr>
          <w:w w:val="103"/>
          <w:position w:val="-1"/>
        </w:rPr>
        <w:tab/>
      </w:r>
      <w:r w:rsidRPr="00EB4076">
        <w:t>Сертифицированные</w:t>
      </w:r>
      <w:r w:rsidRPr="00FC1F16">
        <w:t xml:space="preserve"> баллоны, которые подверглись воздействию огня, подвергают повторной проверке органом, уполномоченным изготовителем, или признают негодными и изымают из эксплуатации».</w:t>
      </w:r>
    </w:p>
    <w:p w:rsidR="00956E6A" w:rsidRPr="00AD4CC4" w:rsidRDefault="00956E6A" w:rsidP="00EB4076">
      <w:pPr>
        <w:pStyle w:val="SingleTxtG"/>
        <w:ind w:left="2268" w:hanging="1134"/>
        <w:rPr>
          <w:i/>
        </w:rPr>
      </w:pPr>
      <w:r w:rsidRPr="00AD4CC4">
        <w:rPr>
          <w:i/>
        </w:rPr>
        <w:t xml:space="preserve">Пункт 6.12 </w:t>
      </w:r>
      <w:r w:rsidRPr="00EB4076">
        <w:t>изменить</w:t>
      </w:r>
      <w:r w:rsidRPr="00AD4CC4">
        <w:rPr>
          <w:iCs/>
        </w:rPr>
        <w:t xml:space="preserve"> следующим образом</w:t>
      </w:r>
      <w:r w:rsidRPr="00AD4CC4">
        <w:rPr>
          <w:spacing w:val="1"/>
          <w:w w:val="103"/>
        </w:rPr>
        <w:t>:</w:t>
      </w:r>
    </w:p>
    <w:p w:rsidR="00956E6A" w:rsidRPr="00AD4CC4" w:rsidRDefault="00956E6A" w:rsidP="00EB4076">
      <w:pPr>
        <w:pStyle w:val="SingleTxtG"/>
        <w:ind w:left="2268" w:hanging="1134"/>
        <w:rPr>
          <w:rFonts w:eastAsia="MS Mincho"/>
          <w:bCs/>
          <w:spacing w:val="-2"/>
          <w:lang w:eastAsia="ja-JP"/>
        </w:rPr>
      </w:pPr>
      <w:r w:rsidRPr="00AD4CC4">
        <w:t>«</w:t>
      </w:r>
      <w:r w:rsidRPr="00AD4CC4">
        <w:rPr>
          <w:rFonts w:eastAsia="MS Mincho"/>
          <w:bCs/>
          <w:spacing w:val="-2"/>
          <w:lang w:eastAsia="ja-JP"/>
        </w:rPr>
        <w:t>6.12</w:t>
      </w:r>
      <w:r w:rsidRPr="00AD4CC4">
        <w:rPr>
          <w:rFonts w:eastAsia="MS Mincho"/>
          <w:bCs/>
          <w:spacing w:val="-2"/>
          <w:lang w:eastAsia="ja-JP"/>
        </w:rPr>
        <w:tab/>
      </w:r>
      <w:r w:rsidRPr="00EB4076">
        <w:t>Защита</w:t>
      </w:r>
      <w:r w:rsidRPr="00AD4CC4">
        <w:rPr>
          <w:rFonts w:eastAsia="MS Mincho"/>
          <w:bCs/>
          <w:spacing w:val="-2"/>
          <w:lang w:eastAsia="ja-JP"/>
        </w:rPr>
        <w:t xml:space="preserve"> от </w:t>
      </w:r>
      <w:r>
        <w:rPr>
          <w:rFonts w:eastAsia="MS Mincho"/>
          <w:bCs/>
          <w:spacing w:val="-2"/>
          <w:lang w:eastAsia="ja-JP"/>
        </w:rPr>
        <w:t>воз</w:t>
      </w:r>
      <w:r w:rsidRPr="00AD4CC4">
        <w:rPr>
          <w:rFonts w:eastAsia="MS Mincho"/>
          <w:bCs/>
          <w:spacing w:val="-2"/>
          <w:lang w:eastAsia="ja-JP"/>
        </w:rPr>
        <w:t>действия внешних факторов</w:t>
      </w:r>
    </w:p>
    <w:p w:rsidR="00956E6A" w:rsidRPr="00AD4CC4" w:rsidRDefault="00956E6A" w:rsidP="00EB4076">
      <w:pPr>
        <w:pStyle w:val="SingleTxtG"/>
        <w:ind w:left="2268" w:hanging="1134"/>
        <w:rPr>
          <w:rFonts w:eastAsia="MS Mincho"/>
          <w:bCs/>
          <w:spacing w:val="-2"/>
          <w:lang w:eastAsia="ja-JP"/>
        </w:rPr>
      </w:pPr>
      <w:r w:rsidRPr="00AD4CC4">
        <w:rPr>
          <w:rFonts w:eastAsia="MS Mincho"/>
          <w:bCs/>
          <w:spacing w:val="-2"/>
          <w:lang w:eastAsia="ja-JP"/>
        </w:rPr>
        <w:tab/>
      </w:r>
      <w:r w:rsidRPr="00EB4076">
        <w:t>Внешняя</w:t>
      </w:r>
      <w:r w:rsidRPr="00AD4CC4">
        <w:rPr>
          <w:rFonts w:eastAsia="MS Mincho"/>
          <w:bCs/>
          <w:spacing w:val="-2"/>
          <w:lang w:eastAsia="ja-JP"/>
        </w:rPr>
        <w:t xml:space="preserve"> поверхность…</w:t>
      </w:r>
    </w:p>
    <w:p w:rsidR="00956E6A" w:rsidRPr="00AD4CC4" w:rsidRDefault="00956E6A" w:rsidP="00EB4076">
      <w:pPr>
        <w:pStyle w:val="SingleTxtG"/>
        <w:ind w:left="2268" w:hanging="1134"/>
        <w:rPr>
          <w:rFonts w:eastAsia="MS Mincho"/>
          <w:bCs/>
          <w:spacing w:val="-2"/>
          <w:lang w:eastAsia="ja-JP"/>
        </w:rPr>
      </w:pPr>
      <w:r w:rsidRPr="00AD4CC4">
        <w:rPr>
          <w:rFonts w:eastAsia="MS Mincho"/>
          <w:bCs/>
          <w:spacing w:val="-2"/>
          <w:lang w:eastAsia="ja-JP"/>
        </w:rPr>
        <w:tab/>
      </w:r>
      <w:r w:rsidRPr="00CE7941">
        <w:rPr>
          <w:rFonts w:eastAsia="MS Mincho"/>
          <w:bCs/>
          <w:spacing w:val="-2"/>
          <w:lang w:val="en" w:eastAsia="ja-JP"/>
        </w:rPr>
        <w:t>c</w:t>
      </w:r>
      <w:r w:rsidRPr="00AD4CC4">
        <w:rPr>
          <w:rFonts w:eastAsia="MS Mincho"/>
          <w:bCs/>
          <w:spacing w:val="-2"/>
          <w:lang w:eastAsia="ja-JP"/>
        </w:rPr>
        <w:t>)</w:t>
      </w:r>
      <w:r w:rsidRPr="00AD4CC4">
        <w:rPr>
          <w:rFonts w:eastAsia="MS Mincho"/>
          <w:bCs/>
          <w:spacing w:val="-2"/>
          <w:lang w:eastAsia="ja-JP"/>
        </w:rPr>
        <w:tab/>
      </w:r>
      <w:r w:rsidRPr="00EB4076">
        <w:t>защитное</w:t>
      </w:r>
      <w:r w:rsidRPr="00AD4CC4">
        <w:rPr>
          <w:rFonts w:eastAsia="MS Mincho"/>
          <w:bCs/>
          <w:spacing w:val="-2"/>
          <w:lang w:eastAsia="ja-JP"/>
        </w:rPr>
        <w:t xml:space="preserve"> покрытие… </w:t>
      </w:r>
      <w:r>
        <w:rPr>
          <w:rFonts w:eastAsia="MS Mincho"/>
          <w:bCs/>
          <w:spacing w:val="-2"/>
          <w:lang w:val="en" w:eastAsia="ja-JP"/>
        </w:rPr>
        <w:t>A</w:t>
      </w:r>
      <w:r w:rsidRPr="00AD4CC4">
        <w:rPr>
          <w:rFonts w:eastAsia="MS Mincho"/>
          <w:bCs/>
          <w:spacing w:val="-2"/>
          <w:lang w:eastAsia="ja-JP"/>
        </w:rPr>
        <w:t xml:space="preserve">.9 (добавление </w:t>
      </w:r>
      <w:r w:rsidRPr="003334DA">
        <w:rPr>
          <w:rFonts w:eastAsia="MS Mincho"/>
          <w:bCs/>
          <w:spacing w:val="-2"/>
          <w:lang w:val="en" w:eastAsia="ja-JP"/>
        </w:rPr>
        <w:t>A</w:t>
      </w:r>
      <w:r w:rsidRPr="00AD4CC4">
        <w:rPr>
          <w:rFonts w:eastAsia="MS Mincho"/>
          <w:bCs/>
          <w:spacing w:val="-2"/>
          <w:lang w:eastAsia="ja-JP"/>
        </w:rPr>
        <w:t xml:space="preserve"> к настоящему приложению).</w:t>
      </w:r>
    </w:p>
    <w:p w:rsidR="00956E6A" w:rsidRPr="00FC1F16" w:rsidRDefault="00956E6A" w:rsidP="00EB4076">
      <w:pPr>
        <w:pStyle w:val="SingleTxtG"/>
        <w:ind w:left="2268" w:hanging="1134"/>
      </w:pPr>
      <w:r w:rsidRPr="00AD4CC4">
        <w:rPr>
          <w:rFonts w:eastAsia="MS Mincho"/>
          <w:bCs/>
          <w:spacing w:val="-2"/>
          <w:lang w:eastAsia="ja-JP"/>
        </w:rPr>
        <w:tab/>
      </w:r>
      <w:r w:rsidRPr="00FC1F16">
        <w:t xml:space="preserve">Технология нанесения любых покрытий или защиты на баллоны должна быть </w:t>
      </w:r>
      <w:r w:rsidRPr="00EB4076">
        <w:t>такой</w:t>
      </w:r>
      <w:r w:rsidRPr="00FC1F16">
        <w:t>, чтобы не оказывать отрицательного воздействия на механические свойства баллона. Покрытие или защиту выполняют таким образом, чтобы это облегчало последующую проверку баллонов в условиях эксплуатации. Изготовитель дает указания по обращению с покрытием или защитой в ходе таких проверок, с тем чтобы не нарушить целостность баллона</w:t>
      </w:r>
      <w:r w:rsidRPr="00AD4CC4">
        <w:t>».</w:t>
      </w:r>
    </w:p>
    <w:p w:rsidR="00956E6A" w:rsidRPr="00AD4CC4" w:rsidRDefault="00956E6A" w:rsidP="00DF25FD">
      <w:pPr>
        <w:pStyle w:val="SingleTxtG"/>
        <w:rPr>
          <w:rFonts w:eastAsia="MS Mincho"/>
          <w:spacing w:val="-2"/>
          <w:lang w:eastAsia="ja-JP"/>
        </w:rPr>
      </w:pPr>
      <w:r w:rsidRPr="00AD4CC4">
        <w:rPr>
          <w:rFonts w:eastAsia="MS Mincho"/>
          <w:bCs/>
          <w:i/>
          <w:spacing w:val="-2"/>
          <w:lang w:eastAsia="ja-JP"/>
        </w:rPr>
        <w:t>Пункт 6.17, таблица 6.7 (</w:t>
      </w:r>
      <w:r>
        <w:rPr>
          <w:rFonts w:eastAsia="MS Mincho"/>
          <w:bCs/>
          <w:i/>
          <w:spacing w:val="-2"/>
          <w:lang w:eastAsia="ja-JP"/>
        </w:rPr>
        <w:t>и</w:t>
      </w:r>
      <w:r w:rsidRPr="00AD4CC4">
        <w:rPr>
          <w:rFonts w:eastAsia="MS Mincho"/>
          <w:bCs/>
          <w:i/>
          <w:spacing w:val="-2"/>
          <w:lang w:eastAsia="ja-JP"/>
        </w:rPr>
        <w:t>зменение конструкции), двенадцатая строка,</w:t>
      </w:r>
      <w:r w:rsidRPr="00AD4CC4">
        <w:rPr>
          <w:rFonts w:eastAsia="MS Mincho"/>
          <w:bCs/>
          <w:spacing w:val="-2"/>
          <w:lang w:eastAsia="ja-JP"/>
        </w:rPr>
        <w:t xml:space="preserve"> </w:t>
      </w:r>
      <w:r w:rsidRPr="00AD4CC4">
        <w:t>в первой колонке заменить «Форма закруглений» на «Эскиз закруглений» и в восьмую колонку вставить знак «</w:t>
      </w:r>
      <w:r w:rsidRPr="00946836">
        <w:t>X</w:t>
      </w:r>
      <w:r w:rsidRPr="00AD4CC4">
        <w:t xml:space="preserve">**», включая </w:t>
      </w:r>
      <w:r w:rsidRPr="00FC1F16">
        <w:rPr>
          <w:w w:val="103"/>
          <w:position w:val="-1"/>
        </w:rPr>
        <w:t>новую</w:t>
      </w:r>
      <w:r w:rsidRPr="00AD4CC4">
        <w:t xml:space="preserve"> сноску ** следующего содержания: «**</w:t>
      </w:r>
      <w:r>
        <w:t> </w:t>
      </w:r>
      <w:r w:rsidRPr="00AD4CC4">
        <w:t xml:space="preserve">Испытание на сбрасывание </w:t>
      </w:r>
      <w:r w:rsidRPr="00946836">
        <w:t>A</w:t>
      </w:r>
      <w:r w:rsidRPr="00AD4CC4">
        <w:t>.20 требуется только для конструкций типа КПГ-3 и</w:t>
      </w:r>
      <w:r w:rsidR="00037B10">
        <w:t xml:space="preserve"> </w:t>
      </w:r>
      <w:r w:rsidRPr="00AD4CC4">
        <w:t>КПГ-4»</w:t>
      </w:r>
      <w:r w:rsidRPr="00AD4CC4">
        <w:rPr>
          <w:rFonts w:eastAsia="MS Mincho"/>
          <w:bCs/>
          <w:spacing w:val="-2"/>
          <w:lang w:eastAsia="ja-JP"/>
        </w:rPr>
        <w:t>.</w:t>
      </w:r>
    </w:p>
    <w:p w:rsidR="00956E6A" w:rsidRPr="00AD4CC4" w:rsidRDefault="00956E6A" w:rsidP="00FC1F16">
      <w:pPr>
        <w:pStyle w:val="SingleTxtG"/>
        <w:ind w:left="2268" w:hanging="1134"/>
        <w:rPr>
          <w:rFonts w:eastAsia="MS Mincho"/>
          <w:bCs/>
          <w:i/>
          <w:spacing w:val="-2"/>
          <w:lang w:eastAsia="ja-JP"/>
        </w:rPr>
      </w:pPr>
      <w:r w:rsidRPr="00AD4CC4">
        <w:rPr>
          <w:rFonts w:eastAsia="MS Mincho"/>
          <w:bCs/>
          <w:i/>
          <w:spacing w:val="-2"/>
          <w:lang w:eastAsia="ja-JP"/>
        </w:rPr>
        <w:t xml:space="preserve">Пункт 10.7.1 </w:t>
      </w:r>
      <w:r w:rsidRPr="00FC1F16">
        <w:t>изменить</w:t>
      </w:r>
      <w:r w:rsidRPr="00AD4CC4">
        <w:rPr>
          <w:rFonts w:eastAsia="MS Mincho"/>
          <w:bCs/>
          <w:iCs/>
          <w:spacing w:val="-2"/>
          <w:lang w:eastAsia="ja-JP"/>
        </w:rPr>
        <w:t xml:space="preserve"> </w:t>
      </w:r>
      <w:r w:rsidRPr="00FC1F16">
        <w:t>следующим</w:t>
      </w:r>
      <w:r w:rsidRPr="00AD4CC4">
        <w:rPr>
          <w:rFonts w:eastAsia="MS Mincho"/>
          <w:bCs/>
          <w:iCs/>
          <w:spacing w:val="-2"/>
          <w:lang w:eastAsia="ja-JP"/>
        </w:rPr>
        <w:t xml:space="preserve"> </w:t>
      </w:r>
      <w:r w:rsidRPr="00FC1F16">
        <w:t>образом</w:t>
      </w:r>
      <w:r w:rsidRPr="00AD4CC4">
        <w:rPr>
          <w:rFonts w:eastAsia="MS Mincho"/>
          <w:bCs/>
          <w:spacing w:val="-2"/>
          <w:lang w:eastAsia="ja-JP"/>
        </w:rPr>
        <w:t>:</w:t>
      </w:r>
    </w:p>
    <w:p w:rsidR="00956E6A" w:rsidRPr="00AD4CC4" w:rsidRDefault="00956E6A" w:rsidP="00FC1F16">
      <w:pPr>
        <w:pStyle w:val="SingleTxtG"/>
        <w:ind w:left="2268" w:hanging="1134"/>
        <w:rPr>
          <w:rFonts w:eastAsia="MS Mincho"/>
          <w:bCs/>
          <w:spacing w:val="-2"/>
          <w:lang w:eastAsia="ja-JP"/>
        </w:rPr>
      </w:pPr>
      <w:r w:rsidRPr="00AD4CC4">
        <w:rPr>
          <w:rFonts w:eastAsia="MS Mincho"/>
          <w:bCs/>
          <w:spacing w:val="-2"/>
          <w:lang w:eastAsia="ja-JP"/>
        </w:rPr>
        <w:t>«10.7.1</w:t>
      </w:r>
      <w:r w:rsidRPr="00AD4CC4">
        <w:rPr>
          <w:rFonts w:eastAsia="MS Mincho"/>
          <w:bCs/>
          <w:spacing w:val="-2"/>
          <w:lang w:eastAsia="ja-JP"/>
        </w:rPr>
        <w:tab/>
      </w:r>
      <w:r w:rsidRPr="00FC1F16">
        <w:t>Общие</w:t>
      </w:r>
      <w:r w:rsidRPr="00AD4CC4">
        <w:rPr>
          <w:rFonts w:eastAsia="MS Mincho"/>
          <w:bCs/>
          <w:spacing w:val="-2"/>
          <w:lang w:eastAsia="ja-JP"/>
        </w:rPr>
        <w:t xml:space="preserve"> положения</w:t>
      </w:r>
    </w:p>
    <w:p w:rsidR="00956E6A" w:rsidRPr="00FC1F16" w:rsidRDefault="00956E6A" w:rsidP="00FC1F16">
      <w:pPr>
        <w:pStyle w:val="SingleTxtG"/>
        <w:ind w:left="2268" w:hanging="1134"/>
      </w:pPr>
      <w:r w:rsidRPr="00AD4CC4">
        <w:rPr>
          <w:rFonts w:eastAsia="MS Mincho"/>
          <w:bCs/>
          <w:spacing w:val="-2"/>
          <w:lang w:eastAsia="ja-JP"/>
        </w:rPr>
        <w:tab/>
      </w:r>
      <w:r w:rsidRPr="00FC1F16">
        <w:t>Испытания конструкции баллона на соответствие установленным требованиям проводят в соответствии с требованиями пунктов 8.6, 10.7.2, 10.7.3, 10.7.4 и 10.7.5 настоящего приложения, за исключением испытания на герметичность до разрушения, предусмотренного в пункте</w:t>
      </w:r>
      <w:r w:rsidR="007A2CA2">
        <w:t> </w:t>
      </w:r>
      <w:r w:rsidRPr="00FC1F16">
        <w:t>8.6.10 выше, которое в данном случае не требуется».</w:t>
      </w:r>
    </w:p>
    <w:p w:rsidR="00956E6A" w:rsidRPr="00AD4CC4" w:rsidRDefault="00956E6A" w:rsidP="00FC1F16">
      <w:pPr>
        <w:pStyle w:val="SingleTxtG"/>
        <w:ind w:left="2268" w:hanging="1134"/>
        <w:rPr>
          <w:rFonts w:eastAsia="MS Mincho"/>
          <w:bCs/>
          <w:i/>
          <w:spacing w:val="-2"/>
          <w:lang w:eastAsia="ja-JP"/>
        </w:rPr>
      </w:pPr>
      <w:r>
        <w:rPr>
          <w:rFonts w:eastAsia="MS Mincho"/>
          <w:bCs/>
          <w:i/>
          <w:iCs/>
          <w:spacing w:val="-2"/>
          <w:lang w:eastAsia="ja-JP"/>
        </w:rPr>
        <w:t>Включить</w:t>
      </w:r>
      <w:r w:rsidRPr="00AD4CC4">
        <w:rPr>
          <w:rFonts w:eastAsia="MS Mincho"/>
          <w:bCs/>
          <w:i/>
          <w:iCs/>
          <w:spacing w:val="-2"/>
          <w:lang w:eastAsia="ja-JP"/>
        </w:rPr>
        <w:t xml:space="preserve"> новый пункт 10.7.5</w:t>
      </w:r>
      <w:r w:rsidRPr="00AD4CC4">
        <w:rPr>
          <w:rFonts w:eastAsia="MS Mincho"/>
          <w:bCs/>
          <w:spacing w:val="-2"/>
          <w:lang w:eastAsia="ja-JP"/>
        </w:rPr>
        <w:t xml:space="preserve"> </w:t>
      </w:r>
      <w:r w:rsidRPr="00FC1F16">
        <w:rPr>
          <w:w w:val="103"/>
          <w:position w:val="-1"/>
        </w:rPr>
        <w:t>следующего</w:t>
      </w:r>
      <w:r w:rsidRPr="00AD4CC4">
        <w:rPr>
          <w:rFonts w:eastAsia="MS Mincho"/>
          <w:bCs/>
          <w:spacing w:val="-2"/>
          <w:lang w:eastAsia="ja-JP"/>
        </w:rPr>
        <w:t xml:space="preserve"> содержания:</w:t>
      </w:r>
    </w:p>
    <w:p w:rsidR="00956E6A" w:rsidRPr="00AD4CC4" w:rsidRDefault="00956E6A" w:rsidP="00FC1F16">
      <w:pPr>
        <w:pStyle w:val="SingleTxtG"/>
        <w:ind w:left="2268" w:hanging="1134"/>
        <w:rPr>
          <w:rFonts w:eastAsia="MS Mincho"/>
          <w:bCs/>
          <w:spacing w:val="-2"/>
          <w:lang w:eastAsia="ja-JP"/>
        </w:rPr>
      </w:pPr>
      <w:r w:rsidRPr="00AD4CC4">
        <w:rPr>
          <w:rFonts w:eastAsia="MS Mincho"/>
          <w:bCs/>
          <w:spacing w:val="-2"/>
          <w:lang w:eastAsia="ja-JP"/>
        </w:rPr>
        <w:t>«10.7.5</w:t>
      </w:r>
      <w:r w:rsidRPr="00AD4CC4">
        <w:rPr>
          <w:rFonts w:eastAsia="MS Mincho"/>
          <w:bCs/>
          <w:spacing w:val="-2"/>
          <w:lang w:eastAsia="ja-JP"/>
        </w:rPr>
        <w:tab/>
      </w:r>
      <w:r w:rsidRPr="00FC1F16">
        <w:t>Испытание</w:t>
      </w:r>
      <w:r w:rsidRPr="00AD4CC4">
        <w:rPr>
          <w:rFonts w:eastAsia="MS Mincho"/>
          <w:bCs/>
          <w:spacing w:val="-2"/>
          <w:lang w:eastAsia="ja-JP"/>
        </w:rPr>
        <w:t xml:space="preserve"> </w:t>
      </w:r>
      <w:r w:rsidRPr="00FC1F16">
        <w:t>на</w:t>
      </w:r>
      <w:r w:rsidRPr="00AD4CC4">
        <w:rPr>
          <w:rFonts w:eastAsia="MS Mincho"/>
          <w:bCs/>
          <w:spacing w:val="-2"/>
          <w:lang w:eastAsia="ja-JP"/>
        </w:rPr>
        <w:t xml:space="preserve"> </w:t>
      </w:r>
      <w:r w:rsidRPr="00FC1F16">
        <w:t>повреждение</w:t>
      </w:r>
      <w:r w:rsidRPr="00AD4CC4">
        <w:rPr>
          <w:rFonts w:eastAsia="MS Mincho"/>
          <w:bCs/>
          <w:spacing w:val="-2"/>
          <w:lang w:eastAsia="ja-JP"/>
        </w:rPr>
        <w:t xml:space="preserve"> в </w:t>
      </w:r>
      <w:r w:rsidRPr="00FC1F16">
        <w:t>результате</w:t>
      </w:r>
      <w:r w:rsidRPr="00AD4CC4">
        <w:rPr>
          <w:rFonts w:eastAsia="MS Mincho"/>
          <w:bCs/>
          <w:spacing w:val="-2"/>
          <w:lang w:eastAsia="ja-JP"/>
        </w:rPr>
        <w:t xml:space="preserve"> </w:t>
      </w:r>
      <w:r w:rsidRPr="00FC1F16">
        <w:t>удара</w:t>
      </w:r>
    </w:p>
    <w:p w:rsidR="00956E6A" w:rsidRPr="00FC1F16" w:rsidRDefault="00956E6A" w:rsidP="00FC1F16">
      <w:pPr>
        <w:pStyle w:val="SingleTxtG"/>
        <w:ind w:left="2268" w:hanging="1134"/>
      </w:pPr>
      <w:r w:rsidRPr="00AD4CC4">
        <w:rPr>
          <w:rFonts w:eastAsia="MS Mincho"/>
          <w:bCs/>
          <w:spacing w:val="-2"/>
          <w:lang w:eastAsia="ja-JP"/>
        </w:rPr>
        <w:tab/>
      </w:r>
      <w:r w:rsidRPr="00FC1F16">
        <w:t>Один или несколько готовых баллонов подвергают испытанию на повреждение в результате удара в соответствии пунктом A.20 добавления А».</w:t>
      </w:r>
    </w:p>
    <w:p w:rsidR="00956E6A" w:rsidRPr="00AD4CC4" w:rsidRDefault="00956E6A" w:rsidP="00FC1F16">
      <w:pPr>
        <w:pStyle w:val="SingleTxtG"/>
        <w:ind w:left="2268" w:hanging="1134"/>
        <w:rPr>
          <w:rFonts w:eastAsia="MS Mincho"/>
          <w:bCs/>
          <w:i/>
          <w:spacing w:val="-2"/>
          <w:lang w:eastAsia="ja-JP"/>
        </w:rPr>
      </w:pPr>
      <w:r w:rsidRPr="00AD4CC4">
        <w:rPr>
          <w:rFonts w:eastAsia="MS Mincho"/>
          <w:bCs/>
          <w:i/>
          <w:iCs/>
          <w:spacing w:val="-2"/>
          <w:lang w:eastAsia="ja-JP"/>
        </w:rPr>
        <w:t>Приложение 3</w:t>
      </w:r>
      <w:r w:rsidRPr="00FC171E">
        <w:rPr>
          <w:rFonts w:eastAsia="MS Mincho"/>
          <w:bCs/>
          <w:i/>
          <w:iCs/>
          <w:spacing w:val="-2"/>
          <w:lang w:val="en" w:eastAsia="ja-JP"/>
        </w:rPr>
        <w:t>A</w:t>
      </w:r>
      <w:r w:rsidRPr="00AD4CC4">
        <w:rPr>
          <w:rFonts w:eastAsia="MS Mincho"/>
          <w:bCs/>
          <w:i/>
          <w:iCs/>
          <w:spacing w:val="-2"/>
          <w:lang w:eastAsia="ja-JP"/>
        </w:rPr>
        <w:t xml:space="preserve">, добавление </w:t>
      </w:r>
      <w:r w:rsidRPr="00FC171E">
        <w:rPr>
          <w:rFonts w:eastAsia="MS Mincho"/>
          <w:bCs/>
          <w:i/>
          <w:iCs/>
          <w:spacing w:val="-2"/>
          <w:lang w:val="en" w:eastAsia="ja-JP"/>
        </w:rPr>
        <w:t>A</w:t>
      </w:r>
      <w:r w:rsidRPr="00AD4CC4">
        <w:rPr>
          <w:rFonts w:eastAsia="MS Mincho"/>
          <w:bCs/>
          <w:i/>
          <w:iCs/>
          <w:spacing w:val="-2"/>
          <w:lang w:eastAsia="ja-JP"/>
        </w:rPr>
        <w:t xml:space="preserve">, пункт </w:t>
      </w:r>
      <w:r w:rsidRPr="00FC171E">
        <w:rPr>
          <w:rFonts w:eastAsia="MS Mincho"/>
          <w:bCs/>
          <w:i/>
          <w:iCs/>
          <w:spacing w:val="-2"/>
          <w:lang w:val="en" w:eastAsia="ja-JP"/>
        </w:rPr>
        <w:t>A</w:t>
      </w:r>
      <w:r w:rsidRPr="00AD4CC4">
        <w:rPr>
          <w:rFonts w:eastAsia="MS Mincho"/>
          <w:bCs/>
          <w:i/>
          <w:iCs/>
          <w:spacing w:val="-2"/>
          <w:lang w:eastAsia="ja-JP"/>
        </w:rPr>
        <w:t>.17</w:t>
      </w:r>
      <w:r w:rsidRPr="00AD4CC4">
        <w:rPr>
          <w:rFonts w:eastAsia="MS Mincho"/>
          <w:bCs/>
          <w:spacing w:val="-2"/>
          <w:lang w:eastAsia="ja-JP"/>
        </w:rPr>
        <w:t xml:space="preserve"> изменить </w:t>
      </w:r>
      <w:r w:rsidRPr="00FC1F16">
        <w:rPr>
          <w:w w:val="103"/>
          <w:position w:val="-1"/>
        </w:rPr>
        <w:t>следующим</w:t>
      </w:r>
      <w:r w:rsidRPr="00AD4CC4">
        <w:rPr>
          <w:rFonts w:eastAsia="MS Mincho"/>
          <w:bCs/>
          <w:spacing w:val="-2"/>
          <w:lang w:eastAsia="ja-JP"/>
        </w:rPr>
        <w:t xml:space="preserve"> образом:</w:t>
      </w:r>
    </w:p>
    <w:p w:rsidR="00956E6A" w:rsidRPr="00FC1F16" w:rsidRDefault="00956E6A" w:rsidP="00FC1F16">
      <w:pPr>
        <w:pStyle w:val="SingleTxtG"/>
        <w:ind w:left="2268" w:hanging="1134"/>
      </w:pPr>
      <w:r w:rsidRPr="00FC1F16">
        <w:t>«A.17</w:t>
      </w:r>
      <w:r w:rsidRPr="00FC1F16">
        <w:tab/>
        <w:t>Испытание на трещиностойкость композиционных материалов</w:t>
      </w:r>
    </w:p>
    <w:p w:rsidR="00956E6A" w:rsidRPr="00FC1F16" w:rsidRDefault="00956E6A" w:rsidP="00FC1F16">
      <w:pPr>
        <w:pStyle w:val="SingleTxtG"/>
        <w:ind w:left="2268" w:hanging="1134"/>
      </w:pPr>
      <w:r w:rsidRPr="00AD4CC4">
        <w:rPr>
          <w:rFonts w:eastAsia="MS Mincho"/>
          <w:bCs/>
          <w:spacing w:val="-2"/>
          <w:lang w:eastAsia="ja-JP"/>
        </w:rPr>
        <w:tab/>
      </w:r>
      <w:r w:rsidRPr="00FC1F16">
        <w:t xml:space="preserve">В случае конструкций только типов КПГ-2, КПГ-3 и КПГ-4 испытание на трещиностойкость цилиндрической стенки, а также на минимальную </w:t>
      </w:r>
      <w:r w:rsidRPr="00FC1F16">
        <w:lastRenderedPageBreak/>
        <w:t>толщину стенки из композиционного материала в самой(ых) слабой(ых) части(ях) сосуда, выявленной(ых) в результате соответствующего анализа напряжений согласно пункту F.1 добавления F к приложению 3А или полномасштабных испытаний готовых баллонов, проводят только на одном готовом баллоне в сборе с защитным покрытием. Наличие трещин в продольном направлении в композиционном материале допускается. Размеры трещин должны быть больше предельных величин, установленных изготовителем для визуального осмотра.</w:t>
      </w:r>
    </w:p>
    <w:p w:rsidR="00956E6A" w:rsidRPr="00AD4CC4" w:rsidRDefault="00956E6A" w:rsidP="00FC1F16">
      <w:pPr>
        <w:pStyle w:val="SingleTxtG"/>
        <w:ind w:left="2268" w:hanging="1134"/>
        <w:rPr>
          <w:rFonts w:eastAsia="MS Mincho"/>
          <w:bCs/>
          <w:spacing w:val="-2"/>
          <w:lang w:eastAsia="ja-JP"/>
        </w:rPr>
      </w:pPr>
      <w:r w:rsidRPr="00AD4CC4">
        <w:tab/>
        <w:t>Баллон с образовавшимися трещинами… подлежат разрушению».</w:t>
      </w:r>
    </w:p>
    <w:p w:rsidR="00956E6A" w:rsidRPr="00AD4CC4" w:rsidRDefault="00956E6A" w:rsidP="00FC1F16">
      <w:pPr>
        <w:pStyle w:val="SingleTxtG"/>
        <w:ind w:left="2268" w:hanging="1134"/>
        <w:rPr>
          <w:rFonts w:eastAsia="MS Mincho"/>
          <w:bCs/>
          <w:spacing w:val="-2"/>
          <w:lang w:eastAsia="ja-JP"/>
        </w:rPr>
      </w:pPr>
      <w:r w:rsidRPr="00AD4CC4">
        <w:rPr>
          <w:i/>
          <w:iCs/>
        </w:rPr>
        <w:t>Приложение 3</w:t>
      </w:r>
      <w:r>
        <w:rPr>
          <w:i/>
          <w:iCs/>
        </w:rPr>
        <w:t>B</w:t>
      </w:r>
      <w:r w:rsidRPr="00AD4CC4">
        <w:rPr>
          <w:i/>
          <w:iCs/>
        </w:rPr>
        <w:t>, пункт 2.1.3</w:t>
      </w:r>
      <w:r w:rsidRPr="00AD4CC4">
        <w:t xml:space="preserve"> </w:t>
      </w:r>
      <w:r w:rsidRPr="00FC1F16">
        <w:t>изменить</w:t>
      </w:r>
      <w:r w:rsidRPr="00AD4CC4">
        <w:t xml:space="preserve"> следующим образом</w:t>
      </w:r>
      <w:r w:rsidRPr="00AD4CC4">
        <w:rPr>
          <w:rFonts w:eastAsia="MS Mincho"/>
          <w:bCs/>
          <w:spacing w:val="-2"/>
          <w:lang w:eastAsia="ja-JP"/>
        </w:rPr>
        <w:t>:</w:t>
      </w:r>
    </w:p>
    <w:p w:rsidR="00956E6A" w:rsidRPr="00FC1F16" w:rsidRDefault="00956E6A" w:rsidP="00FC1F16">
      <w:pPr>
        <w:pStyle w:val="SingleTxtG"/>
        <w:ind w:left="2268" w:hanging="1134"/>
      </w:pPr>
      <w:r w:rsidRPr="00FC1F16">
        <w:t>«2.1.3</w:t>
      </w:r>
      <w:r w:rsidRPr="00FC1F16">
        <w:tab/>
        <w:t>Периодическая проверка на соответствие установленным требованиям</w:t>
      </w:r>
    </w:p>
    <w:p w:rsidR="00956E6A" w:rsidRPr="00FC1F16" w:rsidRDefault="00956E6A" w:rsidP="00FE49F8">
      <w:pPr>
        <w:pStyle w:val="SingleTxtG"/>
        <w:ind w:left="2268"/>
      </w:pPr>
      <w:r w:rsidRPr="00FC1F16">
        <w:tab/>
        <w:t>Рекомендации по периодической проверке баков на соответствие установленным требованиям методом визуального осмотра или испытания в течение срока службы даются изготовителем бака исходя из условий эксплуатации, определенных в настоящем документе. Каждый бак подвергают визуальному осмотру не реже одного раза в 120 месяцев после даты его сдачи в эксплуатацию на транспортном средстве (регистрации транспортного средства) и во время любой операции по повторному монтажу на предмет обнаружения внешних повреждений и изъянов. Рекомендуется также производить визуальный осмотр под крепежными хомутами. Визуальный осмотр производится технической службой, назначенной или признанной органом по официальному утверждению типа, с учетом спецификаций изготовителя; баки без маркировки, содержащей обязательные данные, или с маркировкой, содержащей обязательные, но неразборчивые данные, подлежат в любом случае изъятию из эксплуатации. Если бак можно конкретно идентифицировать по названию изготовителя или серийному номеру, то допускается нанесение новой маркировки и, как следствие, дальнейшая эксплуатация бака. Договаривающиеся стороны, которым требуется более частая (чем один раз в 120 месяцев) или более строгая периодическая проверка баков, могут делать это в соответствии с национальными или региональными требованиями».</w:t>
      </w:r>
    </w:p>
    <w:p w:rsidR="00381C24" w:rsidRPr="00BC18B2" w:rsidRDefault="00956E6A" w:rsidP="00956E6A">
      <w:pPr>
        <w:pStyle w:val="SingleTxtG"/>
        <w:spacing w:before="240" w:after="0"/>
        <w:jc w:val="center"/>
      </w:pPr>
      <w:r>
        <w:rPr>
          <w:rFonts w:eastAsia="Calibri"/>
          <w:u w:val="single"/>
        </w:rPr>
        <w:tab/>
      </w:r>
      <w:r>
        <w:rPr>
          <w:rFonts w:eastAsia="Calibri"/>
          <w:u w:val="single"/>
        </w:rPr>
        <w:tab/>
      </w:r>
      <w:r>
        <w:rPr>
          <w:rFonts w:eastAsia="Calibri"/>
          <w:u w:val="single"/>
        </w:rPr>
        <w:tab/>
      </w:r>
      <w:r>
        <w:rPr>
          <w:rFonts w:eastAsia="Calibri"/>
          <w:u w:val="single"/>
        </w:rPr>
        <w:tab/>
      </w:r>
    </w:p>
    <w:sectPr w:rsidR="00381C24" w:rsidRPr="00BC18B2" w:rsidSect="00956E6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9E2" w:rsidRPr="00A312BC" w:rsidRDefault="003329E2" w:rsidP="00A312BC"/>
  </w:endnote>
  <w:endnote w:type="continuationSeparator" w:id="0">
    <w:p w:rsidR="003329E2" w:rsidRPr="00A312BC" w:rsidRDefault="003329E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6A" w:rsidRPr="00956E6A" w:rsidRDefault="00956E6A">
    <w:pPr>
      <w:pStyle w:val="Footer"/>
    </w:pPr>
    <w:r w:rsidRPr="00956E6A">
      <w:rPr>
        <w:b/>
        <w:sz w:val="18"/>
      </w:rPr>
      <w:fldChar w:fldCharType="begin"/>
    </w:r>
    <w:r w:rsidRPr="00956E6A">
      <w:rPr>
        <w:b/>
        <w:sz w:val="18"/>
      </w:rPr>
      <w:instrText xml:space="preserve"> PAGE  \* MERGEFORMAT </w:instrText>
    </w:r>
    <w:r w:rsidRPr="00956E6A">
      <w:rPr>
        <w:b/>
        <w:sz w:val="18"/>
      </w:rPr>
      <w:fldChar w:fldCharType="separate"/>
    </w:r>
    <w:r w:rsidR="001202D9">
      <w:rPr>
        <w:b/>
        <w:noProof/>
        <w:sz w:val="18"/>
      </w:rPr>
      <w:t>4</w:t>
    </w:r>
    <w:r w:rsidRPr="00956E6A">
      <w:rPr>
        <w:b/>
        <w:sz w:val="18"/>
      </w:rPr>
      <w:fldChar w:fldCharType="end"/>
    </w:r>
    <w:r>
      <w:rPr>
        <w:b/>
        <w:sz w:val="18"/>
      </w:rPr>
      <w:tab/>
    </w:r>
    <w:r>
      <w:t>GE.19-20154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6A" w:rsidRPr="00956E6A" w:rsidRDefault="00956E6A" w:rsidP="00956E6A">
    <w:pPr>
      <w:pStyle w:val="Footer"/>
      <w:tabs>
        <w:tab w:val="clear" w:pos="9639"/>
        <w:tab w:val="right" w:pos="9638"/>
      </w:tabs>
      <w:rPr>
        <w:b/>
        <w:sz w:val="18"/>
      </w:rPr>
    </w:pPr>
    <w:r>
      <w:t>GE.19-20154</w:t>
    </w:r>
    <w:r>
      <w:tab/>
    </w:r>
    <w:r w:rsidRPr="00956E6A">
      <w:rPr>
        <w:b/>
        <w:sz w:val="18"/>
      </w:rPr>
      <w:fldChar w:fldCharType="begin"/>
    </w:r>
    <w:r w:rsidRPr="00956E6A">
      <w:rPr>
        <w:b/>
        <w:sz w:val="18"/>
      </w:rPr>
      <w:instrText xml:space="preserve"> PAGE  \* MERGEFORMAT </w:instrText>
    </w:r>
    <w:r w:rsidRPr="00956E6A">
      <w:rPr>
        <w:b/>
        <w:sz w:val="18"/>
      </w:rPr>
      <w:fldChar w:fldCharType="separate"/>
    </w:r>
    <w:r w:rsidR="001202D9">
      <w:rPr>
        <w:b/>
        <w:noProof/>
        <w:sz w:val="18"/>
      </w:rPr>
      <w:t>3</w:t>
    </w:r>
    <w:r w:rsidRPr="00956E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956E6A" w:rsidRDefault="00956E6A" w:rsidP="00956E6A">
    <w:pPr>
      <w:spacing w:before="120" w:line="240" w:lineRule="auto"/>
    </w:pPr>
    <w:r>
      <w:t>GE.</w:t>
    </w:r>
    <w:r w:rsidR="00DF71B9">
      <w:rPr>
        <w:b/>
        <w:noProof/>
        <w:lang w:eastAsia="ru-RU"/>
      </w:rPr>
      <w:drawing>
        <wp:anchor distT="0" distB="0" distL="114300" distR="114300" simplePos="0" relativeHeight="251658240" behindDoc="0" locked="0" layoutInCell="1" allowOverlap="1" wp14:anchorId="40AF299E" wp14:editId="1ADC751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19-20154  (R)  041219  061219</w:t>
    </w:r>
    <w:r>
      <w:br/>
    </w:r>
    <w:r w:rsidRPr="00956E6A">
      <w:rPr>
        <w:rFonts w:ascii="C39T30Lfz" w:hAnsi="C39T30Lfz"/>
        <w:kern w:val="14"/>
        <w:sz w:val="56"/>
      </w:rPr>
      <w:t></w:t>
    </w:r>
    <w:r w:rsidRPr="00956E6A">
      <w:rPr>
        <w:rFonts w:ascii="C39T30Lfz" w:hAnsi="C39T30Lfz"/>
        <w:kern w:val="14"/>
        <w:sz w:val="56"/>
      </w:rPr>
      <w:t></w:t>
    </w:r>
    <w:r w:rsidRPr="00956E6A">
      <w:rPr>
        <w:rFonts w:ascii="C39T30Lfz" w:hAnsi="C39T30Lfz"/>
        <w:kern w:val="14"/>
        <w:sz w:val="56"/>
      </w:rPr>
      <w:t></w:t>
    </w:r>
    <w:r w:rsidRPr="00956E6A">
      <w:rPr>
        <w:rFonts w:ascii="C39T30Lfz" w:hAnsi="C39T30Lfz"/>
        <w:kern w:val="14"/>
        <w:sz w:val="56"/>
      </w:rPr>
      <w:t></w:t>
    </w:r>
    <w:r w:rsidRPr="00956E6A">
      <w:rPr>
        <w:rFonts w:ascii="C39T30Lfz" w:hAnsi="C39T30Lfz"/>
        <w:kern w:val="14"/>
        <w:sz w:val="56"/>
      </w:rPr>
      <w:t></w:t>
    </w:r>
    <w:r w:rsidRPr="00956E6A">
      <w:rPr>
        <w:rFonts w:ascii="C39T30Lfz" w:hAnsi="C39T30Lfz"/>
        <w:kern w:val="14"/>
        <w:sz w:val="56"/>
      </w:rPr>
      <w:t></w:t>
    </w:r>
    <w:r w:rsidRPr="00956E6A">
      <w:rPr>
        <w:rFonts w:ascii="C39T30Lfz" w:hAnsi="C39T30Lfz"/>
        <w:kern w:val="14"/>
        <w:sz w:val="56"/>
      </w:rPr>
      <w:t></w:t>
    </w:r>
    <w:r w:rsidRPr="00956E6A">
      <w:rPr>
        <w:rFonts w:ascii="C39T30Lfz" w:hAnsi="C39T30Lfz"/>
        <w:kern w:val="14"/>
        <w:sz w:val="56"/>
      </w:rPr>
      <w:t></w:t>
    </w:r>
    <w:r w:rsidRPr="00956E6A">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2/Add.109/Rev.5/Amend.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09/Rev.5/Amend.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9E2" w:rsidRPr="001075E9" w:rsidRDefault="003329E2" w:rsidP="001075E9">
      <w:pPr>
        <w:tabs>
          <w:tab w:val="right" w:pos="2155"/>
        </w:tabs>
        <w:spacing w:after="80" w:line="240" w:lineRule="auto"/>
        <w:ind w:left="680"/>
        <w:rPr>
          <w:u w:val="single"/>
        </w:rPr>
      </w:pPr>
      <w:r>
        <w:rPr>
          <w:u w:val="single"/>
        </w:rPr>
        <w:tab/>
      </w:r>
    </w:p>
  </w:footnote>
  <w:footnote w:type="continuationSeparator" w:id="0">
    <w:p w:rsidR="003329E2" w:rsidRDefault="003329E2" w:rsidP="00407B78">
      <w:pPr>
        <w:tabs>
          <w:tab w:val="right" w:pos="2155"/>
        </w:tabs>
        <w:spacing w:after="80"/>
        <w:ind w:left="680"/>
        <w:rPr>
          <w:u w:val="single"/>
        </w:rPr>
      </w:pPr>
      <w:r>
        <w:rPr>
          <w:u w:val="single"/>
        </w:rPr>
        <w:tab/>
      </w:r>
    </w:p>
  </w:footnote>
  <w:footnote w:id="1">
    <w:p w:rsidR="00956E6A" w:rsidRPr="007A2E01" w:rsidRDefault="00956E6A" w:rsidP="00956E6A">
      <w:pPr>
        <w:pStyle w:val="FootnoteText"/>
      </w:pPr>
      <w:r>
        <w:tab/>
      </w:r>
      <w:r w:rsidRPr="00213D4F">
        <w:rPr>
          <w:sz w:val="20"/>
        </w:rPr>
        <w:t>*</w:t>
      </w:r>
      <w:r w:rsidRPr="007A2E01">
        <w:tab/>
        <w:t>Прежние названия Соглашения:</w:t>
      </w:r>
    </w:p>
    <w:p w:rsidR="00956E6A" w:rsidRPr="007A2E01" w:rsidRDefault="00956E6A" w:rsidP="00956E6A">
      <w:pPr>
        <w:pStyle w:val="FootnoteText"/>
        <w:rPr>
          <w:sz w:val="20"/>
        </w:rPr>
      </w:pPr>
      <w:r w:rsidRPr="007A2E01">
        <w:tab/>
      </w:r>
      <w:r w:rsidRPr="007A2E01">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rsidR="00956E6A" w:rsidRPr="00FD4774" w:rsidRDefault="00956E6A" w:rsidP="00956E6A">
      <w:pPr>
        <w:pStyle w:val="FootnoteText"/>
        <w:rPr>
          <w:sz w:val="12"/>
          <w:szCs w:val="12"/>
        </w:rPr>
      </w:pPr>
      <w:r w:rsidRPr="007A2E01">
        <w:tab/>
      </w:r>
      <w:r w:rsidRPr="007A2E01">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t> </w:t>
      </w:r>
      <w:r w:rsidRPr="007A2E01">
        <w:t>октября 1995 года (</w:t>
      </w:r>
      <w:r w:rsidRPr="00FD4774">
        <w:rPr>
          <w:sz w:val="12"/>
          <w:szCs w:val="12"/>
        </w:rPr>
        <w:t>П</w:t>
      </w:r>
      <w:r w:rsidRPr="007A2E01">
        <w:t>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6A" w:rsidRPr="00956E6A" w:rsidRDefault="007037CC">
    <w:pPr>
      <w:pStyle w:val="Header"/>
    </w:pPr>
    <w:r>
      <w:fldChar w:fldCharType="begin"/>
    </w:r>
    <w:r>
      <w:instrText xml:space="preserve"> TITLE  \* MERGEFORMAT </w:instrText>
    </w:r>
    <w:r>
      <w:fldChar w:fldCharType="separate"/>
    </w:r>
    <w:r w:rsidR="001202D9">
      <w:t>E/ECE/324/Rev.2/Add.109/Rev.5/Amend.2</w:t>
    </w:r>
    <w:r>
      <w:fldChar w:fldCharType="end"/>
    </w:r>
    <w:r w:rsidR="00956E6A">
      <w:br/>
    </w:r>
    <w:r>
      <w:fldChar w:fldCharType="begin"/>
    </w:r>
    <w:r>
      <w:instrText xml:space="preserve"> KEYWORDS  \* MERGEFORMAT </w:instrText>
    </w:r>
    <w:r>
      <w:fldChar w:fldCharType="separate"/>
    </w:r>
    <w:r w:rsidR="001202D9">
      <w:t>E/ECE/TRANS/505/Rev.2/Add.109/Rev.5/Amend.2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6A" w:rsidRPr="00956E6A" w:rsidRDefault="007037CC" w:rsidP="00956E6A">
    <w:pPr>
      <w:pStyle w:val="Header"/>
      <w:jc w:val="right"/>
    </w:pPr>
    <w:r>
      <w:fldChar w:fldCharType="begin"/>
    </w:r>
    <w:r>
      <w:instrText xml:space="preserve"> TITLE  \* MERGEFORMAT </w:instrText>
    </w:r>
    <w:r>
      <w:fldChar w:fldCharType="separate"/>
    </w:r>
    <w:r w:rsidR="001202D9">
      <w:t>E/ECE/324/Rev.2/Add.109/Rev.5/Amend.2</w:t>
    </w:r>
    <w:r>
      <w:fldChar w:fldCharType="end"/>
    </w:r>
    <w:r w:rsidR="00956E6A">
      <w:br/>
    </w:r>
    <w:r>
      <w:fldChar w:fldCharType="begin"/>
    </w:r>
    <w:r>
      <w:instrText xml:space="preserve"> KEYWORDS  \* MERGEFORMAT </w:instrText>
    </w:r>
    <w:r>
      <w:fldChar w:fldCharType="separate"/>
    </w:r>
    <w:r w:rsidR="001202D9">
      <w:t>E/ECE/TRANS/505/Rev.2/Add.109/Rev.5/Amend.2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6A" w:rsidRDefault="00956E6A" w:rsidP="00956E6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9E2"/>
    <w:rsid w:val="00033EE1"/>
    <w:rsid w:val="00037B10"/>
    <w:rsid w:val="00042B72"/>
    <w:rsid w:val="000558BD"/>
    <w:rsid w:val="000B57E7"/>
    <w:rsid w:val="000B6373"/>
    <w:rsid w:val="000F09DF"/>
    <w:rsid w:val="000F61B2"/>
    <w:rsid w:val="000F6F41"/>
    <w:rsid w:val="001075E9"/>
    <w:rsid w:val="001202D9"/>
    <w:rsid w:val="00180183"/>
    <w:rsid w:val="0018024D"/>
    <w:rsid w:val="0018649F"/>
    <w:rsid w:val="00196389"/>
    <w:rsid w:val="001B3EF6"/>
    <w:rsid w:val="001C7A89"/>
    <w:rsid w:val="001F49C9"/>
    <w:rsid w:val="0020092A"/>
    <w:rsid w:val="00204C83"/>
    <w:rsid w:val="00205D9D"/>
    <w:rsid w:val="00213D4F"/>
    <w:rsid w:val="002A2EFC"/>
    <w:rsid w:val="002A7B4A"/>
    <w:rsid w:val="002C0E18"/>
    <w:rsid w:val="002D5AAC"/>
    <w:rsid w:val="002E5067"/>
    <w:rsid w:val="002F405F"/>
    <w:rsid w:val="002F7EEC"/>
    <w:rsid w:val="00301299"/>
    <w:rsid w:val="00302555"/>
    <w:rsid w:val="00307FB6"/>
    <w:rsid w:val="00317339"/>
    <w:rsid w:val="00322004"/>
    <w:rsid w:val="00330198"/>
    <w:rsid w:val="003329E2"/>
    <w:rsid w:val="003402C2"/>
    <w:rsid w:val="00373BCE"/>
    <w:rsid w:val="00381C24"/>
    <w:rsid w:val="003958D0"/>
    <w:rsid w:val="003B00E5"/>
    <w:rsid w:val="003B658E"/>
    <w:rsid w:val="003B65A9"/>
    <w:rsid w:val="00407B78"/>
    <w:rsid w:val="004125FF"/>
    <w:rsid w:val="0041453E"/>
    <w:rsid w:val="00424203"/>
    <w:rsid w:val="00441410"/>
    <w:rsid w:val="00452493"/>
    <w:rsid w:val="00454E07"/>
    <w:rsid w:val="004716F4"/>
    <w:rsid w:val="00471B10"/>
    <w:rsid w:val="00472C5C"/>
    <w:rsid w:val="00491047"/>
    <w:rsid w:val="004D541E"/>
    <w:rsid w:val="0050108D"/>
    <w:rsid w:val="00513081"/>
    <w:rsid w:val="00517901"/>
    <w:rsid w:val="00526683"/>
    <w:rsid w:val="005709E0"/>
    <w:rsid w:val="00572E19"/>
    <w:rsid w:val="005961C8"/>
    <w:rsid w:val="005D7914"/>
    <w:rsid w:val="005E2B41"/>
    <w:rsid w:val="005F0B42"/>
    <w:rsid w:val="006744E7"/>
    <w:rsid w:val="00681A10"/>
    <w:rsid w:val="006A1ED8"/>
    <w:rsid w:val="006C2031"/>
    <w:rsid w:val="006D461A"/>
    <w:rsid w:val="006E5645"/>
    <w:rsid w:val="006F35EE"/>
    <w:rsid w:val="007021FF"/>
    <w:rsid w:val="007037CC"/>
    <w:rsid w:val="00712895"/>
    <w:rsid w:val="00757357"/>
    <w:rsid w:val="007A2CA2"/>
    <w:rsid w:val="00825F8D"/>
    <w:rsid w:val="00834B71"/>
    <w:rsid w:val="0086445C"/>
    <w:rsid w:val="00870BDA"/>
    <w:rsid w:val="00894693"/>
    <w:rsid w:val="008A08D7"/>
    <w:rsid w:val="008A697B"/>
    <w:rsid w:val="008B6909"/>
    <w:rsid w:val="008C1A9B"/>
    <w:rsid w:val="00906890"/>
    <w:rsid w:val="00911BE4"/>
    <w:rsid w:val="00943923"/>
    <w:rsid w:val="00951972"/>
    <w:rsid w:val="00956E6A"/>
    <w:rsid w:val="009608F3"/>
    <w:rsid w:val="009A24AC"/>
    <w:rsid w:val="009D084C"/>
    <w:rsid w:val="009F307A"/>
    <w:rsid w:val="00A04E47"/>
    <w:rsid w:val="00A312BC"/>
    <w:rsid w:val="00A41ED6"/>
    <w:rsid w:val="00A84021"/>
    <w:rsid w:val="00A84D35"/>
    <w:rsid w:val="00A917B3"/>
    <w:rsid w:val="00AB4B51"/>
    <w:rsid w:val="00AC3DF0"/>
    <w:rsid w:val="00B10CC7"/>
    <w:rsid w:val="00B539E7"/>
    <w:rsid w:val="00B62458"/>
    <w:rsid w:val="00B9610A"/>
    <w:rsid w:val="00BB7B85"/>
    <w:rsid w:val="00BC18B2"/>
    <w:rsid w:val="00BC4F55"/>
    <w:rsid w:val="00BD33EE"/>
    <w:rsid w:val="00C106D6"/>
    <w:rsid w:val="00C50F0A"/>
    <w:rsid w:val="00C60F0C"/>
    <w:rsid w:val="00C805C9"/>
    <w:rsid w:val="00C92939"/>
    <w:rsid w:val="00C978D5"/>
    <w:rsid w:val="00CA1679"/>
    <w:rsid w:val="00CB151C"/>
    <w:rsid w:val="00CB58E1"/>
    <w:rsid w:val="00CE073C"/>
    <w:rsid w:val="00CE5A1A"/>
    <w:rsid w:val="00CF55F6"/>
    <w:rsid w:val="00D33D63"/>
    <w:rsid w:val="00D90028"/>
    <w:rsid w:val="00D90138"/>
    <w:rsid w:val="00DF25FD"/>
    <w:rsid w:val="00DF71B9"/>
    <w:rsid w:val="00E16204"/>
    <w:rsid w:val="00E73F76"/>
    <w:rsid w:val="00E74E9E"/>
    <w:rsid w:val="00EA2C9F"/>
    <w:rsid w:val="00EB1EAF"/>
    <w:rsid w:val="00EB4076"/>
    <w:rsid w:val="00ED0BDA"/>
    <w:rsid w:val="00EF1360"/>
    <w:rsid w:val="00EF3220"/>
    <w:rsid w:val="00F94155"/>
    <w:rsid w:val="00F9783F"/>
    <w:rsid w:val="00FC1F16"/>
    <w:rsid w:val="00FD2EF7"/>
    <w:rsid w:val="00FE447E"/>
    <w:rsid w:val="00FE49F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88A50B-F2A6-431E-8B61-2AABCFC0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49C9"/>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BB7B85"/>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E74E9E"/>
    <w:pPr>
      <w:keepNext/>
      <w:outlineLvl w:val="1"/>
    </w:pPr>
    <w:rPr>
      <w:rFonts w:cs="Arial"/>
      <w:bCs/>
      <w:iCs/>
      <w:szCs w:val="28"/>
    </w:rPr>
  </w:style>
  <w:style w:type="paragraph" w:styleId="Heading3">
    <w:name w:val="heading 3"/>
    <w:basedOn w:val="Normal"/>
    <w:next w:val="Normal"/>
    <w:semiHidden/>
    <w:rsid w:val="00E74E9E"/>
    <w:pPr>
      <w:keepNext/>
      <w:spacing w:before="240" w:after="60"/>
      <w:outlineLvl w:val="2"/>
    </w:pPr>
    <w:rPr>
      <w:rFonts w:ascii="Arial" w:hAnsi="Arial" w:cs="Arial"/>
      <w:b/>
      <w:bCs/>
      <w:sz w:val="26"/>
      <w:szCs w:val="26"/>
    </w:rPr>
  </w:style>
  <w:style w:type="paragraph" w:styleId="Heading4">
    <w:name w:val="heading 4"/>
    <w:basedOn w:val="Normal"/>
    <w:next w:val="Normal"/>
    <w:semiHidden/>
    <w:rsid w:val="00E74E9E"/>
    <w:pPr>
      <w:keepNext/>
      <w:spacing w:before="240" w:after="60"/>
      <w:outlineLvl w:val="3"/>
    </w:pPr>
    <w:rPr>
      <w:b/>
      <w:bCs/>
      <w:sz w:val="28"/>
      <w:szCs w:val="28"/>
    </w:rPr>
  </w:style>
  <w:style w:type="paragraph" w:styleId="Heading5">
    <w:name w:val="heading 5"/>
    <w:basedOn w:val="Normal"/>
    <w:next w:val="Normal"/>
    <w:semiHidden/>
    <w:rsid w:val="00E74E9E"/>
    <w:pPr>
      <w:spacing w:before="240" w:after="60"/>
      <w:outlineLvl w:val="4"/>
    </w:pPr>
    <w:rPr>
      <w:b/>
      <w:bCs/>
      <w:i/>
      <w:iCs/>
      <w:sz w:val="26"/>
      <w:szCs w:val="26"/>
    </w:rPr>
  </w:style>
  <w:style w:type="paragraph" w:styleId="Heading6">
    <w:name w:val="heading 6"/>
    <w:basedOn w:val="Normal"/>
    <w:next w:val="Normal"/>
    <w:semiHidden/>
    <w:rsid w:val="00E74E9E"/>
    <w:pPr>
      <w:spacing w:before="240" w:after="60"/>
      <w:outlineLvl w:val="5"/>
    </w:pPr>
    <w:rPr>
      <w:b/>
      <w:bCs/>
      <w:sz w:val="22"/>
    </w:rPr>
  </w:style>
  <w:style w:type="paragraph" w:styleId="Heading7">
    <w:name w:val="heading 7"/>
    <w:basedOn w:val="Normal"/>
    <w:next w:val="Normal"/>
    <w:semiHidden/>
    <w:rsid w:val="00E74E9E"/>
    <w:pPr>
      <w:spacing w:before="240" w:after="60"/>
      <w:outlineLvl w:val="6"/>
    </w:pPr>
    <w:rPr>
      <w:sz w:val="24"/>
      <w:szCs w:val="24"/>
    </w:rPr>
  </w:style>
  <w:style w:type="paragraph" w:styleId="Heading8">
    <w:name w:val="heading 8"/>
    <w:basedOn w:val="Normal"/>
    <w:next w:val="Normal"/>
    <w:semiHidden/>
    <w:rsid w:val="00E74E9E"/>
    <w:pPr>
      <w:spacing w:before="240" w:after="60"/>
      <w:outlineLvl w:val="7"/>
    </w:pPr>
    <w:rPr>
      <w:i/>
      <w:iCs/>
      <w:sz w:val="24"/>
      <w:szCs w:val="24"/>
    </w:rPr>
  </w:style>
  <w:style w:type="paragraph" w:styleId="Heading9">
    <w:name w:val="heading 9"/>
    <w:basedOn w:val="Normal"/>
    <w:next w:val="Normal"/>
    <w:semiHidden/>
    <w:rsid w:val="00E74E9E"/>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E74E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41453E"/>
    <w:rPr>
      <w:rFonts w:ascii="Tahoma" w:eastAsiaTheme="minorHAnsi" w:hAnsi="Tahoma" w:cs="Tahoma"/>
      <w:sz w:val="16"/>
      <w:szCs w:val="16"/>
      <w:lang w:val="ru-RU" w:eastAsia="en-US"/>
    </w:rPr>
  </w:style>
  <w:style w:type="paragraph" w:customStyle="1" w:styleId="HMG">
    <w:name w:val="_ H __M_G"/>
    <w:basedOn w:val="Normal"/>
    <w:next w:val="Normal"/>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41453E"/>
    <w:pPr>
      <w:spacing w:after="120"/>
      <w:ind w:left="1134" w:right="1134"/>
      <w:jc w:val="both"/>
    </w:pPr>
    <w:rPr>
      <w:rFonts w:eastAsia="Times New Roman" w:cs="Times New Roman"/>
      <w:szCs w:val="20"/>
    </w:rPr>
  </w:style>
  <w:style w:type="paragraph" w:customStyle="1" w:styleId="SLG">
    <w:name w:val="__S_L_G"/>
    <w:basedOn w:val="Normal"/>
    <w:next w:val="Normal"/>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BB7B85"/>
    <w:rPr>
      <w:b/>
      <w:sz w:val="18"/>
      <w:lang w:val="en-GB" w:eastAsia="ru-RU"/>
    </w:rPr>
  </w:style>
  <w:style w:type="character" w:styleId="PageNumber">
    <w:name w:val="page number"/>
    <w:aliases w:val="7_G"/>
    <w:basedOn w:val="DefaultParagraphFont"/>
    <w:qFormat/>
    <w:rsid w:val="00BB7B85"/>
    <w:rPr>
      <w:rFonts w:ascii="Times New Roman" w:hAnsi="Times New Roman"/>
      <w:b/>
      <w:sz w:val="18"/>
    </w:rPr>
  </w:style>
  <w:style w:type="paragraph" w:styleId="Footer">
    <w:name w:val="footer"/>
    <w:aliases w:val="3_G"/>
    <w:basedOn w:val="Normal"/>
    <w:link w:val="FooterChar"/>
    <w:qFormat/>
    <w:rsid w:val="00BB7B85"/>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BB7B85"/>
    <w:rPr>
      <w:sz w:val="16"/>
      <w:lang w:val="en-GB" w:eastAsia="ru-RU"/>
    </w:rPr>
  </w:style>
  <w:style w:type="character" w:styleId="FootnoteReference">
    <w:name w:val="footnote reference"/>
    <w:aliases w:val="4_G"/>
    <w:basedOn w:val="DefaultParagraphFont"/>
    <w:qFormat/>
    <w:rsid w:val="00BB7B85"/>
    <w:rPr>
      <w:rFonts w:ascii="Times New Roman" w:hAnsi="Times New Roman"/>
      <w:dstrike w:val="0"/>
      <w:sz w:val="18"/>
      <w:vertAlign w:val="superscript"/>
    </w:rPr>
  </w:style>
  <w:style w:type="character" w:styleId="EndnoteReference">
    <w:name w:val="endnote reference"/>
    <w:aliases w:val="1_G"/>
    <w:basedOn w:val="FootnoteReference"/>
    <w:qFormat/>
    <w:rsid w:val="00BB7B85"/>
    <w:rPr>
      <w:rFonts w:ascii="Times New Roman" w:hAnsi="Times New Roman"/>
      <w:dstrike w:val="0"/>
      <w:sz w:val="18"/>
      <w:vertAlign w:val="superscript"/>
    </w:rPr>
  </w:style>
  <w:style w:type="table" w:styleId="TableGrid">
    <w:name w:val="Table Grid"/>
    <w:basedOn w:val="TableNormal"/>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5_G_6,5_GR"/>
    <w:basedOn w:val="Normal"/>
    <w:link w:val="FootnoteTextChar"/>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PP Char,5_G_6 Char,5_GR Char"/>
    <w:basedOn w:val="DefaultParagraphFont"/>
    <w:link w:val="FootnoteText"/>
    <w:rsid w:val="00BB7B85"/>
    <w:rPr>
      <w:sz w:val="18"/>
      <w:lang w:val="ru-RU" w:eastAsia="ru-RU"/>
    </w:rPr>
  </w:style>
  <w:style w:type="paragraph" w:styleId="EndnoteText">
    <w:name w:val="endnote text"/>
    <w:aliases w:val="2_G"/>
    <w:basedOn w:val="FootnoteText"/>
    <w:link w:val="EndnoteTextChar"/>
    <w:qFormat/>
    <w:rsid w:val="00BB7B85"/>
  </w:style>
  <w:style w:type="character" w:customStyle="1" w:styleId="EndnoteTextChar">
    <w:name w:val="Endnote Text Char"/>
    <w:aliases w:val="2_G Char"/>
    <w:basedOn w:val="DefaultParagraphFont"/>
    <w:link w:val="EndnoteText"/>
    <w:rsid w:val="00BB7B85"/>
    <w:rPr>
      <w:sz w:val="18"/>
      <w:lang w:val="ru-RU" w:eastAsia="ru-RU"/>
    </w:rPr>
  </w:style>
  <w:style w:type="character" w:customStyle="1" w:styleId="Heading1Char">
    <w:name w:val="Heading 1 Char"/>
    <w:aliases w:val="Table_G Char"/>
    <w:basedOn w:val="DefaultParagraphFont"/>
    <w:link w:val="Heading1"/>
    <w:rsid w:val="00BB7B85"/>
    <w:rPr>
      <w:rFonts w:cs="Arial"/>
      <w:b/>
      <w:bCs/>
      <w:szCs w:val="32"/>
      <w:lang w:val="ru-RU" w:eastAsia="ru-RU"/>
    </w:rPr>
  </w:style>
  <w:style w:type="character" w:styleId="FollowedHyperlink">
    <w:name w:val="FollowedHyperlink"/>
    <w:basedOn w:val="DefaultParagraphFont"/>
    <w:rsid w:val="00BB7B85"/>
    <w:rPr>
      <w:color w:val="800080" w:themeColor="followedHyperlink"/>
      <w:u w:val="none"/>
    </w:rPr>
  </w:style>
  <w:style w:type="character" w:styleId="Hyperlink">
    <w:name w:val="Hyperlink"/>
    <w:basedOn w:val="DefaultParagraphFont"/>
    <w:rsid w:val="00BB7B85"/>
    <w:rPr>
      <w:color w:val="0000FF" w:themeColor="hyperlink"/>
      <w:u w:val="none"/>
    </w:rPr>
  </w:style>
  <w:style w:type="character" w:customStyle="1" w:styleId="SingleTxtGChar">
    <w:name w:val="_ Single Txt_G Char"/>
    <w:link w:val="SingleTxtG"/>
    <w:qFormat/>
    <w:rsid w:val="00956E6A"/>
    <w:rPr>
      <w:lang w:val="ru-RU" w:eastAsia="en-US"/>
    </w:rPr>
  </w:style>
  <w:style w:type="character" w:customStyle="1" w:styleId="HChGChar">
    <w:name w:val="_ H _Ch_G Char"/>
    <w:link w:val="HChG"/>
    <w:rsid w:val="00956E6A"/>
    <w:rPr>
      <w:b/>
      <w:sz w:val="28"/>
      <w:lang w:val="ru-RU" w:eastAsia="ru-RU"/>
    </w:rPr>
  </w:style>
  <w:style w:type="character" w:customStyle="1" w:styleId="H1GChar">
    <w:name w:val="_ H_1_G Char"/>
    <w:link w:val="H1G"/>
    <w:rsid w:val="00956E6A"/>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7097</Characters>
  <Application>Microsoft Office Word</Application>
  <DocSecurity>0</DocSecurity>
  <Lines>59</Lines>
  <Paragraphs>16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E/ECE/324/Rev.2/Add.109/Rev.5/Amend.2</vt:lpstr>
      <vt:lpstr>E/ECE/324/Rev.2/Add.109/Rev.5/Amend.2</vt:lpstr>
      <vt:lpstr>A/</vt:lpstr>
    </vt:vector>
  </TitlesOfParts>
  <Company>DCM</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E/ECE/324/Rev.2/Add.109/Rev.5/Amend.2</dc:title>
  <dc:creator>Olga OVTCHINNIKOVA</dc:creator>
  <cp:keywords>E/ECE/TRANS/505/Rev.2/Add.109/Rev.5/Amend.2</cp:keywords>
  <cp:lastModifiedBy>Lucille Caillot</cp:lastModifiedBy>
  <cp:revision>2</cp:revision>
  <cp:lastPrinted>2019-12-06T08:57:00Z</cp:lastPrinted>
  <dcterms:created xsi:type="dcterms:W3CDTF">2020-01-09T09:30:00Z</dcterms:created>
  <dcterms:modified xsi:type="dcterms:W3CDTF">2020-01-09T09:30:00Z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