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6571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717" w:rsidRPr="00F65717" w:rsidRDefault="00F65717" w:rsidP="00F6571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F65717">
              <w:rPr>
                <w:sz w:val="40"/>
                <w:lang w:val="en-US"/>
              </w:rPr>
              <w:t>E</w:t>
            </w:r>
            <w:r w:rsidRPr="00F65717">
              <w:rPr>
                <w:lang w:val="en-US"/>
              </w:rPr>
              <w:t>/ECE/324/Rev.2/Add.105/Rev.2/Amend.7−</w:t>
            </w:r>
            <w:r w:rsidRPr="00F65717">
              <w:rPr>
                <w:sz w:val="40"/>
                <w:lang w:val="en-US"/>
              </w:rPr>
              <w:t>E</w:t>
            </w:r>
            <w:r w:rsidRPr="00F65717">
              <w:rPr>
                <w:lang w:val="en-US"/>
              </w:rPr>
              <w:t>/ECE/TRANS/505/Rev.2/Add.105/Rev.2/Amend.7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6571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65717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F65717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F65717" w:rsidRPr="00F65717">
        <w:rPr>
          <w:bCs/>
          <w:lang w:val="fr-FR"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974B52">
        <w:rPr>
          <w:bCs/>
          <w:lang w:val="fr-FR"/>
        </w:rPr>
        <w:br/>
      </w:r>
      <w:r w:rsidR="00F65717" w:rsidRPr="00F65717">
        <w:rPr>
          <w:bCs/>
          <w:lang w:val="fr-FR"/>
        </w:rPr>
        <w:t>et les conditions de reconnaissance réciproque des homologations délivrées conformément à ces Règlements</w:t>
      </w:r>
      <w:r w:rsidR="00442E31" w:rsidRPr="00F6571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A6748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A6748" w:rsidRPr="002A6748">
        <w:rPr>
          <w:lang w:val="fr-FR"/>
        </w:rPr>
        <w:t>3, comprenant les amendements entrés en vigueur le 14 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A6748">
        <w:t>105 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A6748">
        <w:t>106</w:t>
      </w:r>
    </w:p>
    <w:p w:rsidR="00421A10" w:rsidRPr="006549FF" w:rsidRDefault="0029791D" w:rsidP="002A6748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A6748" w:rsidRPr="002A6748">
        <w:rPr>
          <w:bCs/>
          <w:lang w:val="fr-FR"/>
        </w:rPr>
        <w:t>2 − Amendement 7</w:t>
      </w:r>
    </w:p>
    <w:p w:rsidR="00421A10" w:rsidRPr="004A7E44" w:rsidRDefault="002A6748" w:rsidP="002A6748">
      <w:pPr>
        <w:pStyle w:val="SingleTxtG"/>
        <w:spacing w:after="0"/>
      </w:pPr>
      <w:r w:rsidRPr="002A6748">
        <w:rPr>
          <w:lang w:val="fr-FR"/>
        </w:rPr>
        <w:t>Complément 17 à la version originale du Règlement − Date d’entrée en vigueur</w:t>
      </w:r>
      <w:r>
        <w:rPr>
          <w:lang w:val="fr-FR"/>
        </w:rPr>
        <w:t> </w:t>
      </w:r>
      <w:r w:rsidRPr="002A6748">
        <w:rPr>
          <w:lang w:val="fr-FR"/>
        </w:rPr>
        <w:t>: 15</w:t>
      </w:r>
      <w:r>
        <w:rPr>
          <w:lang w:val="fr-FR"/>
        </w:rPr>
        <w:t> </w:t>
      </w:r>
      <w:r w:rsidRPr="002A6748">
        <w:rPr>
          <w:lang w:val="fr-FR"/>
        </w:rPr>
        <w:t>octobre 2019</w:t>
      </w:r>
    </w:p>
    <w:p w:rsidR="00421A10" w:rsidRDefault="0029791D" w:rsidP="002A6748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2A6748" w:rsidRPr="002A6748">
        <w:rPr>
          <w:lang w:val="fr-FR"/>
        </w:rPr>
        <w:t>concernant l’homologation des p</w:t>
      </w:r>
      <w:r w:rsidR="002A6748" w:rsidRPr="002A6748">
        <w:rPr>
          <w:bCs/>
          <w:lang w:val="fr-FR"/>
        </w:rPr>
        <w:t>neumatiques pour véhicules agricoles et leurs remorques</w:t>
      </w:r>
    </w:p>
    <w:p w:rsidR="00F65717" w:rsidRDefault="002A6748" w:rsidP="002A6748">
      <w:pPr>
        <w:pStyle w:val="SingleTxtG"/>
      </w:pPr>
      <w:r>
        <w:rPr>
          <w:lang w:val="fr-FR"/>
        </w:rPr>
        <w:tab/>
      </w:r>
      <w:r w:rsidRPr="002A6748">
        <w:rPr>
          <w:lang w:val="fr-FR"/>
        </w:rPr>
        <w:t>Le présent document est communiqué uniquement à titre d’information. Le texte authentique, juridiquement contraignant, est celui du document ECE/TRANS/WP.29/</w:t>
      </w:r>
      <w:r>
        <w:rPr>
          <w:lang w:val="fr-FR"/>
        </w:rPr>
        <w:br/>
      </w:r>
      <w:r w:rsidRPr="002A6748">
        <w:rPr>
          <w:lang w:val="fr-FR"/>
        </w:rPr>
        <w:t>2019/5.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A6748" w:rsidRPr="00EE2058" w:rsidRDefault="002A6748" w:rsidP="002A6748">
      <w:pPr>
        <w:pStyle w:val="HChG"/>
        <w:rPr>
          <w:lang w:val="fr-FR"/>
        </w:rPr>
      </w:pPr>
      <w:r>
        <w:br w:type="page"/>
      </w:r>
      <w:r w:rsidRPr="00EE2058">
        <w:rPr>
          <w:lang w:val="fr-FR"/>
        </w:rPr>
        <w:lastRenderedPageBreak/>
        <w:tab/>
      </w:r>
      <w:bookmarkStart w:id="1" w:name="_Toc473483449"/>
      <w:r w:rsidRPr="00EE2058">
        <w:rPr>
          <w:lang w:val="fr-FR"/>
        </w:rPr>
        <w:tab/>
      </w:r>
      <w:bookmarkEnd w:id="1"/>
      <w:r>
        <w:rPr>
          <w:lang w:val="fr-FR"/>
        </w:rPr>
        <w:t xml:space="preserve">Complément 17 à la version originale du Règlement ONU </w:t>
      </w:r>
      <w:r w:rsidRPr="007363E1">
        <w:rPr>
          <w:rFonts w:eastAsia="MS Mincho"/>
          <w:szCs w:val="22"/>
          <w:lang w:val="fr-FR"/>
        </w:rPr>
        <w:t>n</w:t>
      </w:r>
      <w:r w:rsidRPr="007363E1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106 (Pneumatiques pour véhicules agricoles </w:t>
      </w:r>
      <w:r w:rsidR="00105AA1">
        <w:rPr>
          <w:lang w:val="fr-FR"/>
        </w:rPr>
        <w:br/>
      </w:r>
      <w:r>
        <w:rPr>
          <w:lang w:val="fr-FR"/>
        </w:rPr>
        <w:t>et leurs remorques)</w:t>
      </w:r>
    </w:p>
    <w:p w:rsidR="002A6748" w:rsidRPr="00EE2058" w:rsidRDefault="002A6748" w:rsidP="002A6748">
      <w:pPr>
        <w:pStyle w:val="SingleTxtG"/>
        <w:rPr>
          <w:bCs/>
          <w:lang w:val="fr-FR"/>
        </w:rPr>
      </w:pPr>
      <w:r w:rsidRPr="007363E1">
        <w:rPr>
          <w:i/>
          <w:lang w:val="fr-FR"/>
        </w:rPr>
        <w:t>Paragraphe 1</w:t>
      </w:r>
      <w:r>
        <w:rPr>
          <w:lang w:val="fr-FR"/>
        </w:rPr>
        <w:t>, lire :</w:t>
      </w:r>
    </w:p>
    <w:p w:rsidR="002A6748" w:rsidRPr="00EE2058" w:rsidRDefault="002A6748" w:rsidP="002A6748">
      <w:pPr>
        <w:pStyle w:val="SingleTxtG"/>
        <w:ind w:left="2268" w:hanging="1134"/>
        <w:rPr>
          <w:lang w:val="fr-FR"/>
        </w:rPr>
      </w:pPr>
      <w:r w:rsidRPr="0049472E">
        <w:rPr>
          <w:lang w:val="fr-FR"/>
        </w:rPr>
        <w:t>« </w:t>
      </w:r>
      <w:r w:rsidRPr="004978BF">
        <w:rPr>
          <w:lang w:val="fr-FR"/>
        </w:rPr>
        <w:t>1.</w:t>
      </w:r>
      <w:r w:rsidRPr="004978BF">
        <w:rPr>
          <w:lang w:val="fr-FR"/>
        </w:rPr>
        <w:tab/>
        <w:t>Domaine d’application</w:t>
      </w:r>
    </w:p>
    <w:p w:rsidR="002A6748" w:rsidRPr="00EE2058" w:rsidRDefault="002A6748" w:rsidP="002A6748">
      <w:pPr>
        <w:pStyle w:val="SingleTxtG"/>
        <w:ind w:left="2268" w:hanging="1134"/>
        <w:rPr>
          <w:bCs/>
          <w:lang w:val="fr-FR"/>
        </w:rPr>
      </w:pPr>
      <w:r w:rsidRPr="004978BF">
        <w:rPr>
          <w:lang w:val="fr-FR"/>
        </w:rPr>
        <w:t>1.1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 présent Règlement ONU s’applique aux pneumatiques neufs conçus principalement, mais pas exclusivement, pour les véhicules agricoles et forestiers des catégories T, R et S</w:t>
      </w:r>
      <w:r w:rsidRPr="004978BF">
        <w:rPr>
          <w:bCs/>
          <w:vertAlign w:val="superscript"/>
          <w:lang w:val="fr-FR"/>
        </w:rPr>
        <w:t>1</w:t>
      </w:r>
      <w:r w:rsidRPr="004978BF">
        <w:rPr>
          <w:bCs/>
          <w:lang w:val="fr-FR"/>
        </w:rPr>
        <w:t>.</w:t>
      </w:r>
      <w:r w:rsidRPr="0049472E">
        <w:rPr>
          <w:lang w:val="fr-FR"/>
        </w:rPr>
        <w:t xml:space="preserve"> </w:t>
      </w:r>
    </w:p>
    <w:p w:rsidR="002A6748" w:rsidRPr="00EE2058" w:rsidRDefault="002A6748" w:rsidP="002A6748">
      <w:pPr>
        <w:pStyle w:val="SingleTxtG"/>
        <w:ind w:left="2268" w:hanging="1134"/>
        <w:rPr>
          <w:bCs/>
          <w:lang w:val="fr-FR"/>
        </w:rPr>
      </w:pPr>
      <w:r w:rsidRPr="004978BF">
        <w:rPr>
          <w:lang w:val="fr-FR"/>
        </w:rPr>
        <w:t>1.2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 présent Règlement ONU ne s’applique pas aux pneumatiques suivants :</w:t>
      </w:r>
      <w:r w:rsidRPr="0049472E">
        <w:rPr>
          <w:lang w:val="fr-FR"/>
        </w:rPr>
        <w:t xml:space="preserve"> </w:t>
      </w:r>
    </w:p>
    <w:p w:rsidR="002A6748" w:rsidRPr="00EE2058" w:rsidRDefault="002A6748" w:rsidP="002A6748">
      <w:pPr>
        <w:pStyle w:val="SingleTxtG"/>
        <w:ind w:left="2268" w:hanging="1134"/>
        <w:rPr>
          <w:bCs/>
          <w:lang w:val="fr-FR"/>
        </w:rPr>
      </w:pPr>
      <w:r w:rsidRPr="004978BF">
        <w:rPr>
          <w:lang w:val="fr-FR"/>
        </w:rPr>
        <w:t>1.2.1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Pneumatiques portant des symboles de catégorie de vitesse correspondant à des vitesses supérieures à 65 km/h (c’est-à-dire, des symboles de catégorie de vitesse supérieurs à “D”</w:t>
      </w:r>
      <w:r>
        <w:rPr>
          <w:bCs/>
          <w:lang w:val="fr-FR"/>
        </w:rPr>
        <w:t>)</w:t>
      </w:r>
      <w:r w:rsidRPr="004978BF">
        <w:rPr>
          <w:bCs/>
          <w:lang w:val="fr-FR"/>
        </w:rPr>
        <w:t>.</w:t>
      </w:r>
    </w:p>
    <w:p w:rsidR="002A6748" w:rsidRPr="00EE2058" w:rsidRDefault="002A6748" w:rsidP="002A6748">
      <w:pPr>
        <w:pStyle w:val="SingleTxtG"/>
        <w:ind w:left="2268" w:hanging="1134"/>
        <w:rPr>
          <w:bCs/>
          <w:lang w:val="fr-FR"/>
        </w:rPr>
      </w:pPr>
      <w:r w:rsidRPr="004978BF">
        <w:rPr>
          <w:lang w:val="fr-FR"/>
        </w:rPr>
        <w:t>1.2.2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Pneumatiques principalement conçus pour d’autres usages, tels que :</w:t>
      </w:r>
    </w:p>
    <w:p w:rsidR="002A6748" w:rsidRPr="00EE2058" w:rsidRDefault="002A6748" w:rsidP="00105AA1">
      <w:pPr>
        <w:pStyle w:val="SingleTxtG"/>
        <w:ind w:left="2835" w:hanging="567"/>
        <w:rPr>
          <w:bCs/>
          <w:lang w:val="fr-FR"/>
        </w:rPr>
      </w:pPr>
      <w:r w:rsidRPr="004978BF">
        <w:rPr>
          <w:bCs/>
          <w:lang w:val="fr-FR"/>
        </w:rPr>
        <w:t>a)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Les engins de génie civil ;</w:t>
      </w:r>
    </w:p>
    <w:p w:rsidR="002A6748" w:rsidRPr="004978BF" w:rsidRDefault="002A6748" w:rsidP="00105AA1">
      <w:pPr>
        <w:pStyle w:val="SingleTxtG"/>
        <w:ind w:left="2835" w:hanging="567"/>
        <w:rPr>
          <w:bCs/>
          <w:lang w:val="fr-FR"/>
        </w:rPr>
      </w:pPr>
      <w:r w:rsidRPr="004978BF">
        <w:rPr>
          <w:bCs/>
          <w:lang w:val="fr-FR"/>
        </w:rPr>
        <w:t>b)</w:t>
      </w:r>
      <w:r w:rsidRPr="0049472E">
        <w:rPr>
          <w:lang w:val="fr-FR"/>
        </w:rPr>
        <w:tab/>
      </w:r>
      <w:r w:rsidRPr="004978BF">
        <w:rPr>
          <w:bCs/>
          <w:lang w:val="fr-FR"/>
        </w:rPr>
        <w:t>Les engins de manutention et les chariots élévateurs. ».</w:t>
      </w:r>
    </w:p>
    <w:p w:rsidR="002A6748" w:rsidRPr="00EE2058" w:rsidRDefault="002A6748" w:rsidP="002A6748">
      <w:pPr>
        <w:pStyle w:val="SingleTxtG"/>
        <w:ind w:left="2268" w:hanging="1134"/>
        <w:rPr>
          <w:iCs/>
          <w:lang w:val="fr-FR"/>
        </w:rPr>
      </w:pPr>
      <w:r>
        <w:rPr>
          <w:i/>
          <w:iCs/>
          <w:lang w:val="fr-FR"/>
        </w:rPr>
        <w:t>Le paragraphe 3.1.9.2</w:t>
      </w:r>
      <w:r>
        <w:rPr>
          <w:lang w:val="fr-FR"/>
        </w:rPr>
        <w:t xml:space="preserve"> devient le paragraphe 3.1.10.1 et se lit comme suit :</w:t>
      </w:r>
    </w:p>
    <w:p w:rsidR="002A6748" w:rsidRPr="00EE2058" w:rsidRDefault="002A6748" w:rsidP="002A674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3.1.</w:t>
      </w:r>
      <w:r w:rsidRPr="004978BF">
        <w:rPr>
          <w:bCs/>
          <w:lang w:val="fr-FR"/>
        </w:rPr>
        <w:t>10.1</w:t>
      </w:r>
      <w:r>
        <w:rPr>
          <w:lang w:val="fr-FR"/>
        </w:rPr>
        <w:tab/>
        <w:t>L’inscription “I-3” pour les pneumatiques pour machines agricoles de type “traction”, comme indiqué à l’annexe 5, tableaux 5 et 6. ».</w:t>
      </w:r>
    </w:p>
    <w:p w:rsidR="002A6748" w:rsidRPr="00EE2058" w:rsidRDefault="002A6748" w:rsidP="002A6748">
      <w:pPr>
        <w:pStyle w:val="SingleTxtG"/>
        <w:jc w:val="left"/>
        <w:rPr>
          <w:lang w:val="fr-FR"/>
        </w:rPr>
      </w:pPr>
      <w:r w:rsidRPr="007363E1">
        <w:rPr>
          <w:i/>
          <w:lang w:val="fr-FR"/>
        </w:rPr>
        <w:t>Annexe</w:t>
      </w:r>
      <w:r>
        <w:rPr>
          <w:i/>
          <w:iCs/>
          <w:lang w:val="fr-FR"/>
        </w:rPr>
        <w:t xml:space="preserve"> 5, </w:t>
      </w:r>
      <w:r>
        <w:rPr>
          <w:i/>
          <w:iCs/>
          <w:lang w:val="fr-FR"/>
        </w:rPr>
        <w:br/>
      </w:r>
      <w:r w:rsidRPr="007363E1">
        <w:rPr>
          <w:i/>
          <w:lang w:val="fr-FR"/>
        </w:rPr>
        <w:t>Tableau</w:t>
      </w:r>
      <w:r>
        <w:rPr>
          <w:i/>
          <w:iCs/>
          <w:lang w:val="fr-FR"/>
        </w:rPr>
        <w:t xml:space="preserve"> 5, note 3</w:t>
      </w:r>
      <w:r w:rsidRPr="00B86F48">
        <w:rPr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lire :</w:t>
      </w:r>
    </w:p>
    <w:p w:rsidR="002A6748" w:rsidRPr="00EE2058" w:rsidRDefault="002A6748" w:rsidP="002A6748">
      <w:pPr>
        <w:pStyle w:val="SingleTxtG"/>
        <w:ind w:left="2268" w:hanging="1134"/>
        <w:rPr>
          <w:sz w:val="18"/>
          <w:szCs w:val="18"/>
          <w:lang w:val="fr-FR"/>
        </w:rPr>
      </w:pPr>
      <w:r>
        <w:rPr>
          <w:lang w:val="fr-FR"/>
        </w:rPr>
        <w:t>« 3.</w:t>
      </w:r>
      <w:r>
        <w:rPr>
          <w:lang w:val="fr-FR"/>
        </w:rPr>
        <w:tab/>
        <w:t>Les diamètres hors tout (D) figurant dans la colonne (*) concernent les pneumatiques portant le code de classification “I-3” − (voir par. </w:t>
      </w:r>
      <w:r w:rsidRPr="005B3BF3">
        <w:rPr>
          <w:lang w:val="fr-FR"/>
        </w:rPr>
        <w:t>3.1.</w:t>
      </w:r>
      <w:r w:rsidRPr="004978BF">
        <w:rPr>
          <w:bCs/>
          <w:lang w:val="fr-FR"/>
        </w:rPr>
        <w:t>10.1</w:t>
      </w:r>
      <w:r>
        <w:rPr>
          <w:lang w:val="fr-FR"/>
        </w:rPr>
        <w:t xml:space="preserve"> du présent Règlement). ».</w:t>
      </w:r>
    </w:p>
    <w:p w:rsidR="002A6748" w:rsidRPr="00EE2058" w:rsidRDefault="002A6748" w:rsidP="002A6748">
      <w:pPr>
        <w:pStyle w:val="SingleTxtG"/>
        <w:rPr>
          <w:lang w:val="fr-FR"/>
        </w:rPr>
      </w:pPr>
      <w:r w:rsidRPr="007363E1">
        <w:rPr>
          <w:i/>
          <w:lang w:val="fr-FR"/>
        </w:rPr>
        <w:t>Tableau</w:t>
      </w:r>
      <w:r>
        <w:rPr>
          <w:i/>
          <w:iCs/>
          <w:lang w:val="fr-FR"/>
        </w:rPr>
        <w:t xml:space="preserve"> 6, note 3</w:t>
      </w:r>
      <w:r w:rsidRPr="00B86F48">
        <w:rPr>
          <w:iCs/>
          <w:lang w:val="fr-FR"/>
        </w:rPr>
        <w:t>,</w:t>
      </w:r>
      <w:r>
        <w:rPr>
          <w:lang w:val="fr-FR"/>
        </w:rPr>
        <w:t xml:space="preserve"> lire :</w:t>
      </w:r>
    </w:p>
    <w:p w:rsidR="002A6748" w:rsidRPr="00EE2058" w:rsidRDefault="002A6748" w:rsidP="002A6748">
      <w:pPr>
        <w:pStyle w:val="SingleTxtG"/>
        <w:ind w:left="2268" w:hanging="1134"/>
        <w:rPr>
          <w:sz w:val="18"/>
          <w:szCs w:val="18"/>
          <w:lang w:val="fr-FR"/>
        </w:rPr>
      </w:pPr>
      <w:r>
        <w:rPr>
          <w:lang w:val="fr-FR"/>
        </w:rPr>
        <w:t>« 3.</w:t>
      </w:r>
      <w:r>
        <w:rPr>
          <w:lang w:val="fr-FR"/>
        </w:rPr>
        <w:tab/>
        <w:t xml:space="preserve">Les </w:t>
      </w:r>
      <w:r w:rsidRPr="007363E1">
        <w:rPr>
          <w:bCs/>
          <w:lang w:val="fr-FR"/>
        </w:rPr>
        <w:t>diamètres</w:t>
      </w:r>
      <w:r>
        <w:rPr>
          <w:lang w:val="fr-FR"/>
        </w:rPr>
        <w:t xml:space="preserve"> hors tout (D) figurant dans la colonne (*) concernent les pneumatiques portant le code de classification “I-3” − (voir par. </w:t>
      </w:r>
      <w:r w:rsidRPr="005B3BF3">
        <w:rPr>
          <w:lang w:val="fr-FR"/>
        </w:rPr>
        <w:t>3.1</w:t>
      </w:r>
      <w:r>
        <w:rPr>
          <w:lang w:val="fr-FR"/>
        </w:rPr>
        <w:t>.</w:t>
      </w:r>
      <w:r w:rsidRPr="004978BF">
        <w:rPr>
          <w:bCs/>
          <w:lang w:val="fr-FR"/>
        </w:rPr>
        <w:t>10.1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du présent Règlement). ».</w:t>
      </w:r>
    </w:p>
    <w:p w:rsidR="002A6748" w:rsidRDefault="002A6748" w:rsidP="002A6748">
      <w:pPr>
        <w:pStyle w:val="SingleTxtG"/>
        <w:rPr>
          <w:lang w:val="fr-FR"/>
        </w:rPr>
      </w:pPr>
      <w:r w:rsidRPr="007363E1">
        <w:rPr>
          <w:i/>
          <w:lang w:val="fr-FR"/>
        </w:rPr>
        <w:t>Tableau</w:t>
      </w:r>
      <w:r>
        <w:rPr>
          <w:i/>
          <w:iCs/>
          <w:lang w:val="fr-FR"/>
        </w:rPr>
        <w:t xml:space="preserve"> 7 (3 de 4)</w:t>
      </w:r>
      <w:r>
        <w:rPr>
          <w:lang w:val="fr-FR"/>
        </w:rPr>
        <w:t>, lire :</w:t>
      </w:r>
    </w:p>
    <w:p w:rsidR="002A6748" w:rsidRDefault="002A6748" w:rsidP="002A6748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2A6748" w:rsidTr="00974B52">
        <w:tc>
          <w:tcPr>
            <w:tcW w:w="1701" w:type="dxa"/>
            <w:vAlign w:val="bottom"/>
          </w:tcPr>
          <w:p w:rsidR="002A6748" w:rsidRPr="00EE2058" w:rsidRDefault="002A6748" w:rsidP="002B4941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D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ésignation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la dimension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du pneumatique</w:t>
            </w:r>
            <w:r w:rsidRPr="00121E5E">
              <w:rPr>
                <w:b/>
                <w:i/>
                <w:iCs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701" w:type="dxa"/>
            <w:vAlign w:val="bottom"/>
          </w:tcPr>
          <w:p w:rsidR="002A6748" w:rsidRPr="00EE2058" w:rsidRDefault="002A6748" w:rsidP="002B494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Code de la largeur théorique de la jante (A1)</w:t>
            </w:r>
          </w:p>
        </w:tc>
        <w:tc>
          <w:tcPr>
            <w:tcW w:w="1701" w:type="dxa"/>
            <w:vAlign w:val="bottom"/>
          </w:tcPr>
          <w:p w:rsidR="002A6748" w:rsidRPr="00EE2058" w:rsidRDefault="002A6748" w:rsidP="002B4941">
            <w:pPr>
              <w:spacing w:before="80" w:after="80" w:line="200" w:lineRule="exact"/>
              <w:ind w:left="57" w:right="57"/>
              <w:jc w:val="center"/>
              <w:rPr>
                <w:i/>
                <w:w w:val="99"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 xml:space="preserve">Grosseur nominale </w:t>
            </w:r>
            <w:r w:rsidR="00ED0AEC"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 xml:space="preserve">du boudin (S1) </w:t>
            </w:r>
            <w:r w:rsidR="00ED0AEC"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(en mm)</w:t>
            </w:r>
          </w:p>
        </w:tc>
        <w:tc>
          <w:tcPr>
            <w:tcW w:w="1701" w:type="dxa"/>
            <w:vAlign w:val="bottom"/>
          </w:tcPr>
          <w:p w:rsidR="002A6748" w:rsidRPr="00EE2058" w:rsidRDefault="002A6748" w:rsidP="002B4941">
            <w:pPr>
              <w:spacing w:before="80" w:after="80" w:line="200" w:lineRule="exact"/>
              <w:ind w:left="57" w:right="57"/>
              <w:jc w:val="center"/>
              <w:rPr>
                <w:i/>
                <w:w w:val="98"/>
                <w:sz w:val="16"/>
                <w:szCs w:val="16"/>
                <w:lang w:val="fr-FR"/>
              </w:rPr>
            </w:pPr>
            <w:r w:rsidRPr="0026329A">
              <w:rPr>
                <w:i/>
                <w:iCs/>
                <w:sz w:val="16"/>
                <w:szCs w:val="16"/>
                <w:lang w:val="fr-FR"/>
              </w:rPr>
              <w:t>Diamètre hors tout (D) (en mm)</w:t>
            </w:r>
          </w:p>
        </w:tc>
        <w:tc>
          <w:tcPr>
            <w:tcW w:w="1701" w:type="dxa"/>
            <w:vAlign w:val="bottom"/>
          </w:tcPr>
          <w:p w:rsidR="002A6748" w:rsidRPr="0026329A" w:rsidRDefault="002A6748" w:rsidP="002B494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 xml:space="preserve">Diamètre nominal </w:t>
            </w:r>
            <w:r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 xml:space="preserve">de la jante (d) </w:t>
            </w:r>
            <w:r w:rsidR="00ED0AEC">
              <w:rPr>
                <w:i/>
                <w:iCs/>
                <w:sz w:val="16"/>
                <w:szCs w:val="16"/>
                <w:lang w:val="fr-FR"/>
              </w:rPr>
              <w:br/>
            </w:r>
            <w:r w:rsidRPr="0026329A">
              <w:rPr>
                <w:i/>
                <w:iCs/>
                <w:sz w:val="16"/>
                <w:szCs w:val="16"/>
                <w:lang w:val="fr-FR"/>
              </w:rPr>
              <w:t>(en mm)</w:t>
            </w:r>
          </w:p>
        </w:tc>
      </w:tr>
      <w:tr w:rsidR="002A6748" w:rsidTr="00974B52"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</w:tr>
      <w:tr w:rsidR="002A6748" w:rsidTr="00974B52"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rPr>
                <w:i/>
                <w:sz w:val="18"/>
                <w:szCs w:val="18"/>
                <w:u w:val="words"/>
              </w:rPr>
            </w:pPr>
            <w:r w:rsidRPr="00ED0AEC">
              <w:rPr>
                <w:sz w:val="18"/>
                <w:szCs w:val="18"/>
              </w:rPr>
              <w:t>36x16</w:t>
            </w:r>
            <w:r w:rsidRPr="00ED0AEC">
              <w:rPr>
                <w:sz w:val="18"/>
                <w:szCs w:val="18"/>
                <w:lang w:val="fr-FR"/>
              </w:rPr>
              <w:t>-17</w:t>
            </w:r>
            <w:r w:rsidR="00ED0AEC">
              <w:rPr>
                <w:sz w:val="18"/>
                <w:szCs w:val="18"/>
                <w:lang w:val="fr-FR"/>
              </w:rPr>
              <w:t>,</w:t>
            </w:r>
            <w:r w:rsidRPr="00ED0AEC">
              <w:rPr>
                <w:sz w:val="18"/>
                <w:szCs w:val="18"/>
                <w:lang w:val="fr-FR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10,5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406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914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445</w:t>
            </w:r>
          </w:p>
        </w:tc>
      </w:tr>
      <w:tr w:rsidR="002A6748" w:rsidTr="00974B52"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  <w:tc>
          <w:tcPr>
            <w:tcW w:w="1701" w:type="dxa"/>
            <w:vAlign w:val="bottom"/>
          </w:tcPr>
          <w:p w:rsidR="002A6748" w:rsidRPr="00ED0AEC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ED0AEC">
              <w:rPr>
                <w:sz w:val="18"/>
                <w:szCs w:val="18"/>
                <w:lang w:val="fr-FR"/>
              </w:rPr>
              <w:t>...</w:t>
            </w:r>
          </w:p>
        </w:tc>
      </w:tr>
    </w:tbl>
    <w:p w:rsidR="002A6748" w:rsidRDefault="002A6748" w:rsidP="002A6748">
      <w:pPr>
        <w:pStyle w:val="SingleTxtG"/>
        <w:spacing w:before="240"/>
        <w:ind w:right="0"/>
        <w:jc w:val="right"/>
        <w:rPr>
          <w:i/>
          <w:lang w:val="fr-FR"/>
        </w:rPr>
      </w:pPr>
      <w:r>
        <w:rPr>
          <w:lang w:val="fr-FR"/>
        </w:rPr>
        <w:t>».</w:t>
      </w:r>
      <w:r>
        <w:rPr>
          <w:i/>
          <w:lang w:val="fr-FR"/>
        </w:rPr>
        <w:t> </w:t>
      </w:r>
    </w:p>
    <w:p w:rsidR="002A6748" w:rsidRDefault="002A6748" w:rsidP="002A6748">
      <w:pPr>
        <w:pStyle w:val="SingleTxtG"/>
        <w:keepNext/>
        <w:keepLines/>
        <w:spacing w:before="240"/>
        <w:rPr>
          <w:lang w:val="fr-FR"/>
        </w:rPr>
      </w:pPr>
      <w:r w:rsidRPr="00516367">
        <w:rPr>
          <w:i/>
          <w:lang w:val="fr-FR"/>
        </w:rPr>
        <w:lastRenderedPageBreak/>
        <w:t>Annexe 7, partie E</w:t>
      </w:r>
      <w:r w:rsidRPr="0026329A">
        <w:rPr>
          <w:lang w:val="fr-FR"/>
        </w:rPr>
        <w:t>,</w:t>
      </w:r>
      <w:r>
        <w:rPr>
          <w:lang w:val="fr-FR"/>
        </w:rPr>
        <w:t xml:space="preserve"> </w:t>
      </w:r>
      <w:r>
        <w:rPr>
          <w:i/>
          <w:lang w:val="fr-FR"/>
        </w:rPr>
        <w:t>tableau</w:t>
      </w:r>
      <w:r>
        <w:rPr>
          <w:lang w:val="fr-FR"/>
        </w:rPr>
        <w:t>, lire :</w:t>
      </w:r>
    </w:p>
    <w:p w:rsidR="002A6748" w:rsidRDefault="002A6748" w:rsidP="002A6748">
      <w:pPr>
        <w:pStyle w:val="SingleTxtG"/>
        <w:keepNext/>
        <w:keepLines/>
        <w:rPr>
          <w:lang w:val="fr-FR"/>
        </w:rPr>
      </w:pPr>
      <w:r>
        <w:rPr>
          <w:lang w:val="fr-FR"/>
        </w:rPr>
        <w:t>« </w:t>
      </w:r>
    </w:p>
    <w:tbl>
      <w:tblPr>
        <w:tblW w:w="8586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8"/>
        <w:gridCol w:w="1418"/>
        <w:gridCol w:w="1499"/>
      </w:tblGrid>
      <w:tr w:rsidR="002A6748" w:rsidRPr="00EF66C3" w:rsidTr="00ED0AEC">
        <w:trPr>
          <w:tblHeader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48" w:rsidRPr="00EE2058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Symbole de catégorie de vitesse</w:t>
            </w:r>
          </w:p>
        </w:tc>
      </w:tr>
      <w:tr w:rsidR="002A6748" w:rsidRPr="00121E5E" w:rsidTr="00FB32A0">
        <w:trPr>
          <w:tblHeader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748" w:rsidRPr="00EE2058" w:rsidRDefault="002A6748" w:rsidP="00FB32A0">
            <w:pPr>
              <w:keepNext/>
              <w:keepLines/>
              <w:ind w:left="57" w:right="57"/>
              <w:rPr>
                <w:bCs/>
                <w:i/>
                <w:sz w:val="16"/>
                <w:szCs w:val="16"/>
                <w:lang w:val="fr-FR"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bCs/>
                <w:i/>
                <w:iCs/>
                <w:sz w:val="16"/>
                <w:szCs w:val="16"/>
                <w:lang w:val="fr-FR"/>
              </w:rPr>
              <w:t>D</w:t>
            </w:r>
          </w:p>
        </w:tc>
      </w:tr>
      <w:tr w:rsidR="002A6748" w:rsidRPr="00121E5E" w:rsidTr="00ED0AEC">
        <w:trPr>
          <w:tblHeader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748" w:rsidRPr="00121E5E" w:rsidRDefault="002A6748" w:rsidP="00FB32A0">
            <w:pPr>
              <w:keepNext/>
              <w:keepLines/>
              <w:ind w:left="57" w:right="57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A6748" w:rsidRPr="00121E5E" w:rsidRDefault="002A6748" w:rsidP="00FB32A0">
            <w:pPr>
              <w:keepNext/>
              <w:keepLines/>
              <w:ind w:left="57" w:right="57"/>
              <w:rPr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Applications cycliques (+)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bCs/>
                <w:i/>
                <w:iCs/>
                <w:sz w:val="16"/>
                <w:szCs w:val="16"/>
                <w:lang w:val="fr-FR"/>
              </w:rPr>
              <w:t xml:space="preserve">Charge </w:t>
            </w:r>
            <w:r w:rsidRPr="00121E5E">
              <w:rPr>
                <w:i/>
                <w:iCs/>
                <w:sz w:val="16"/>
                <w:szCs w:val="16"/>
                <w:lang w:val="fr-FR"/>
              </w:rPr>
              <w:t>constante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A6748" w:rsidRPr="00121E5E" w:rsidRDefault="002A6748" w:rsidP="00FB32A0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121E5E">
              <w:rPr>
                <w:i/>
                <w:iCs/>
                <w:sz w:val="16"/>
                <w:szCs w:val="16"/>
                <w:lang w:val="fr-FR"/>
              </w:rPr>
              <w:t>Applications</w:t>
            </w:r>
            <w:r w:rsidRPr="00121E5E">
              <w:rPr>
                <w:bCs/>
                <w:i/>
                <w:iCs/>
                <w:sz w:val="16"/>
                <w:szCs w:val="16"/>
                <w:lang w:val="fr-FR"/>
              </w:rPr>
              <w:t xml:space="preserve"> cycliques </w:t>
            </w:r>
            <w:r w:rsidRPr="00121E5E">
              <w:rPr>
                <w:i/>
                <w:iCs/>
                <w:sz w:val="16"/>
                <w:szCs w:val="16"/>
                <w:lang w:val="fr-FR"/>
              </w:rPr>
              <w:t>(+)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keepNext/>
              <w:keepLines/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keepNext/>
              <w:keepLines/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keepNext/>
              <w:keepLines/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keepNext/>
              <w:keepLines/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+67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keepNext/>
              <w:keepLines/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keepNext/>
              <w:keepLines/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+92 (1)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+50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+73 (2)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+54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+42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+28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+23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+19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+15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+12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+8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+5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+3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2A6748" w:rsidRPr="00121E5E" w:rsidTr="00ED0AE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rPr>
                <w:bCs/>
                <w:sz w:val="18"/>
                <w:szCs w:val="18"/>
              </w:rPr>
            </w:pPr>
            <w:r w:rsidRPr="00121E5E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121E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-9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8" w:rsidRPr="00121E5E" w:rsidRDefault="002A6748" w:rsidP="002B4941">
            <w:pPr>
              <w:spacing w:before="60" w:after="60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121E5E">
              <w:rPr>
                <w:bCs/>
                <w:sz w:val="18"/>
                <w:szCs w:val="18"/>
                <w:lang w:val="fr-FR"/>
              </w:rPr>
              <w:t>-9</w:t>
            </w:r>
          </w:p>
        </w:tc>
      </w:tr>
    </w:tbl>
    <w:p w:rsidR="002A6748" w:rsidRDefault="002A6748" w:rsidP="002A6748">
      <w:pPr>
        <w:pStyle w:val="SingleTxtG"/>
        <w:spacing w:before="240"/>
        <w:ind w:right="0"/>
        <w:jc w:val="right"/>
        <w:rPr>
          <w:i/>
          <w:lang w:val="fr-FR"/>
        </w:rPr>
      </w:pPr>
      <w:r>
        <w:rPr>
          <w:lang w:val="fr-FR"/>
        </w:rPr>
        <w:t>».</w:t>
      </w:r>
      <w:r>
        <w:rPr>
          <w:i/>
          <w:lang w:val="fr-FR"/>
        </w:rPr>
        <w:t> </w:t>
      </w:r>
    </w:p>
    <w:p w:rsidR="005F0207" w:rsidRPr="002A6748" w:rsidRDefault="002A6748" w:rsidP="002A67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2A6748" w:rsidSect="00F657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20" w:rsidRDefault="004F2520"/>
  </w:endnote>
  <w:endnote w:type="continuationSeparator" w:id="0">
    <w:p w:rsidR="004F2520" w:rsidRDefault="004F2520">
      <w:pPr>
        <w:pStyle w:val="Footer"/>
      </w:pPr>
    </w:p>
  </w:endnote>
  <w:endnote w:type="continuationNotice" w:id="1">
    <w:p w:rsidR="004F2520" w:rsidRPr="00C451B9" w:rsidRDefault="004F252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17" w:rsidRPr="00F65717" w:rsidRDefault="00F65717" w:rsidP="00F65717">
    <w:pPr>
      <w:pStyle w:val="Footer"/>
      <w:tabs>
        <w:tab w:val="right" w:pos="9638"/>
      </w:tabs>
    </w:pPr>
    <w:r w:rsidRPr="00F65717">
      <w:rPr>
        <w:b/>
        <w:sz w:val="18"/>
      </w:rPr>
      <w:fldChar w:fldCharType="begin"/>
    </w:r>
    <w:r w:rsidRPr="00F65717">
      <w:rPr>
        <w:b/>
        <w:sz w:val="18"/>
      </w:rPr>
      <w:instrText xml:space="preserve"> PAGE  \* MERGEFORMAT </w:instrText>
    </w:r>
    <w:r w:rsidRPr="00F65717">
      <w:rPr>
        <w:b/>
        <w:sz w:val="18"/>
      </w:rPr>
      <w:fldChar w:fldCharType="separate"/>
    </w:r>
    <w:r w:rsidRPr="00F65717">
      <w:rPr>
        <w:b/>
        <w:noProof/>
        <w:sz w:val="18"/>
      </w:rPr>
      <w:t>2</w:t>
    </w:r>
    <w:r w:rsidRPr="00F65717">
      <w:rPr>
        <w:b/>
        <w:sz w:val="18"/>
      </w:rPr>
      <w:fldChar w:fldCharType="end"/>
    </w:r>
    <w:r>
      <w:rPr>
        <w:b/>
        <w:sz w:val="18"/>
      </w:rPr>
      <w:tab/>
    </w:r>
    <w:r>
      <w:t>GE.19-19970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17" w:rsidRPr="00F65717" w:rsidRDefault="00F65717" w:rsidP="00F65717">
    <w:pPr>
      <w:pStyle w:val="Footer"/>
      <w:tabs>
        <w:tab w:val="right" w:pos="9638"/>
      </w:tabs>
      <w:rPr>
        <w:b/>
        <w:sz w:val="18"/>
      </w:rPr>
    </w:pPr>
    <w:r>
      <w:t>GE.19-19970</w:t>
    </w:r>
    <w:r>
      <w:tab/>
    </w:r>
    <w:r w:rsidRPr="00F65717">
      <w:rPr>
        <w:b/>
        <w:sz w:val="18"/>
      </w:rPr>
      <w:fldChar w:fldCharType="begin"/>
    </w:r>
    <w:r w:rsidRPr="00F65717">
      <w:rPr>
        <w:b/>
        <w:sz w:val="18"/>
      </w:rPr>
      <w:instrText xml:space="preserve"> PAGE  \* MERGEFORMAT </w:instrText>
    </w:r>
    <w:r w:rsidRPr="00F65717">
      <w:rPr>
        <w:b/>
        <w:sz w:val="18"/>
      </w:rPr>
      <w:fldChar w:fldCharType="separate"/>
    </w:r>
    <w:r w:rsidRPr="00F65717">
      <w:rPr>
        <w:b/>
        <w:noProof/>
        <w:sz w:val="18"/>
      </w:rPr>
      <w:t>3</w:t>
    </w:r>
    <w:r w:rsidRPr="00F657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F65717" w:rsidRDefault="00F65717" w:rsidP="00F6571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19-19970  (F)    311219    311219</w:t>
    </w:r>
    <w:r>
      <w:rPr>
        <w:sz w:val="20"/>
      </w:rPr>
      <w:br/>
    </w:r>
    <w:r w:rsidRPr="00F65717">
      <w:rPr>
        <w:rFonts w:ascii="C39T30Lfz" w:hAnsi="C39T30Lfz"/>
        <w:sz w:val="56"/>
      </w:rPr>
      <w:t></w:t>
    </w:r>
    <w:r w:rsidRPr="00F65717">
      <w:rPr>
        <w:rFonts w:ascii="C39T30Lfz" w:hAnsi="C39T30Lfz"/>
        <w:sz w:val="56"/>
      </w:rPr>
      <w:t></w:t>
    </w:r>
    <w:r w:rsidRPr="00F65717">
      <w:rPr>
        <w:rFonts w:ascii="C39T30Lfz" w:hAnsi="C39T30Lfz"/>
        <w:sz w:val="56"/>
      </w:rPr>
      <w:t></w:t>
    </w:r>
    <w:r w:rsidRPr="00F65717">
      <w:rPr>
        <w:rFonts w:ascii="C39T30Lfz" w:hAnsi="C39T30Lfz"/>
        <w:sz w:val="56"/>
      </w:rPr>
      <w:t></w:t>
    </w:r>
    <w:r w:rsidRPr="00F65717">
      <w:rPr>
        <w:rFonts w:ascii="C39T30Lfz" w:hAnsi="C39T30Lfz"/>
        <w:sz w:val="56"/>
      </w:rPr>
      <w:t></w:t>
    </w:r>
    <w:r w:rsidRPr="00F65717">
      <w:rPr>
        <w:rFonts w:ascii="C39T30Lfz" w:hAnsi="C39T30Lfz"/>
        <w:sz w:val="56"/>
      </w:rPr>
      <w:t></w:t>
    </w:r>
    <w:r w:rsidRPr="00F65717">
      <w:rPr>
        <w:rFonts w:ascii="C39T30Lfz" w:hAnsi="C39T30Lfz"/>
        <w:sz w:val="56"/>
      </w:rPr>
      <w:t></w:t>
    </w:r>
    <w:r w:rsidRPr="00F65717">
      <w:rPr>
        <w:rFonts w:ascii="C39T30Lfz" w:hAnsi="C39T30Lfz"/>
        <w:sz w:val="56"/>
      </w:rPr>
      <w:t></w:t>
    </w:r>
    <w:r w:rsidRPr="00F6571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5/Rev.2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5/Rev.2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20" w:rsidRPr="00D27D5E" w:rsidRDefault="004F252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2520" w:rsidRPr="00D171D4" w:rsidRDefault="004F252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F2520" w:rsidRPr="00C451B9" w:rsidRDefault="004F2520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F65717">
        <w:tab/>
      </w:r>
      <w:r w:rsidRPr="00F6571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 w:rsidP="002A6748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17" w:rsidRPr="00F65717" w:rsidRDefault="00F65717">
    <w:pPr>
      <w:pStyle w:val="Header"/>
      <w:rPr>
        <w:lang w:val="en-US"/>
      </w:rPr>
    </w:pPr>
    <w:r>
      <w:fldChar w:fldCharType="begin"/>
    </w:r>
    <w:r w:rsidRPr="00F65717">
      <w:rPr>
        <w:lang w:val="en-US"/>
      </w:rPr>
      <w:instrText xml:space="preserve"> TITLE  \* MERGEFORMAT </w:instrText>
    </w:r>
    <w:r>
      <w:fldChar w:fldCharType="separate"/>
    </w:r>
    <w:r w:rsidRPr="00F65717">
      <w:rPr>
        <w:lang w:val="en-US"/>
      </w:rPr>
      <w:t>E/ECE/324/Rev.2/Add.105/Rev.2/Amend.7</w:t>
    </w:r>
    <w:r>
      <w:fldChar w:fldCharType="end"/>
    </w:r>
    <w:r w:rsidRPr="00F65717">
      <w:rPr>
        <w:lang w:val="en-US"/>
      </w:rPr>
      <w:br/>
    </w:r>
    <w:r>
      <w:fldChar w:fldCharType="begin"/>
    </w:r>
    <w:r w:rsidRPr="00F65717">
      <w:rPr>
        <w:lang w:val="en-US"/>
      </w:rPr>
      <w:instrText xml:space="preserve"> KEYWORDS  \* MERGEFORMAT </w:instrText>
    </w:r>
    <w:r>
      <w:fldChar w:fldCharType="separate"/>
    </w:r>
    <w:r w:rsidRPr="00F65717">
      <w:rPr>
        <w:lang w:val="en-US"/>
      </w:rPr>
      <w:t>E/ECE/TRANS/505/Rev.2/Add.105/Rev.2/Amend.7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17" w:rsidRPr="00F65717" w:rsidRDefault="00F65717" w:rsidP="00F65717">
    <w:pPr>
      <w:pStyle w:val="Header"/>
      <w:jc w:val="right"/>
      <w:rPr>
        <w:lang w:val="en-US"/>
      </w:rPr>
    </w:pPr>
    <w:r>
      <w:fldChar w:fldCharType="begin"/>
    </w:r>
    <w:r w:rsidRPr="00F65717">
      <w:rPr>
        <w:lang w:val="en-US"/>
      </w:rPr>
      <w:instrText xml:space="preserve"> TITLE  \* MERGEFORMAT </w:instrText>
    </w:r>
    <w:r>
      <w:fldChar w:fldCharType="separate"/>
    </w:r>
    <w:r w:rsidRPr="00F65717">
      <w:rPr>
        <w:lang w:val="en-US"/>
      </w:rPr>
      <w:t>E/ECE/324/Rev.2/Add.105/Rev.2/Amend.7</w:t>
    </w:r>
    <w:r>
      <w:fldChar w:fldCharType="end"/>
    </w:r>
    <w:r w:rsidRPr="00F65717">
      <w:rPr>
        <w:lang w:val="en-US"/>
      </w:rPr>
      <w:br/>
    </w:r>
    <w:r>
      <w:fldChar w:fldCharType="begin"/>
    </w:r>
    <w:r w:rsidRPr="00F65717">
      <w:rPr>
        <w:lang w:val="en-US"/>
      </w:rPr>
      <w:instrText xml:space="preserve"> KEYWORDS  \* MERGEFORMAT </w:instrText>
    </w:r>
    <w:r>
      <w:fldChar w:fldCharType="separate"/>
    </w:r>
    <w:r w:rsidRPr="00F65717">
      <w:rPr>
        <w:lang w:val="en-US"/>
      </w:rPr>
      <w:t>E/ECE/TRANS/505/Rev.2/Add.105/Rev.2/Amend.7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2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05AA1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2682F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A6748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15E4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2520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B5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01B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0AEC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571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32A0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178BD873-DDDC-4D3B-8576-CE951AD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2A6748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E/ECE/324/Rev.2/Add.105/Rev.2/Amend.7</vt:lpstr>
      <vt:lpstr>E/ECE/324/Rev.2/Add.105/Rev.2/Amend.7</vt:lpstr>
    </vt:vector>
  </TitlesOfParts>
  <Company>CSD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E/ECE/324/Rev.2/Add.105/Rev.2/Amend.7</dc:title>
  <dc:creator>Sandrine CLERE</dc:creator>
  <cp:keywords>E/ECE/TRANS/505/Rev.2/Add.105/Rev.2/Amend.7</cp:keywords>
  <cp:lastModifiedBy>Lucille Caillot</cp:lastModifiedBy>
  <cp:revision>2</cp:revision>
  <cp:lastPrinted>2008-11-04T15:54:00Z</cp:lastPrinted>
  <dcterms:created xsi:type="dcterms:W3CDTF">2020-01-09T09:27:00Z</dcterms:created>
  <dcterms:modified xsi:type="dcterms:W3CDTF">2020-01-09T09:27:00Z</dcterms:modified>
</cp:coreProperties>
</file>