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C23B8" w:rsidRPr="00C12B2B" w:rsidTr="007D5F99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12B2B" w:rsidRPr="00C12B2B" w:rsidRDefault="00C12B2B" w:rsidP="00C12B2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C12B2B">
              <w:rPr>
                <w:sz w:val="40"/>
                <w:lang w:val="en-US"/>
              </w:rPr>
              <w:t>E</w:t>
            </w:r>
            <w:r w:rsidRPr="00C12B2B">
              <w:rPr>
                <w:lang w:val="en-US"/>
              </w:rPr>
              <w:t>/ECE/324/Rev.1/Add.98/Rev.3/Amend.4−</w:t>
            </w:r>
            <w:r w:rsidRPr="00C12B2B">
              <w:rPr>
                <w:sz w:val="40"/>
                <w:lang w:val="en-US"/>
              </w:rPr>
              <w:t>E</w:t>
            </w:r>
            <w:r w:rsidRPr="00C12B2B">
              <w:rPr>
                <w:lang w:val="en-US"/>
              </w:rPr>
              <w:t>/ECE/TRANS/505/Rev.1/Add.98/Rev.3/Amend.4</w:t>
            </w:r>
          </w:p>
        </w:tc>
      </w:tr>
      <w:tr w:rsidR="00DC23B8" w:rsidRPr="00DB58B5" w:rsidTr="001A2B03">
        <w:trPr>
          <w:trHeight w:hRule="exact" w:val="2708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:rsidR="00DC23B8" w:rsidRPr="00C12B2B" w:rsidRDefault="00DC23B8" w:rsidP="007D5F99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12B2B" w:rsidRDefault="00C12B2B" w:rsidP="00C12B2B">
            <w:pPr>
              <w:spacing w:line="240" w:lineRule="exact"/>
            </w:pPr>
          </w:p>
          <w:p w:rsidR="00C12B2B" w:rsidRDefault="00C12B2B" w:rsidP="00C12B2B">
            <w:pPr>
              <w:spacing w:line="240" w:lineRule="exact"/>
            </w:pPr>
          </w:p>
          <w:p w:rsidR="00C12B2B" w:rsidRDefault="00C12B2B" w:rsidP="00C12B2B">
            <w:pPr>
              <w:spacing w:line="240" w:lineRule="exact"/>
            </w:pPr>
            <w:r>
              <w:t>7 décembre 2017</w:t>
            </w:r>
          </w:p>
          <w:p w:rsidR="00C12B2B" w:rsidRPr="00DB58B5" w:rsidRDefault="00C12B2B" w:rsidP="00C12B2B">
            <w:pPr>
              <w:spacing w:line="240" w:lineRule="exact"/>
            </w:pPr>
            <w:r>
              <w:t xml:space="preserve"> </w:t>
            </w:r>
          </w:p>
        </w:tc>
      </w:tr>
    </w:tbl>
    <w:p w:rsidR="00C12B2B" w:rsidRPr="00654AB0" w:rsidRDefault="00C12B2B" w:rsidP="001A2B03">
      <w:pPr>
        <w:pStyle w:val="HChG"/>
        <w:spacing w:before="320" w:after="200"/>
        <w:rPr>
          <w:lang w:val="fr-FR"/>
        </w:rPr>
      </w:pPr>
      <w:r w:rsidRPr="00654AB0">
        <w:rPr>
          <w:lang w:val="fr-FR"/>
        </w:rPr>
        <w:tab/>
      </w:r>
      <w:r w:rsidRPr="00654AB0">
        <w:rPr>
          <w:lang w:val="fr-FR"/>
        </w:rPr>
        <w:tab/>
        <w:t>Accord</w:t>
      </w:r>
    </w:p>
    <w:p w:rsidR="00C12B2B" w:rsidRPr="00654AB0" w:rsidRDefault="00C12B2B" w:rsidP="001A2B03">
      <w:pPr>
        <w:pStyle w:val="H1G"/>
        <w:spacing w:before="320" w:after="200"/>
        <w:rPr>
          <w:lang w:val="fr-FR"/>
        </w:rPr>
      </w:pPr>
      <w:r w:rsidRPr="00C12B2B">
        <w:rPr>
          <w:lang w:val="fr-FR"/>
        </w:rPr>
        <w:tab/>
      </w:r>
      <w:r w:rsidRPr="00C12B2B">
        <w:rPr>
          <w:lang w:val="fr-FR"/>
        </w:rPr>
        <w:tab/>
      </w:r>
      <w:r w:rsidRPr="00654AB0">
        <w:rPr>
          <w:lang w:val="fr-FR"/>
        </w:rPr>
        <w:t>Concernant l</w:t>
      </w:r>
      <w:r>
        <w:rPr>
          <w:lang w:val="fr-FR"/>
        </w:rPr>
        <w:t>’</w:t>
      </w:r>
      <w:r w:rsidRPr="00654AB0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654AB0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654AB0">
        <w:rPr>
          <w:lang w:val="fr-FR"/>
        </w:rPr>
        <w:t xml:space="preserve">être montés ou utilisés sur les véhicules à roues </w:t>
      </w:r>
      <w:r w:rsidR="00490340">
        <w:rPr>
          <w:lang w:val="fr-FR"/>
        </w:rPr>
        <w:br/>
      </w:r>
      <w:r w:rsidRPr="00654AB0">
        <w:rPr>
          <w:lang w:val="fr-FR"/>
        </w:rPr>
        <w:t>et les conditions de reconnaissance réciproque des homologations délivrées conformément à ces Règlements</w:t>
      </w:r>
      <w:r w:rsidRPr="00B16ECC">
        <w:rPr>
          <w:b w:val="0"/>
          <w:sz w:val="20"/>
          <w:lang w:val="fr-FR"/>
        </w:rPr>
        <w:footnoteReference w:customMarkFollows="1" w:id="2"/>
        <w:t>*</w:t>
      </w:r>
    </w:p>
    <w:p w:rsidR="00C12B2B" w:rsidRPr="00654AB0" w:rsidRDefault="00C12B2B" w:rsidP="00490340">
      <w:pPr>
        <w:pStyle w:val="SingleTxtG"/>
        <w:rPr>
          <w:lang w:val="fr-FR"/>
        </w:rPr>
      </w:pPr>
      <w:r w:rsidRPr="00654AB0">
        <w:rPr>
          <w:lang w:val="fr-FR"/>
        </w:rPr>
        <w:t>(Révision 3, comprenant les amendements entrés en vigueur le 14 septembre 2017)</w:t>
      </w:r>
    </w:p>
    <w:p w:rsidR="00C12B2B" w:rsidRPr="00654AB0" w:rsidRDefault="00C12B2B" w:rsidP="00C12B2B">
      <w:pPr>
        <w:pStyle w:val="H1G"/>
        <w:spacing w:before="120"/>
        <w:ind w:left="0" w:right="0" w:firstLine="0"/>
        <w:jc w:val="center"/>
        <w:rPr>
          <w:lang w:val="fr-FR"/>
        </w:rPr>
      </w:pPr>
      <w:r w:rsidRPr="00654AB0">
        <w:rPr>
          <w:lang w:val="fr-FR"/>
        </w:rPr>
        <w:t>_________</w:t>
      </w:r>
    </w:p>
    <w:p w:rsidR="00C12B2B" w:rsidRPr="00654AB0" w:rsidRDefault="00C12B2B" w:rsidP="001230B9">
      <w:pPr>
        <w:pStyle w:val="H1G"/>
        <w:spacing w:before="320"/>
        <w:rPr>
          <w:lang w:val="fr-FR"/>
        </w:rPr>
      </w:pPr>
      <w:r w:rsidRPr="00654AB0">
        <w:rPr>
          <w:lang w:val="fr-FR"/>
        </w:rPr>
        <w:tab/>
      </w:r>
      <w:r w:rsidRPr="00654AB0">
        <w:rPr>
          <w:lang w:val="fr-FR"/>
        </w:rPr>
        <w:tab/>
        <w:t xml:space="preserve">Additif 98 </w:t>
      </w:r>
      <w:r w:rsidR="00490340">
        <w:rPr>
          <w:lang w:val="fr-FR"/>
        </w:rPr>
        <w:t>−</w:t>
      </w:r>
      <w:r w:rsidRPr="00654AB0">
        <w:rPr>
          <w:lang w:val="fr-FR"/>
        </w:rPr>
        <w:t xml:space="preserve"> Règlement </w:t>
      </w:r>
      <w:r w:rsidR="00490340" w:rsidRPr="00490340">
        <w:rPr>
          <w:rFonts w:eastAsia="MS Mincho"/>
          <w:lang w:val="fr-FR"/>
        </w:rPr>
        <w:t>n</w:t>
      </w:r>
      <w:r w:rsidR="00490340" w:rsidRPr="00490340">
        <w:rPr>
          <w:rFonts w:eastAsia="MS Mincho"/>
          <w:vertAlign w:val="superscript"/>
          <w:lang w:val="fr-FR"/>
        </w:rPr>
        <w:t>o</w:t>
      </w:r>
      <w:r w:rsidR="00490340">
        <w:rPr>
          <w:lang w:val="fr-FR"/>
        </w:rPr>
        <w:t> </w:t>
      </w:r>
      <w:r w:rsidRPr="00654AB0">
        <w:rPr>
          <w:lang w:val="fr-FR"/>
        </w:rPr>
        <w:t>99</w:t>
      </w:r>
    </w:p>
    <w:p w:rsidR="00C12B2B" w:rsidRPr="00654AB0" w:rsidRDefault="00C12B2B" w:rsidP="001230B9">
      <w:pPr>
        <w:pStyle w:val="H1G"/>
        <w:spacing w:before="320"/>
        <w:rPr>
          <w:lang w:val="fr-FR"/>
        </w:rPr>
      </w:pPr>
      <w:r w:rsidRPr="00654AB0">
        <w:rPr>
          <w:lang w:val="fr-FR"/>
        </w:rPr>
        <w:tab/>
      </w:r>
      <w:r w:rsidRPr="00654AB0">
        <w:rPr>
          <w:lang w:val="fr-FR"/>
        </w:rPr>
        <w:tab/>
        <w:t xml:space="preserve">Révision 3 </w:t>
      </w:r>
      <w:r w:rsidR="00490340">
        <w:rPr>
          <w:lang w:val="fr-FR"/>
        </w:rPr>
        <w:t>−</w:t>
      </w:r>
      <w:r w:rsidRPr="00654AB0">
        <w:rPr>
          <w:lang w:val="fr-FR"/>
        </w:rPr>
        <w:t xml:space="preserve"> Amendement 4</w:t>
      </w:r>
    </w:p>
    <w:p w:rsidR="00C12B2B" w:rsidRPr="00654AB0" w:rsidRDefault="00C12B2B" w:rsidP="00490340">
      <w:pPr>
        <w:pStyle w:val="SingleTxtG"/>
        <w:rPr>
          <w:lang w:val="fr-FR"/>
        </w:rPr>
      </w:pPr>
      <w:r w:rsidRPr="00654AB0">
        <w:rPr>
          <w:lang w:val="fr-FR"/>
        </w:rPr>
        <w:t xml:space="preserve">Complément 13 à la version originale du Règlement </w:t>
      </w:r>
      <w:r w:rsidR="00490340">
        <w:rPr>
          <w:lang w:val="fr-FR"/>
        </w:rPr>
        <w:t>−</w:t>
      </w:r>
      <w:r w:rsidRPr="00654AB0">
        <w:rPr>
          <w:lang w:val="fr-FR"/>
        </w:rPr>
        <w:t xml:space="preserve"> Date d</w:t>
      </w:r>
      <w:r>
        <w:rPr>
          <w:lang w:val="fr-FR"/>
        </w:rPr>
        <w:t>’</w:t>
      </w:r>
      <w:r w:rsidRPr="00654AB0">
        <w:rPr>
          <w:lang w:val="fr-FR"/>
        </w:rPr>
        <w:t>entrée en vigueur</w:t>
      </w:r>
      <w:r w:rsidR="00490340">
        <w:rPr>
          <w:lang w:val="fr-FR"/>
        </w:rPr>
        <w:t> </w:t>
      </w:r>
      <w:r w:rsidRPr="00654AB0">
        <w:rPr>
          <w:lang w:val="fr-FR"/>
        </w:rPr>
        <w:t>: 10</w:t>
      </w:r>
      <w:r w:rsidR="00490340">
        <w:rPr>
          <w:lang w:val="fr-FR"/>
        </w:rPr>
        <w:t> </w:t>
      </w:r>
      <w:r w:rsidRPr="00654AB0">
        <w:rPr>
          <w:lang w:val="fr-FR"/>
        </w:rPr>
        <w:t>octobre 2017</w:t>
      </w:r>
    </w:p>
    <w:p w:rsidR="00C12B2B" w:rsidRPr="00654AB0" w:rsidRDefault="00C12B2B" w:rsidP="001230B9">
      <w:pPr>
        <w:pStyle w:val="H1G"/>
        <w:spacing w:before="320"/>
        <w:rPr>
          <w:lang w:val="fr-FR"/>
        </w:rPr>
      </w:pPr>
      <w:r w:rsidRPr="00654AB0">
        <w:rPr>
          <w:lang w:val="fr-FR"/>
        </w:rPr>
        <w:tab/>
      </w:r>
      <w:r w:rsidRPr="00654AB0">
        <w:rPr>
          <w:lang w:val="fr-FR"/>
        </w:rPr>
        <w:tab/>
        <w:t>Prescriptions uniformes relatives à l</w:t>
      </w:r>
      <w:r>
        <w:rPr>
          <w:lang w:val="fr-FR"/>
        </w:rPr>
        <w:t>’</w:t>
      </w:r>
      <w:r w:rsidRPr="00654AB0">
        <w:rPr>
          <w:lang w:val="fr-FR"/>
        </w:rPr>
        <w:t xml:space="preserve">homologation des sources lumineuses à décharge pour projecteurs homologués de véhicules </w:t>
      </w:r>
      <w:r w:rsidR="00490340">
        <w:rPr>
          <w:lang w:val="fr-FR"/>
        </w:rPr>
        <w:br/>
      </w:r>
      <w:r w:rsidRPr="00654AB0">
        <w:rPr>
          <w:lang w:val="fr-FR"/>
        </w:rPr>
        <w:t>à moteur</w:t>
      </w:r>
    </w:p>
    <w:p w:rsidR="00C12B2B" w:rsidRPr="00654AB0" w:rsidRDefault="00C12B2B" w:rsidP="001A2B03">
      <w:pPr>
        <w:pStyle w:val="SingleTxtG"/>
        <w:ind w:firstLine="567"/>
        <w:rPr>
          <w:spacing w:val="-6"/>
          <w:lang w:val="fr-FR" w:eastAsia="en-GB"/>
        </w:rPr>
      </w:pPr>
      <w:r w:rsidRPr="00654AB0"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 w:rsidRPr="00654AB0">
        <w:rPr>
          <w:lang w:val="fr-FR"/>
        </w:rPr>
        <w:t>information. Le texte authentique, juridiquement contraignant, est celui du document</w:t>
      </w:r>
      <w:r w:rsidR="00577A62">
        <w:rPr>
          <w:lang w:val="fr-FR"/>
        </w:rPr>
        <w:t> </w:t>
      </w:r>
      <w:r w:rsidR="00577A62">
        <w:rPr>
          <w:spacing w:val="-4"/>
          <w:lang w:val="fr-FR" w:eastAsia="en-GB"/>
        </w:rPr>
        <w:t xml:space="preserve">: </w:t>
      </w:r>
      <w:r w:rsidRPr="00654AB0">
        <w:rPr>
          <w:spacing w:val="-6"/>
          <w:lang w:val="fr-FR" w:eastAsia="en-GB"/>
        </w:rPr>
        <w:t>ECE/TRANS/</w:t>
      </w:r>
      <w:r w:rsidR="00577A62">
        <w:rPr>
          <w:spacing w:val="-6"/>
          <w:lang w:val="fr-FR" w:eastAsia="en-GB"/>
        </w:rPr>
        <w:t xml:space="preserve"> </w:t>
      </w:r>
      <w:r w:rsidRPr="00654AB0">
        <w:rPr>
          <w:spacing w:val="-6"/>
          <w:lang w:val="fr-FR" w:eastAsia="en-GB"/>
        </w:rPr>
        <w:t>WP.29/2017/36 (1622500).</w:t>
      </w:r>
    </w:p>
    <w:p w:rsidR="00C12B2B" w:rsidRDefault="001A2B03" w:rsidP="00C12B2B">
      <w:pPr>
        <w:suppressAutoHyphens w:val="0"/>
        <w:spacing w:line="240" w:lineRule="auto"/>
        <w:jc w:val="center"/>
        <w:rPr>
          <w:b/>
          <w:lang w:val="fr-FR"/>
        </w:rPr>
      </w:pPr>
      <w:r w:rsidRPr="00654AB0">
        <w:rPr>
          <w:b/>
          <w:noProof/>
          <w:lang w:eastAsia="fr-CH"/>
        </w:rPr>
        <w:drawing>
          <wp:anchor distT="0" distB="137160" distL="114300" distR="114300" simplePos="0" relativeHeight="251657728" behindDoc="0" locked="0" layoutInCell="1" allowOverlap="1" wp14:anchorId="2F48C8A0" wp14:editId="164573F3">
            <wp:simplePos x="0" y="0"/>
            <wp:positionH relativeFrom="column">
              <wp:posOffset>2570650</wp:posOffset>
            </wp:positionH>
            <wp:positionV relativeFrom="paragraph">
              <wp:posOffset>228071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2B" w:rsidRPr="00654AB0">
        <w:rPr>
          <w:b/>
          <w:lang w:val="fr-FR"/>
        </w:rPr>
        <w:t>_________</w:t>
      </w:r>
    </w:p>
    <w:p w:rsidR="00C12B2B" w:rsidRDefault="00C12B2B" w:rsidP="00C12B2B">
      <w:pPr>
        <w:suppressAutoHyphens w:val="0"/>
        <w:spacing w:line="240" w:lineRule="auto"/>
        <w:jc w:val="center"/>
        <w:rPr>
          <w:b/>
          <w:lang w:val="fr-FR"/>
        </w:rPr>
      </w:pPr>
      <w:r w:rsidRPr="00654AB0">
        <w:rPr>
          <w:b/>
          <w:lang w:val="fr-FR"/>
        </w:rPr>
        <w:lastRenderedPageBreak/>
        <w:t>NATIONS UNIES</w:t>
      </w:r>
    </w:p>
    <w:p w:rsidR="00C12B2B" w:rsidRPr="00654AB0" w:rsidRDefault="00C12B2B" w:rsidP="00C12B2B">
      <w:pPr>
        <w:pStyle w:val="SingleTxtG"/>
        <w:keepNext/>
        <w:keepLines/>
        <w:rPr>
          <w:lang w:val="fr-FR"/>
        </w:rPr>
      </w:pPr>
      <w:r w:rsidRPr="00654AB0">
        <w:rPr>
          <w:i/>
          <w:lang w:val="fr-FR"/>
        </w:rPr>
        <w:t>Paragraphe 3.6.2</w:t>
      </w:r>
      <w:r w:rsidRPr="00654AB0">
        <w:rPr>
          <w:lang w:val="fr-FR"/>
        </w:rPr>
        <w:t xml:space="preserve">, </w:t>
      </w:r>
      <w:r>
        <w:rPr>
          <w:lang w:val="fr-FR"/>
        </w:rPr>
        <w:t>lire</w:t>
      </w:r>
      <w:r w:rsidRPr="00654AB0">
        <w:rPr>
          <w:lang w:val="fr-FR"/>
        </w:rPr>
        <w:t> :</w:t>
      </w:r>
    </w:p>
    <w:p w:rsidR="00C12B2B" w:rsidRPr="00654AB0" w:rsidRDefault="00C12B2B" w:rsidP="001230B9">
      <w:pPr>
        <w:pStyle w:val="SingleTxtG"/>
        <w:keepNext/>
        <w:keepLines/>
        <w:ind w:left="2268" w:hanging="1134"/>
        <w:jc w:val="left"/>
        <w:rPr>
          <w:lang w:val="fr-FR"/>
        </w:rPr>
      </w:pPr>
      <w:r w:rsidRPr="00654AB0">
        <w:rPr>
          <w:lang w:val="fr-FR"/>
        </w:rPr>
        <w:t>« 3.6.2</w:t>
      </w:r>
      <w:r w:rsidRPr="00654AB0">
        <w:rPr>
          <w:lang w:val="fr-FR"/>
        </w:rPr>
        <w:tab/>
      </w:r>
      <w:r w:rsidRPr="00654AB0">
        <w:rPr>
          <w:lang w:val="fr-FR"/>
        </w:rPr>
        <w:tab/>
        <w:t>Montée en régime</w:t>
      </w:r>
    </w:p>
    <w:p w:rsidR="00C12B2B" w:rsidRPr="00654AB0" w:rsidRDefault="00C12B2B" w:rsidP="001230B9">
      <w:pPr>
        <w:pStyle w:val="SingleTxtG"/>
        <w:keepNext/>
        <w:keepLines/>
        <w:ind w:left="2268" w:hanging="1134"/>
        <w:rPr>
          <w:lang w:val="fr-FR"/>
        </w:rPr>
      </w:pPr>
      <w:r w:rsidRPr="00654AB0">
        <w:rPr>
          <w:lang w:val="fr-FR"/>
        </w:rPr>
        <w:t>3.6.2.1</w:t>
      </w:r>
      <w:r w:rsidRPr="00654AB0">
        <w:rPr>
          <w:lang w:val="fr-FR"/>
        </w:rPr>
        <w:tab/>
      </w:r>
      <w:r w:rsidRPr="00654AB0">
        <w:rPr>
          <w:lang w:val="fr-FR"/>
        </w:rPr>
        <w:tab/>
        <w:t>Pour les sources lumineuses à décharge ayant un flux lumineux normal supérieur à 2 000 lm :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Lorsqu</w:t>
      </w:r>
      <w:r>
        <w:rPr>
          <w:lang w:val="fr-FR"/>
        </w:rPr>
        <w:t>’</w:t>
      </w:r>
      <w:r w:rsidRPr="00654AB0">
        <w:rPr>
          <w:lang w:val="fr-FR"/>
        </w:rPr>
        <w:t>elle est mesurée conformément aux conditions spécifiées à l</w:t>
      </w:r>
      <w:r>
        <w:rPr>
          <w:lang w:val="fr-FR"/>
        </w:rPr>
        <w:t>’</w:t>
      </w:r>
      <w:r w:rsidRPr="00654AB0">
        <w:rPr>
          <w:lang w:val="fr-FR"/>
        </w:rPr>
        <w:t>annexe 4, la source lumineuse à décharge doit émettre au moins :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Après 1 s : 25 % de son flux lumineux normal ;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Après 4 s : 80 % de son flux lumineux normal.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Le flux lumineux normal est celui qui est indiqué sur la feuille de données pertinente.</w:t>
      </w:r>
    </w:p>
    <w:p w:rsidR="00C12B2B" w:rsidRPr="00654AB0" w:rsidRDefault="00C12B2B" w:rsidP="00C12B2B">
      <w:pPr>
        <w:pStyle w:val="SingleTxtG"/>
        <w:ind w:left="2268" w:hanging="1134"/>
        <w:rPr>
          <w:lang w:val="fr-FR"/>
        </w:rPr>
      </w:pPr>
      <w:r w:rsidRPr="00654AB0">
        <w:rPr>
          <w:lang w:val="fr-FR"/>
        </w:rPr>
        <w:t>3.6.2.2</w:t>
      </w:r>
      <w:r w:rsidRPr="00654AB0">
        <w:rPr>
          <w:lang w:val="fr-FR"/>
        </w:rPr>
        <w:tab/>
      </w:r>
      <w:r w:rsidRPr="00654AB0">
        <w:rPr>
          <w:lang w:val="fr-FR"/>
        </w:rPr>
        <w:tab/>
        <w:t>Pour les sources lumineuses à décharge dont le flux lumineux normal n</w:t>
      </w:r>
      <w:r>
        <w:rPr>
          <w:lang w:val="fr-FR"/>
        </w:rPr>
        <w:t>’</w:t>
      </w:r>
      <w:r w:rsidRPr="00654AB0">
        <w:rPr>
          <w:lang w:val="fr-FR"/>
        </w:rPr>
        <w:t>est pas supérieur à 2 000 lm et ne comprend pas de bandes opaques :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Lorsqu</w:t>
      </w:r>
      <w:r>
        <w:rPr>
          <w:lang w:val="fr-FR"/>
        </w:rPr>
        <w:t>’</w:t>
      </w:r>
      <w:r w:rsidRPr="00654AB0">
        <w:rPr>
          <w:lang w:val="fr-FR"/>
        </w:rPr>
        <w:t>elle est mesurée conformément aux conditions spécifiées à l</w:t>
      </w:r>
      <w:r>
        <w:rPr>
          <w:lang w:val="fr-FR"/>
        </w:rPr>
        <w:t>’</w:t>
      </w:r>
      <w:r w:rsidRPr="00654AB0">
        <w:rPr>
          <w:lang w:val="fr-FR"/>
        </w:rPr>
        <w:t>annexe 4, la source lumineuse à décharge doit émettre au moins 800 lm après 1 s et au moins 1 000 lm après 4 s.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Le flux lumineux normal est celui qui est indiqué sur la feuille de données pertinente.</w:t>
      </w:r>
    </w:p>
    <w:p w:rsidR="00C12B2B" w:rsidRPr="00654AB0" w:rsidRDefault="00C12B2B" w:rsidP="00C12B2B">
      <w:pPr>
        <w:pStyle w:val="SingleTxtG"/>
        <w:ind w:left="2268" w:hanging="1134"/>
        <w:rPr>
          <w:lang w:val="fr-FR"/>
        </w:rPr>
      </w:pPr>
      <w:r w:rsidRPr="00654AB0">
        <w:rPr>
          <w:lang w:val="fr-FR"/>
        </w:rPr>
        <w:t>3.6.2.3</w:t>
      </w:r>
      <w:r w:rsidRPr="00654AB0">
        <w:rPr>
          <w:lang w:val="fr-FR"/>
        </w:rPr>
        <w:tab/>
      </w:r>
      <w:r w:rsidRPr="00654AB0">
        <w:rPr>
          <w:lang w:val="fr-FR"/>
        </w:rPr>
        <w:tab/>
        <w:t>Pour les sources lumineuses à décharge ayant un flux lumineux normal qui n</w:t>
      </w:r>
      <w:r>
        <w:rPr>
          <w:lang w:val="fr-FR"/>
        </w:rPr>
        <w:t>’</w:t>
      </w:r>
      <w:r w:rsidRPr="00654AB0">
        <w:rPr>
          <w:lang w:val="fr-FR"/>
        </w:rPr>
        <w:t>est pas supérieur à 2 000 lm, mais qui comprend des bandes opaques :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Lorsqu</w:t>
      </w:r>
      <w:r>
        <w:rPr>
          <w:lang w:val="fr-FR"/>
        </w:rPr>
        <w:t>’</w:t>
      </w:r>
      <w:r w:rsidRPr="00654AB0">
        <w:rPr>
          <w:lang w:val="fr-FR"/>
        </w:rPr>
        <w:t>elle est mesurée conformément aux conditions spécifiées à l</w:t>
      </w:r>
      <w:r>
        <w:rPr>
          <w:lang w:val="fr-FR"/>
        </w:rPr>
        <w:t>’</w:t>
      </w:r>
      <w:r w:rsidRPr="00654AB0">
        <w:rPr>
          <w:lang w:val="fr-FR"/>
        </w:rPr>
        <w:t>annexe 4, la source lumineuse à décharge doit émettre au moins 700 lm après 1 s et au moins 900 lm après 4 s.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Le flux lumineux normal est celui qui est indiqué sur la feuille de données pertinente.</w:t>
      </w:r>
    </w:p>
    <w:p w:rsidR="00C12B2B" w:rsidRPr="00654AB0" w:rsidRDefault="00C12B2B" w:rsidP="00C12B2B">
      <w:pPr>
        <w:pStyle w:val="SingleTxtG"/>
        <w:ind w:left="2268" w:hanging="1134"/>
        <w:rPr>
          <w:lang w:val="fr-FR"/>
        </w:rPr>
      </w:pPr>
      <w:r w:rsidRPr="00654AB0">
        <w:rPr>
          <w:lang w:val="fr-FR"/>
        </w:rPr>
        <w:t>3.6.2.4</w:t>
      </w:r>
      <w:r w:rsidRPr="00654AB0">
        <w:rPr>
          <w:lang w:val="fr-FR"/>
        </w:rPr>
        <w:tab/>
      </w:r>
      <w:r w:rsidRPr="00654AB0">
        <w:rPr>
          <w:lang w:val="fr-FR"/>
        </w:rPr>
        <w:tab/>
        <w:t>Pour les sources lumineuses à décharge ayant plusieurs flux lumineux normaux, dont un au moins ne dépasse pas 2 000 lm :</w:t>
      </w:r>
    </w:p>
    <w:p w:rsidR="00C12B2B" w:rsidRPr="00654AB0" w:rsidRDefault="00C12B2B" w:rsidP="00C12B2B">
      <w:pPr>
        <w:pStyle w:val="SingleTxtG"/>
        <w:ind w:left="2268"/>
        <w:rPr>
          <w:lang w:val="fr-FR"/>
        </w:rPr>
      </w:pPr>
      <w:r w:rsidRPr="00654AB0">
        <w:rPr>
          <w:lang w:val="fr-FR"/>
        </w:rPr>
        <w:t>Lorsqu</w:t>
      </w:r>
      <w:r>
        <w:rPr>
          <w:lang w:val="fr-FR"/>
        </w:rPr>
        <w:t>’</w:t>
      </w:r>
      <w:r w:rsidRPr="00654AB0">
        <w:rPr>
          <w:lang w:val="fr-FR"/>
        </w:rPr>
        <w:t>elle est mesurée conformément aux conditions spécifiées à l</w:t>
      </w:r>
      <w:r>
        <w:rPr>
          <w:lang w:val="fr-FR"/>
        </w:rPr>
        <w:t>’</w:t>
      </w:r>
      <w:r w:rsidRPr="00654AB0">
        <w:rPr>
          <w:lang w:val="fr-FR"/>
        </w:rPr>
        <w:t>annexe 4, la source lumineuse à décharge doit émettre au moins 800 lm après 1 s et au moins 1 000 lm après 4 s.</w:t>
      </w:r>
    </w:p>
    <w:p w:rsidR="00C12B2B" w:rsidRDefault="00C12B2B" w:rsidP="001230B9">
      <w:pPr>
        <w:pStyle w:val="SingleTxtG"/>
        <w:ind w:left="2268"/>
      </w:pPr>
      <w:r w:rsidRPr="00654AB0">
        <w:rPr>
          <w:lang w:val="fr-FR"/>
        </w:rPr>
        <w:t>Le flux lumineux normal est celui qui est indiqué sur la feuille de données pertinentes</w:t>
      </w:r>
      <w:r w:rsidRPr="00654AB0">
        <w:rPr>
          <w:bCs/>
          <w:lang w:val="fr-FR"/>
        </w:rPr>
        <w:t> ».</w:t>
      </w:r>
    </w:p>
    <w:p w:rsidR="00446FE5" w:rsidRPr="001230B9" w:rsidRDefault="001230B9" w:rsidP="001230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1230B9" w:rsidSect="00C12B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E9" w:rsidRDefault="00135AE9" w:rsidP="00F95C08">
      <w:pPr>
        <w:spacing w:line="240" w:lineRule="auto"/>
      </w:pPr>
    </w:p>
  </w:endnote>
  <w:endnote w:type="continuationSeparator" w:id="0">
    <w:p w:rsidR="00135AE9" w:rsidRPr="00AC3823" w:rsidRDefault="00135AE9" w:rsidP="00AC3823">
      <w:pPr>
        <w:pStyle w:val="Footer"/>
      </w:pPr>
    </w:p>
  </w:endnote>
  <w:endnote w:type="continuationNotice" w:id="1">
    <w:p w:rsidR="00135AE9" w:rsidRDefault="00135A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2B" w:rsidRPr="00C12B2B" w:rsidRDefault="00C12B2B" w:rsidP="00C12B2B">
    <w:pPr>
      <w:pStyle w:val="Footer"/>
      <w:tabs>
        <w:tab w:val="right" w:pos="9638"/>
      </w:tabs>
    </w:pPr>
    <w:r w:rsidRPr="00C12B2B">
      <w:rPr>
        <w:b/>
        <w:sz w:val="18"/>
      </w:rPr>
      <w:fldChar w:fldCharType="begin"/>
    </w:r>
    <w:r w:rsidRPr="00C12B2B">
      <w:rPr>
        <w:b/>
        <w:sz w:val="18"/>
      </w:rPr>
      <w:instrText xml:space="preserve"> PAGE  \* MERGEFORMAT </w:instrText>
    </w:r>
    <w:r w:rsidRPr="00C12B2B">
      <w:rPr>
        <w:b/>
        <w:sz w:val="18"/>
      </w:rPr>
      <w:fldChar w:fldCharType="separate"/>
    </w:r>
    <w:r w:rsidR="007C4203">
      <w:rPr>
        <w:b/>
        <w:noProof/>
        <w:sz w:val="18"/>
      </w:rPr>
      <w:t>2</w:t>
    </w:r>
    <w:r w:rsidRPr="00C12B2B">
      <w:rPr>
        <w:b/>
        <w:sz w:val="18"/>
      </w:rPr>
      <w:fldChar w:fldCharType="end"/>
    </w:r>
    <w:r>
      <w:rPr>
        <w:b/>
        <w:sz w:val="18"/>
      </w:rPr>
      <w:tab/>
    </w:r>
    <w:r>
      <w:t>GE.17-21911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2B" w:rsidRPr="00C12B2B" w:rsidRDefault="00C12B2B" w:rsidP="00C12B2B">
    <w:pPr>
      <w:pStyle w:val="Footer"/>
      <w:tabs>
        <w:tab w:val="right" w:pos="9638"/>
      </w:tabs>
      <w:rPr>
        <w:b/>
        <w:sz w:val="18"/>
      </w:rPr>
    </w:pPr>
    <w:r>
      <w:t>GE.17-21911</w:t>
    </w:r>
    <w:r>
      <w:tab/>
    </w:r>
    <w:r w:rsidRPr="00C12B2B">
      <w:rPr>
        <w:b/>
        <w:sz w:val="18"/>
      </w:rPr>
      <w:fldChar w:fldCharType="begin"/>
    </w:r>
    <w:r w:rsidRPr="00C12B2B">
      <w:rPr>
        <w:b/>
        <w:sz w:val="18"/>
      </w:rPr>
      <w:instrText xml:space="preserve"> PAGE  \* MERGEFORMAT </w:instrText>
    </w:r>
    <w:r w:rsidRPr="00C12B2B">
      <w:rPr>
        <w:b/>
        <w:sz w:val="18"/>
      </w:rPr>
      <w:fldChar w:fldCharType="separate"/>
    </w:r>
    <w:r w:rsidR="001A2B03">
      <w:rPr>
        <w:b/>
        <w:noProof/>
        <w:sz w:val="18"/>
      </w:rPr>
      <w:t>3</w:t>
    </w:r>
    <w:r w:rsidRPr="00C12B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567" w:rsidRPr="00C12B2B" w:rsidRDefault="00C12B2B" w:rsidP="00C12B2B">
    <w:pPr>
      <w:pStyle w:val="Footer"/>
      <w:spacing w:before="120"/>
      <w:rPr>
        <w:sz w:val="20"/>
      </w:rPr>
    </w:pPr>
    <w:r>
      <w:rPr>
        <w:sz w:val="20"/>
      </w:rPr>
      <w:t>GE.</w:t>
    </w:r>
    <w:r w:rsidR="003F5567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455209BC" wp14:editId="774C41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21911  (</w:t>
    </w:r>
    <w:proofErr w:type="gramEnd"/>
    <w:r>
      <w:rPr>
        <w:sz w:val="20"/>
      </w:rPr>
      <w:t>F)    080318    080318</w:t>
    </w:r>
    <w:r>
      <w:rPr>
        <w:sz w:val="20"/>
      </w:rPr>
      <w:br/>
    </w:r>
    <w:r w:rsidRPr="00C12B2B">
      <w:rPr>
        <w:rFonts w:ascii="C39T30Lfz" w:hAnsi="C39T30Lfz"/>
        <w:sz w:val="56"/>
      </w:rPr>
      <w:t></w:t>
    </w:r>
    <w:r w:rsidRPr="00C12B2B">
      <w:rPr>
        <w:rFonts w:ascii="C39T30Lfz" w:hAnsi="C39T30Lfz"/>
        <w:sz w:val="56"/>
      </w:rPr>
      <w:t></w:t>
    </w:r>
    <w:r w:rsidRPr="00C12B2B">
      <w:rPr>
        <w:rFonts w:ascii="C39T30Lfz" w:hAnsi="C39T30Lfz"/>
        <w:sz w:val="56"/>
      </w:rPr>
      <w:t></w:t>
    </w:r>
    <w:r w:rsidRPr="00C12B2B">
      <w:rPr>
        <w:rFonts w:ascii="C39T30Lfz" w:hAnsi="C39T30Lfz"/>
        <w:sz w:val="56"/>
      </w:rPr>
      <w:t></w:t>
    </w:r>
    <w:r w:rsidRPr="00C12B2B">
      <w:rPr>
        <w:rFonts w:ascii="C39T30Lfz" w:hAnsi="C39T30Lfz"/>
        <w:sz w:val="56"/>
      </w:rPr>
      <w:t></w:t>
    </w:r>
    <w:r w:rsidRPr="00C12B2B">
      <w:rPr>
        <w:rFonts w:ascii="C39T30Lfz" w:hAnsi="C39T30Lfz"/>
        <w:sz w:val="56"/>
      </w:rPr>
      <w:t></w:t>
    </w:r>
    <w:r w:rsidRPr="00C12B2B">
      <w:rPr>
        <w:rFonts w:ascii="C39T30Lfz" w:hAnsi="C39T30Lfz"/>
        <w:sz w:val="56"/>
      </w:rPr>
      <w:t></w:t>
    </w:r>
    <w:r w:rsidRPr="00C12B2B">
      <w:rPr>
        <w:rFonts w:ascii="C39T30Lfz" w:hAnsi="C39T30Lfz"/>
        <w:sz w:val="56"/>
      </w:rPr>
      <w:t></w:t>
    </w:r>
    <w:r w:rsidRPr="00C12B2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/ECE/324/Rev.1/Add.98/Rev.3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8/Rev.3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E9" w:rsidRPr="00AC3823" w:rsidRDefault="00135A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5AE9" w:rsidRPr="00AC3823" w:rsidRDefault="00135A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5AE9" w:rsidRPr="00AC3823" w:rsidRDefault="00135AE9">
      <w:pPr>
        <w:spacing w:line="240" w:lineRule="auto"/>
        <w:rPr>
          <w:sz w:val="2"/>
          <w:szCs w:val="2"/>
        </w:rPr>
      </w:pPr>
    </w:p>
  </w:footnote>
  <w:footnote w:id="2">
    <w:p w:rsidR="00C12B2B" w:rsidRPr="000C29B3" w:rsidRDefault="00C12B2B" w:rsidP="00C12B2B">
      <w:pPr>
        <w:pStyle w:val="FootnoteText"/>
      </w:pPr>
      <w:r>
        <w:tab/>
      </w:r>
      <w:r w:rsidRPr="000C29B3">
        <w:rPr>
          <w:sz w:val="20"/>
        </w:rPr>
        <w:t>*</w:t>
      </w:r>
      <w:r w:rsidRPr="000C29B3">
        <w:rPr>
          <w:sz w:val="20"/>
        </w:rPr>
        <w:tab/>
      </w:r>
      <w:r w:rsidR="00577A62">
        <w:t>Anciens titres de l’Accord :</w:t>
      </w:r>
    </w:p>
    <w:p w:rsidR="00C12B2B" w:rsidRPr="000C29B3" w:rsidRDefault="00C12B2B" w:rsidP="00577A62">
      <w:pPr>
        <w:pStyle w:val="FootnoteText"/>
        <w:ind w:firstLine="0"/>
        <w:rPr>
          <w:sz w:val="20"/>
        </w:rPr>
      </w:pPr>
      <w:r w:rsidRPr="000C29B3">
        <w:t>Accord concernant l’adoption de conditions uniformes d’homologation et la reconnaissance réciproque de l’homologation des équipements et pièces de véhicules à moteur, en date, à Genève, du</w:t>
      </w:r>
      <w:r w:rsidR="00577A62">
        <w:t> </w:t>
      </w:r>
      <w:r w:rsidRPr="000C29B3">
        <w:t>2</w:t>
      </w:r>
      <w:r>
        <w:t>0 mars 1958 (version originale)</w:t>
      </w:r>
      <w:r w:rsidR="00577A62">
        <w:t> </w:t>
      </w:r>
      <w:r w:rsidRPr="000C29B3">
        <w:rPr>
          <w:spacing w:val="-4"/>
        </w:rPr>
        <w:t>;</w:t>
      </w:r>
    </w:p>
    <w:p w:rsidR="00C12B2B" w:rsidRPr="000C29B3" w:rsidRDefault="00C12B2B" w:rsidP="00577A62">
      <w:pPr>
        <w:pStyle w:val="FootnoteText"/>
        <w:ind w:firstLine="0"/>
      </w:pPr>
      <w:r w:rsidRPr="000C29B3">
        <w:t>Accord concernant l’adoption de prescriptions techniques uniformes applicables aux véhicules à roues, aux équipements et aux pièces susceptibles d’être montés ou utilisés sur un véhicule à roues et</w:t>
      </w:r>
      <w:r w:rsidR="00577A62">
        <w:t> </w:t>
      </w:r>
      <w:r w:rsidRPr="000C29B3">
        <w:t>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2B" w:rsidRPr="00C12B2B" w:rsidRDefault="00C12B2B">
    <w:pPr>
      <w:pStyle w:val="Header"/>
      <w:rPr>
        <w:lang w:val="en-US"/>
      </w:rPr>
    </w:pPr>
    <w:r>
      <w:fldChar w:fldCharType="begin"/>
    </w:r>
    <w:r w:rsidRPr="00C12B2B">
      <w:rPr>
        <w:lang w:val="en-US"/>
      </w:rPr>
      <w:instrText xml:space="preserve"> TITLE  \* MERGEFORMAT </w:instrText>
    </w:r>
    <w:r>
      <w:fldChar w:fldCharType="separate"/>
    </w:r>
    <w:r w:rsidR="00B16ECC">
      <w:rPr>
        <w:lang w:val="en-US"/>
      </w:rPr>
      <w:t>E/ECE/324/Rev.1/Add.98/Rev.3/Amend.4</w:t>
    </w:r>
    <w:r>
      <w:fldChar w:fldCharType="end"/>
    </w:r>
    <w:r w:rsidRPr="00C12B2B">
      <w:rPr>
        <w:lang w:val="en-US"/>
      </w:rPr>
      <w:br/>
    </w:r>
    <w:r>
      <w:fldChar w:fldCharType="begin"/>
    </w:r>
    <w:r w:rsidRPr="00C12B2B">
      <w:rPr>
        <w:lang w:val="en-US"/>
      </w:rPr>
      <w:instrText xml:space="preserve"> KEYWORDS  \* MERGEFORMAT </w:instrText>
    </w:r>
    <w:r>
      <w:fldChar w:fldCharType="separate"/>
    </w:r>
    <w:r w:rsidR="00B16ECC">
      <w:rPr>
        <w:lang w:val="en-US"/>
      </w:rPr>
      <w:t>E/ECE/TRANS/505/Rev.1/Add.98/Rev.3/Amend.4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2B" w:rsidRPr="00C12B2B" w:rsidRDefault="00C12B2B" w:rsidP="00C12B2B">
    <w:pPr>
      <w:pStyle w:val="Header"/>
      <w:jc w:val="right"/>
      <w:rPr>
        <w:lang w:val="en-US"/>
      </w:rPr>
    </w:pPr>
    <w:r>
      <w:fldChar w:fldCharType="begin"/>
    </w:r>
    <w:r w:rsidRPr="00C12B2B">
      <w:rPr>
        <w:lang w:val="en-US"/>
      </w:rPr>
      <w:instrText xml:space="preserve"> TITLE  \* MERGEFORMAT </w:instrText>
    </w:r>
    <w:r>
      <w:fldChar w:fldCharType="separate"/>
    </w:r>
    <w:r w:rsidR="00B16ECC">
      <w:rPr>
        <w:lang w:val="en-US"/>
      </w:rPr>
      <w:t>E/ECE/324/Rev.1/Add.98/Rev.3/Amend.4</w:t>
    </w:r>
    <w:r>
      <w:fldChar w:fldCharType="end"/>
    </w:r>
    <w:r w:rsidRPr="00C12B2B">
      <w:rPr>
        <w:lang w:val="en-US"/>
      </w:rPr>
      <w:br/>
    </w:r>
    <w:r>
      <w:fldChar w:fldCharType="begin"/>
    </w:r>
    <w:r w:rsidRPr="00C12B2B">
      <w:rPr>
        <w:lang w:val="en-US"/>
      </w:rPr>
      <w:instrText xml:space="preserve"> KEYWORDS  \* MERGEFORMAT </w:instrText>
    </w:r>
    <w:r>
      <w:fldChar w:fldCharType="separate"/>
    </w:r>
    <w:r w:rsidR="00B16ECC">
      <w:rPr>
        <w:lang w:val="en-US"/>
      </w:rPr>
      <w:t>E/ECE/TRANS/505/Rev.1/Add.98/Rev.3/Amend.4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F6E5D1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163C5FF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502122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E9"/>
    <w:rsid w:val="00017F94"/>
    <w:rsid w:val="00023842"/>
    <w:rsid w:val="00033277"/>
    <w:rsid w:val="000334F9"/>
    <w:rsid w:val="0007796D"/>
    <w:rsid w:val="000B7790"/>
    <w:rsid w:val="00111F2F"/>
    <w:rsid w:val="001230B9"/>
    <w:rsid w:val="00135AE9"/>
    <w:rsid w:val="0014365E"/>
    <w:rsid w:val="00176178"/>
    <w:rsid w:val="001A2B03"/>
    <w:rsid w:val="001F525A"/>
    <w:rsid w:val="00223272"/>
    <w:rsid w:val="0024779E"/>
    <w:rsid w:val="002832AC"/>
    <w:rsid w:val="002D7C93"/>
    <w:rsid w:val="00301B96"/>
    <w:rsid w:val="003F5567"/>
    <w:rsid w:val="00441C3B"/>
    <w:rsid w:val="00446FE5"/>
    <w:rsid w:val="00452396"/>
    <w:rsid w:val="00490340"/>
    <w:rsid w:val="004E468C"/>
    <w:rsid w:val="005505B7"/>
    <w:rsid w:val="00573BE5"/>
    <w:rsid w:val="00577A62"/>
    <w:rsid w:val="00586ED3"/>
    <w:rsid w:val="00596AA9"/>
    <w:rsid w:val="0071601D"/>
    <w:rsid w:val="00797BD5"/>
    <w:rsid w:val="007A62E6"/>
    <w:rsid w:val="007C4203"/>
    <w:rsid w:val="007D5F99"/>
    <w:rsid w:val="007E0630"/>
    <w:rsid w:val="0080684C"/>
    <w:rsid w:val="00871C75"/>
    <w:rsid w:val="008776DC"/>
    <w:rsid w:val="009705C8"/>
    <w:rsid w:val="009C1CF4"/>
    <w:rsid w:val="00A06917"/>
    <w:rsid w:val="00A30353"/>
    <w:rsid w:val="00AC3823"/>
    <w:rsid w:val="00AE323C"/>
    <w:rsid w:val="00B00181"/>
    <w:rsid w:val="00B00B0D"/>
    <w:rsid w:val="00B16ECC"/>
    <w:rsid w:val="00B765F7"/>
    <w:rsid w:val="00BA0CA9"/>
    <w:rsid w:val="00C02897"/>
    <w:rsid w:val="00C12B2B"/>
    <w:rsid w:val="00D3439C"/>
    <w:rsid w:val="00DB1831"/>
    <w:rsid w:val="00DC23B8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0CC7D3-9039-48AE-AE59-750432F1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9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301B9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301B9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01B9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301B96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301B9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01B9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01B9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01B9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01B9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01B9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01B9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01B9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01B96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301B96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301B96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01B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301B96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301B9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01B9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301B96"/>
  </w:style>
  <w:style w:type="character" w:customStyle="1" w:styleId="EndnoteTextChar">
    <w:name w:val="Endnote Text Char"/>
    <w:aliases w:val="2_G Char"/>
    <w:basedOn w:val="DefaultParagraphFont"/>
    <w:link w:val="EndnoteText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301B96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301B9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C12B2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C12B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12B2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D4C4C-3483-483A-8026-2019EE172264}"/>
</file>

<file path=customXml/itemProps2.xml><?xml version="1.0" encoding="utf-8"?>
<ds:datastoreItem xmlns:ds="http://schemas.openxmlformats.org/officeDocument/2006/customXml" ds:itemID="{41B1E7B5-CFE6-4152-9723-50D3439FCF1C}"/>
</file>

<file path=customXml/itemProps3.xml><?xml version="1.0" encoding="utf-8"?>
<ds:datastoreItem xmlns:ds="http://schemas.openxmlformats.org/officeDocument/2006/customXml" ds:itemID="{DD5F726B-56B5-441D-9FD0-4C5A924AC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E/ECE/324/Rev.1/Add.98/Rev.3/Amend.4</vt:lpstr>
      <vt:lpstr>E/ECE/324/Rev.1/Add.98/Rev.3/Amend.4</vt:lpstr>
    </vt:vector>
  </TitlesOfParts>
  <Company>DCM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E/ECE/324/Rev.1/Add.98/Rev.3/Amend.4</dc:title>
  <dc:creator>Nath VITTOZ</dc:creator>
  <cp:keywords>E/ECE/TRANS/505/Rev.1/Add.98/Rev.3/Amend.4</cp:keywords>
  <cp:lastModifiedBy>Olivia Braud</cp:lastModifiedBy>
  <cp:revision>2</cp:revision>
  <cp:lastPrinted>2018-03-08T09:43:00Z</cp:lastPrinted>
  <dcterms:created xsi:type="dcterms:W3CDTF">2018-08-22T14:11:00Z</dcterms:created>
  <dcterms:modified xsi:type="dcterms:W3CDTF">2018-08-22T14:11:00Z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611800</vt:r8>
  </property>
</Properties>
</file>