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87A27" w:rsidTr="00A27C92">
        <w:trPr>
          <w:trHeight w:hRule="exact" w:val="851"/>
        </w:trPr>
        <w:tc>
          <w:tcPr>
            <w:tcW w:w="9639" w:type="dxa"/>
            <w:gridSpan w:val="2"/>
            <w:tcBorders>
              <w:bottom w:val="single" w:sz="4" w:space="0" w:color="auto"/>
            </w:tcBorders>
            <w:shd w:val="clear" w:color="auto" w:fill="auto"/>
            <w:vAlign w:val="bottom"/>
          </w:tcPr>
          <w:p w:rsidR="00B87A27" w:rsidRPr="00B87A27" w:rsidRDefault="00B87A27" w:rsidP="00B87A27">
            <w:pPr>
              <w:jc w:val="right"/>
              <w:rPr>
                <w:lang w:val="en-US"/>
              </w:rPr>
            </w:pPr>
            <w:r w:rsidRPr="00B87A27">
              <w:rPr>
                <w:sz w:val="40"/>
                <w:lang w:val="en-US"/>
              </w:rPr>
              <w:t>E</w:t>
            </w:r>
            <w:r w:rsidRPr="00B87A27">
              <w:rPr>
                <w:lang w:val="en-US"/>
              </w:rPr>
              <w:t>/ECE/324/Rev.1/Add.86/Rev.3/Amend.2−</w:t>
            </w:r>
            <w:r w:rsidRPr="00B87A27">
              <w:rPr>
                <w:sz w:val="40"/>
                <w:lang w:val="en-US"/>
              </w:rPr>
              <w:t>E</w:t>
            </w:r>
            <w:r w:rsidRPr="00B87A27">
              <w:rPr>
                <w:lang w:val="en-US"/>
              </w:rPr>
              <w:t>/ECE/TRANS/505/Rev.1/Add.86/Rev.3/Amend.2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B87A2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B87A27" w:rsidP="00A27C92">
            <w:pPr>
              <w:spacing w:before="480" w:line="240" w:lineRule="exact"/>
            </w:pPr>
            <w:r>
              <w:t>28 avril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B87A27" w:rsidRPr="00B87A27">
        <w:rPr>
          <w:lang w:val="fr-FR"/>
        </w:rPr>
        <w:t xml:space="preserve">Concernant l’adoption de Règlements techniques harmonisés de l’ONU applicables aux véhicules à roues et aux équipements et pièces susceptibles d’être montés ou utilisés sur les véhicules à roues </w:t>
      </w:r>
      <w:r w:rsidR="00B87A27">
        <w:rPr>
          <w:lang w:val="fr-FR"/>
        </w:rPr>
        <w:br/>
      </w:r>
      <w:r w:rsidR="00B87A27" w:rsidRPr="00B87A27">
        <w:rPr>
          <w:lang w:val="fr-FR"/>
        </w:rPr>
        <w:t>et les conditions de reconnaissance réciproque des homologations délivrées conformément à ces Règlements</w:t>
      </w:r>
      <w:r w:rsidR="00B87A27" w:rsidRPr="00B87A27">
        <w:rPr>
          <w:b w:val="0"/>
          <w:bCs/>
          <w:sz w:val="20"/>
          <w:lang w:val="fr-FR"/>
        </w:rPr>
        <w:footnoteReference w:customMarkFollows="1" w:id="2"/>
        <w:t>*</w:t>
      </w:r>
    </w:p>
    <w:p w:rsidR="00421A10" w:rsidRPr="00A12483" w:rsidRDefault="00B87A27" w:rsidP="0029791D">
      <w:pPr>
        <w:pStyle w:val="SingleTxtG"/>
        <w:jc w:val="left"/>
        <w:rPr>
          <w:b/>
          <w:sz w:val="24"/>
          <w:szCs w:val="24"/>
        </w:rPr>
      </w:pPr>
      <w:r w:rsidRPr="00B87A27">
        <w:rPr>
          <w:lang w:val="fr-FR"/>
        </w:rPr>
        <w:t>(Révision 3, comprenant les amendements entrés en vigueur le 14 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B87A27" w:rsidRPr="00B87A27">
        <w:rPr>
          <w:lang w:val="fr-FR"/>
        </w:rPr>
        <w:t xml:space="preserve">Additif 86 </w:t>
      </w:r>
      <w:r w:rsidR="00B87A27">
        <w:rPr>
          <w:lang w:val="fr-FR"/>
        </w:rPr>
        <w:t>−</w:t>
      </w:r>
      <w:r w:rsidR="00B87A27" w:rsidRPr="00B87A27">
        <w:rPr>
          <w:lang w:val="fr-FR"/>
        </w:rPr>
        <w:t xml:space="preserve"> Règlement ONU n</w:t>
      </w:r>
      <w:r w:rsidR="00B87A27" w:rsidRPr="00B87A27">
        <w:rPr>
          <w:vertAlign w:val="superscript"/>
          <w:lang w:val="fr-FR"/>
        </w:rPr>
        <w:t>o</w:t>
      </w:r>
      <w:r w:rsidR="00B87A27" w:rsidRPr="00B87A27">
        <w:rPr>
          <w:lang w:val="fr-FR"/>
        </w:rPr>
        <w:t> 87</w:t>
      </w:r>
    </w:p>
    <w:p w:rsidR="00421A10" w:rsidRPr="006549FF" w:rsidRDefault="0029791D" w:rsidP="0029791D">
      <w:pPr>
        <w:pStyle w:val="H1G"/>
      </w:pPr>
      <w:r>
        <w:tab/>
      </w:r>
      <w:r>
        <w:tab/>
      </w:r>
      <w:r w:rsidR="00B87A27" w:rsidRPr="00B87A27">
        <w:rPr>
          <w:lang w:val="fr-FR"/>
        </w:rPr>
        <w:t xml:space="preserve">Révision 3 </w:t>
      </w:r>
      <w:r w:rsidR="00B87A27">
        <w:rPr>
          <w:lang w:val="fr-FR"/>
        </w:rPr>
        <w:t>−</w:t>
      </w:r>
      <w:r w:rsidR="00B87A27" w:rsidRPr="00B87A27">
        <w:rPr>
          <w:lang w:val="fr-FR"/>
        </w:rPr>
        <w:t xml:space="preserve"> Amendement 2</w:t>
      </w:r>
    </w:p>
    <w:p w:rsidR="00421A10" w:rsidRPr="004A7E44" w:rsidRDefault="00B87A27" w:rsidP="0029791D">
      <w:pPr>
        <w:pStyle w:val="SingleTxtG"/>
        <w:spacing w:after="0"/>
      </w:pPr>
      <w:r w:rsidRPr="00B87A27">
        <w:rPr>
          <w:lang w:val="fr-FR"/>
        </w:rPr>
        <w:t xml:space="preserve">Complément 18 à la version originale du Règlement </w:t>
      </w:r>
      <w:r>
        <w:rPr>
          <w:lang w:val="fr-FR"/>
        </w:rPr>
        <w:t>−</w:t>
      </w:r>
      <w:r w:rsidRPr="00B87A27">
        <w:rPr>
          <w:lang w:val="fr-FR"/>
        </w:rPr>
        <w:t xml:space="preserve"> Date d’entrée en vigueur</w:t>
      </w:r>
      <w:r>
        <w:rPr>
          <w:lang w:val="fr-FR"/>
        </w:rPr>
        <w:t> </w:t>
      </w:r>
      <w:r w:rsidRPr="00B87A27">
        <w:rPr>
          <w:lang w:val="fr-FR"/>
        </w:rPr>
        <w:t>: 22 juin 2017</w:t>
      </w:r>
    </w:p>
    <w:p w:rsidR="00421A10" w:rsidRDefault="0029791D" w:rsidP="0029791D">
      <w:pPr>
        <w:pStyle w:val="H1G"/>
      </w:pPr>
      <w:r>
        <w:tab/>
      </w:r>
      <w:r>
        <w:tab/>
      </w:r>
      <w:r w:rsidR="00B87A27" w:rsidRPr="00B87A27">
        <w:rPr>
          <w:lang w:val="fr-FR"/>
        </w:rPr>
        <w:t xml:space="preserve">Prescriptions uniformes relatives à l’homologation des feux </w:t>
      </w:r>
      <w:r w:rsidR="00B87A27">
        <w:rPr>
          <w:lang w:val="fr-FR"/>
        </w:rPr>
        <w:br/>
      </w:r>
      <w:r w:rsidR="00B87A27" w:rsidRPr="00B87A27">
        <w:rPr>
          <w:lang w:val="fr-FR"/>
        </w:rPr>
        <w:t>de circulation diurne pour véhicules à moteur</w:t>
      </w:r>
    </w:p>
    <w:p w:rsidR="00B87A27" w:rsidRDefault="00B87A27" w:rsidP="00B87A27">
      <w:pPr>
        <w:pStyle w:val="SingleTxtG"/>
        <w:rPr>
          <w:lang w:val="fr-FR"/>
        </w:rPr>
      </w:pPr>
      <w:r>
        <w:rPr>
          <w:lang w:val="fr-FR"/>
        </w:rPr>
        <w:tab/>
      </w:r>
      <w:r w:rsidRPr="00B87A27">
        <w:rPr>
          <w:lang w:val="fr-FR"/>
        </w:rPr>
        <w:t>Le présent document est communiqué uniquement à titre d’information. Le texte authentique, juridiquement contraignant, est celui du document ECE/TRANS/WP.29/</w:t>
      </w:r>
      <w:r>
        <w:rPr>
          <w:lang w:val="fr-FR"/>
        </w:rPr>
        <w:br/>
      </w:r>
      <w:r w:rsidRPr="00B87A27">
        <w:rPr>
          <w:lang w:val="fr-FR"/>
        </w:rPr>
        <w:t>2016/84</w:t>
      </w:r>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Pr>
          <w:lang w:val="fr-FR"/>
        </w:rPr>
        <w:t>.</w:t>
      </w:r>
    </w:p>
    <w:p w:rsidR="00B87A27" w:rsidRPr="001C0478" w:rsidRDefault="00B87A27" w:rsidP="00B87A27">
      <w:pPr>
        <w:pStyle w:val="SingleTxtG"/>
        <w:rPr>
          <w:iCs/>
          <w:lang w:val="fr-FR"/>
        </w:rPr>
      </w:pPr>
      <w:r>
        <w:rPr>
          <w:lang w:val="fr-FR"/>
        </w:rPr>
        <w:br w:type="page"/>
      </w:r>
      <w:r w:rsidRPr="001C0478">
        <w:rPr>
          <w:i/>
          <w:iCs/>
          <w:lang w:val="fr-FR"/>
        </w:rPr>
        <w:lastRenderedPageBreak/>
        <w:t>Paragraphe 7.4.2</w:t>
      </w:r>
      <w:r w:rsidRPr="001C0478">
        <w:rPr>
          <w:lang w:val="fr-FR"/>
        </w:rPr>
        <w:t>, modifier comme suit</w:t>
      </w:r>
      <w:r>
        <w:rPr>
          <w:lang w:val="fr-FR"/>
        </w:rPr>
        <w:t> </w:t>
      </w:r>
      <w:r w:rsidRPr="001C0478">
        <w:rPr>
          <w:lang w:val="fr-FR"/>
        </w:rPr>
        <w:t>:</w:t>
      </w:r>
    </w:p>
    <w:p w:rsidR="00B87A27" w:rsidRPr="001C0478" w:rsidRDefault="00B87A27" w:rsidP="00B87A27">
      <w:pPr>
        <w:pStyle w:val="SingleTxtG"/>
        <w:ind w:left="2268" w:hanging="1134"/>
        <w:rPr>
          <w:lang w:val="fr-FR"/>
        </w:rPr>
      </w:pPr>
      <w:r w:rsidRPr="001C0478">
        <w:rPr>
          <w:iCs/>
          <w:lang w:val="fr-FR"/>
        </w:rPr>
        <w:t>« 7.4.2</w:t>
      </w:r>
      <w:r w:rsidRPr="001C0478">
        <w:rPr>
          <w:i/>
          <w:iCs/>
          <w:lang w:val="fr-FR"/>
        </w:rPr>
        <w:tab/>
      </w:r>
      <w:r w:rsidRPr="001C0478">
        <w:rPr>
          <w:lang w:val="fr-FR"/>
        </w:rPr>
        <w:t>En cas de défaillance de l’une quelconque des sources lumineuses équipant un feu simple comportant plusieurs sources lumineuses, l’une des dispositions ci-après s’applique :</w:t>
      </w:r>
    </w:p>
    <w:p w:rsidR="00B87A27" w:rsidRPr="001C0478" w:rsidRDefault="00B87A27" w:rsidP="00B87A27">
      <w:pPr>
        <w:pStyle w:val="SingleTxtG"/>
        <w:ind w:left="2835" w:hanging="567"/>
        <w:rPr>
          <w:lang w:val="fr-FR"/>
        </w:rPr>
      </w:pPr>
      <w:r w:rsidRPr="001C0478">
        <w:rPr>
          <w:lang w:val="fr-FR"/>
        </w:rPr>
        <w:t>a)</w:t>
      </w:r>
      <w:r w:rsidRPr="001C0478">
        <w:rPr>
          <w:lang w:val="fr-FR"/>
        </w:rPr>
        <w:tab/>
        <w:t>L’intensité lumineuse mesurée aux points de répartition normale de la lumière définis à l’annexe 3 du présent Règlement doit équivaloir à au moins 80 % de la valeur minimale d’intensité requise ; ou</w:t>
      </w:r>
    </w:p>
    <w:p w:rsidR="00B87A27" w:rsidRPr="001C0478" w:rsidRDefault="00B87A27" w:rsidP="00B87A27">
      <w:pPr>
        <w:pStyle w:val="SingleTxtG"/>
        <w:ind w:left="2835" w:hanging="567"/>
        <w:rPr>
          <w:b/>
          <w:lang w:val="fr-FR"/>
        </w:rPr>
      </w:pPr>
      <w:r w:rsidRPr="001C0478">
        <w:rPr>
          <w:lang w:val="fr-FR"/>
        </w:rPr>
        <w:t>b)</w:t>
      </w:r>
      <w:r w:rsidRPr="001C0478">
        <w:rPr>
          <w:lang w:val="fr-FR"/>
        </w:rPr>
        <w:tab/>
        <w:t>L’intensité lumineuse mesurée sur l’axe de référence doit équivaloir à au moins 50 % de la valeur minimale d’intensité requise, à condition que la fiche de communication contienne une note précisant que le feu en question ne peut être utilisé que sur un véhicule équipé d’un témoin indiquant un défaut de fonctionnement. »</w:t>
      </w:r>
      <w:r>
        <w:rPr>
          <w:lang w:val="fr-FR"/>
        </w:rPr>
        <w:t>.</w:t>
      </w:r>
    </w:p>
    <w:p w:rsidR="00B87A27" w:rsidRPr="001C0478" w:rsidRDefault="00B87A27" w:rsidP="00B87A27">
      <w:pPr>
        <w:pStyle w:val="SingleTxtG"/>
        <w:rPr>
          <w:i/>
          <w:lang w:val="fr-FR"/>
        </w:rPr>
      </w:pPr>
      <w:r w:rsidRPr="001C0478">
        <w:rPr>
          <w:i/>
          <w:lang w:val="fr-FR"/>
        </w:rPr>
        <w:t>Annexe 1</w:t>
      </w:r>
    </w:p>
    <w:p w:rsidR="00B87A27" w:rsidRPr="001C0478" w:rsidRDefault="00B87A27" w:rsidP="00B87A27">
      <w:pPr>
        <w:pStyle w:val="SingleTxtG"/>
        <w:rPr>
          <w:lang w:val="fr-FR"/>
        </w:rPr>
      </w:pPr>
      <w:r w:rsidRPr="001C0478">
        <w:rPr>
          <w:i/>
          <w:lang w:val="fr-FR"/>
        </w:rPr>
        <w:t>Point 9</w:t>
      </w:r>
      <w:r w:rsidRPr="001C0478">
        <w:rPr>
          <w:lang w:val="fr-FR"/>
        </w:rPr>
        <w:t>, modifier comme suit</w:t>
      </w:r>
      <w:r>
        <w:rPr>
          <w:lang w:val="fr-FR"/>
        </w:rPr>
        <w:t> </w:t>
      </w:r>
      <w:r w:rsidRPr="001C0478">
        <w:rPr>
          <w:lang w:val="fr-FR"/>
        </w:rPr>
        <w:t>:</w:t>
      </w:r>
    </w:p>
    <w:p w:rsidR="00B87A27" w:rsidRPr="001C0478" w:rsidRDefault="00B87A27" w:rsidP="00B87A27">
      <w:pPr>
        <w:pStyle w:val="SingleTxtG"/>
        <w:ind w:left="2268" w:hanging="1134"/>
        <w:rPr>
          <w:lang w:val="fr-FR"/>
        </w:rPr>
      </w:pPr>
      <w:r w:rsidRPr="001C0478">
        <w:rPr>
          <w:lang w:val="fr-FR"/>
        </w:rPr>
        <w:t xml:space="preserve">« 9. </w:t>
      </w:r>
      <w:r w:rsidRPr="001C0478">
        <w:rPr>
          <w:lang w:val="fr-FR"/>
        </w:rPr>
        <w:tab/>
      </w:r>
      <w:r w:rsidRPr="001C0478">
        <w:rPr>
          <w:lang w:val="fr-FR"/>
        </w:rPr>
        <w:tab/>
        <w:t>Description sommaire</w:t>
      </w:r>
      <w:r>
        <w:rPr>
          <w:lang w:val="fr-FR"/>
        </w:rPr>
        <w:t> </w:t>
      </w:r>
      <w:r w:rsidRPr="001C0478">
        <w:rPr>
          <w:lang w:val="fr-FR"/>
        </w:rPr>
        <w:t>:</w:t>
      </w:r>
    </w:p>
    <w:p w:rsidR="00B87A27" w:rsidRPr="001C0478" w:rsidRDefault="00B87A27" w:rsidP="00C92ADB">
      <w:pPr>
        <w:tabs>
          <w:tab w:val="left" w:pos="2268"/>
          <w:tab w:val="left" w:leader="dot" w:pos="8497"/>
        </w:tabs>
        <w:spacing w:after="120"/>
        <w:ind w:left="2268" w:right="1134"/>
        <w:jc w:val="both"/>
        <w:rPr>
          <w:lang w:val="fr-FR"/>
        </w:rPr>
      </w:pPr>
      <w:r w:rsidRPr="001C0478">
        <w:rPr>
          <w:lang w:val="fr-FR"/>
        </w:rPr>
        <w:t xml:space="preserve">Par catégorie de feu : </w:t>
      </w:r>
      <w:r w:rsidR="00C92ADB">
        <w:rPr>
          <w:lang w:val="fr-FR"/>
        </w:rPr>
        <w:tab/>
      </w:r>
    </w:p>
    <w:p w:rsidR="00B87A27" w:rsidRPr="001C0478" w:rsidRDefault="00B87A27" w:rsidP="00C92ADB">
      <w:pPr>
        <w:tabs>
          <w:tab w:val="left" w:pos="2268"/>
          <w:tab w:val="left" w:leader="dot" w:pos="8497"/>
        </w:tabs>
        <w:spacing w:after="120"/>
        <w:ind w:left="2268" w:right="1134"/>
        <w:jc w:val="both"/>
        <w:rPr>
          <w:lang w:val="fr-FR"/>
        </w:rPr>
      </w:pPr>
      <w:r w:rsidRPr="001C0478">
        <w:rPr>
          <w:spacing w:val="-3"/>
          <w:lang w:val="fr-FR"/>
        </w:rPr>
        <w:t>Nombre, catégorie et type de source(s) lumineuse(s</w:t>
      </w:r>
      <w:r w:rsidRPr="001C0478">
        <w:rPr>
          <w:lang w:val="fr-FR"/>
        </w:rPr>
        <w:t>)</w:t>
      </w:r>
      <w:r w:rsidRPr="001C0478">
        <w:rPr>
          <w:bCs/>
          <w:sz w:val="18"/>
          <w:szCs w:val="18"/>
          <w:vertAlign w:val="superscript"/>
          <w:lang w:val="fr-FR"/>
        </w:rPr>
        <w:t>3</w:t>
      </w:r>
      <w:r w:rsidRPr="00C92ADB">
        <w:rPr>
          <w:bCs/>
          <w:lang w:val="fr-FR"/>
        </w:rPr>
        <w:t> </w:t>
      </w:r>
      <w:r w:rsidRPr="001C0478">
        <w:rPr>
          <w:bCs/>
          <w:sz w:val="18"/>
          <w:szCs w:val="18"/>
          <w:lang w:val="fr-FR"/>
        </w:rPr>
        <w:t>:</w:t>
      </w:r>
      <w:r>
        <w:rPr>
          <w:bCs/>
          <w:sz w:val="18"/>
          <w:szCs w:val="18"/>
          <w:lang w:val="fr-FR"/>
        </w:rPr>
        <w:t xml:space="preserve"> </w:t>
      </w:r>
      <w:r w:rsidR="00C92ADB">
        <w:rPr>
          <w:bCs/>
          <w:lang w:val="fr-FR"/>
        </w:rPr>
        <w:tab/>
      </w:r>
    </w:p>
    <w:p w:rsidR="00B87A27" w:rsidRPr="001C0478" w:rsidRDefault="00B87A27" w:rsidP="00C92ADB">
      <w:pPr>
        <w:tabs>
          <w:tab w:val="left" w:pos="2268"/>
          <w:tab w:val="left" w:leader="dot" w:pos="8497"/>
        </w:tabs>
        <w:spacing w:after="120"/>
        <w:ind w:left="2268" w:right="1134"/>
        <w:jc w:val="both"/>
        <w:rPr>
          <w:lang w:val="fr-FR"/>
        </w:rPr>
      </w:pPr>
      <w:r w:rsidRPr="001C0478">
        <w:rPr>
          <w:lang w:val="fr-FR"/>
        </w:rPr>
        <w:t>Tension et puissance</w:t>
      </w:r>
      <w:r w:rsidR="00C92ADB">
        <w:rPr>
          <w:lang w:val="fr-FR"/>
        </w:rPr>
        <w:t> </w:t>
      </w:r>
      <w:r w:rsidRPr="001C0478">
        <w:rPr>
          <w:lang w:val="fr-FR"/>
        </w:rPr>
        <w:t xml:space="preserve">: </w:t>
      </w:r>
      <w:r w:rsidR="00C92ADB">
        <w:rPr>
          <w:lang w:val="fr-FR"/>
        </w:rPr>
        <w:tab/>
      </w:r>
    </w:p>
    <w:p w:rsidR="00B87A27" w:rsidRPr="001C0478" w:rsidRDefault="00B87A27" w:rsidP="00B87A27">
      <w:pPr>
        <w:spacing w:after="120"/>
        <w:ind w:left="2268" w:right="1134"/>
        <w:jc w:val="both"/>
        <w:rPr>
          <w:lang w:val="fr-FR"/>
        </w:rPr>
      </w:pPr>
      <w:r w:rsidRPr="001C0478">
        <w:rPr>
          <w:spacing w:val="-2"/>
          <w:lang w:val="fr-FR"/>
        </w:rPr>
        <w:t>Application d’un dispositif de régulation électronique des sources lumineuses </w:t>
      </w:r>
      <w:r w:rsidRPr="001C0478">
        <w:rPr>
          <w:lang w:val="fr-FR"/>
        </w:rPr>
        <w:t>:</w:t>
      </w:r>
    </w:p>
    <w:p w:rsidR="00B87A27" w:rsidRPr="001C0478" w:rsidRDefault="00B87A27" w:rsidP="00C92ADB">
      <w:pPr>
        <w:pStyle w:val="SingleTxtG"/>
        <w:ind w:left="2835" w:hanging="567"/>
        <w:rPr>
          <w:b/>
          <w:bCs/>
          <w:lang w:val="fr-FR"/>
        </w:rPr>
      </w:pPr>
      <w:r w:rsidRPr="001C0478">
        <w:rPr>
          <w:lang w:val="fr-FR"/>
        </w:rPr>
        <w:t>a)</w:t>
      </w:r>
      <w:r w:rsidRPr="001C0478">
        <w:rPr>
          <w:lang w:val="fr-FR"/>
        </w:rPr>
        <w:tab/>
        <w:t>Faisant partie du feu : oui/non</w:t>
      </w:r>
      <w:r w:rsidRPr="001C0478">
        <w:rPr>
          <w:bCs/>
          <w:sz w:val="18"/>
          <w:szCs w:val="18"/>
          <w:vertAlign w:val="superscript"/>
          <w:lang w:val="fr-FR"/>
        </w:rPr>
        <w:t>2</w:t>
      </w:r>
    </w:p>
    <w:p w:rsidR="00B87A27" w:rsidRPr="001C0478" w:rsidRDefault="00B87A27" w:rsidP="00C92ADB">
      <w:pPr>
        <w:pStyle w:val="SingleTxtG"/>
        <w:ind w:left="2835" w:hanging="567"/>
        <w:rPr>
          <w:bCs/>
          <w:lang w:val="fr-FR"/>
        </w:rPr>
      </w:pPr>
      <w:r w:rsidRPr="001C0478">
        <w:rPr>
          <w:lang w:val="fr-FR"/>
        </w:rPr>
        <w:t>b)</w:t>
      </w:r>
      <w:r w:rsidRPr="001C0478">
        <w:rPr>
          <w:lang w:val="fr-FR"/>
        </w:rPr>
        <w:tab/>
        <w:t>Ne faisant pas partie du feu : oui/non</w:t>
      </w:r>
      <w:r w:rsidRPr="001C0478">
        <w:rPr>
          <w:bCs/>
          <w:sz w:val="18"/>
          <w:szCs w:val="18"/>
          <w:vertAlign w:val="superscript"/>
          <w:lang w:val="fr-FR"/>
        </w:rPr>
        <w:t>2</w:t>
      </w:r>
    </w:p>
    <w:p w:rsidR="00B87A27" w:rsidRPr="001C0478" w:rsidRDefault="00B87A27" w:rsidP="00C92ADB">
      <w:pPr>
        <w:tabs>
          <w:tab w:val="left" w:pos="2268"/>
          <w:tab w:val="left" w:leader="dot" w:pos="8497"/>
        </w:tabs>
        <w:spacing w:after="120"/>
        <w:ind w:left="2268" w:right="1134"/>
        <w:jc w:val="both"/>
        <w:rPr>
          <w:lang w:val="fr-FR"/>
        </w:rPr>
      </w:pPr>
      <w:r w:rsidRPr="001C0478">
        <w:rPr>
          <w:lang w:val="fr-FR"/>
        </w:rPr>
        <w:t xml:space="preserve">Tension d’entrée fournie par un dispositif de régulation électronique des sources lumineuses : </w:t>
      </w:r>
      <w:r w:rsidR="00C92ADB">
        <w:rPr>
          <w:lang w:val="fr-FR"/>
        </w:rPr>
        <w:tab/>
      </w:r>
    </w:p>
    <w:p w:rsidR="00B87A27" w:rsidRPr="001C0478" w:rsidRDefault="00B87A27" w:rsidP="00C92ADB">
      <w:pPr>
        <w:tabs>
          <w:tab w:val="left" w:pos="2268"/>
          <w:tab w:val="left" w:leader="dot" w:pos="8497"/>
        </w:tabs>
        <w:spacing w:after="120"/>
        <w:ind w:left="2268" w:right="1134"/>
        <w:jc w:val="both"/>
        <w:rPr>
          <w:lang w:val="fr-FR"/>
        </w:rPr>
      </w:pPr>
      <w:r w:rsidRPr="001C0478">
        <w:rPr>
          <w:lang w:val="fr-FR"/>
        </w:rPr>
        <w:t xml:space="preserve">Fabricant du dispositif de régulation électronique des sources lumineuses et numéro d’identification (lorsque le dispositif de régulation des sources lumineuses fait partie du feu sans être intégré au boîtier) : </w:t>
      </w:r>
      <w:r w:rsidR="00C92ADB">
        <w:rPr>
          <w:lang w:val="fr-FR"/>
        </w:rPr>
        <w:tab/>
      </w:r>
    </w:p>
    <w:p w:rsidR="00B87A27" w:rsidRPr="001C0478" w:rsidRDefault="00B87A27" w:rsidP="00C92ADB">
      <w:pPr>
        <w:tabs>
          <w:tab w:val="left" w:pos="2268"/>
          <w:tab w:val="left" w:leader="dot" w:pos="8497"/>
        </w:tabs>
        <w:spacing w:after="120"/>
        <w:ind w:left="2268" w:right="1134"/>
        <w:jc w:val="both"/>
        <w:rPr>
          <w:vertAlign w:val="superscript"/>
          <w:lang w:val="fr-FR"/>
        </w:rPr>
      </w:pPr>
      <w:r w:rsidRPr="001C0478">
        <w:rPr>
          <w:lang w:val="fr-FR"/>
        </w:rPr>
        <w:t>Le feu ne peut être utilisé que sur un véhicule équipé d’un témoin indiquant un défaut de fonctionnement : oui/non</w:t>
      </w:r>
      <w:r w:rsidRPr="001C0478">
        <w:rPr>
          <w:bCs/>
          <w:sz w:val="18"/>
          <w:szCs w:val="18"/>
          <w:vertAlign w:val="superscript"/>
          <w:lang w:val="fr-FR"/>
        </w:rPr>
        <w:t>2</w:t>
      </w:r>
      <w:r w:rsidRPr="001C0478">
        <w:rPr>
          <w:sz w:val="18"/>
          <w:szCs w:val="18"/>
          <w:vertAlign w:val="superscript"/>
          <w:lang w:val="fr-FR"/>
        </w:rPr>
        <w:t xml:space="preserve"> </w:t>
      </w:r>
    </w:p>
    <w:p w:rsidR="00B87A27" w:rsidRPr="001C0478" w:rsidRDefault="00B87A27" w:rsidP="00B87A27">
      <w:pPr>
        <w:spacing w:after="120"/>
        <w:ind w:left="567" w:right="1134"/>
        <w:jc w:val="both"/>
        <w:rPr>
          <w:lang w:val="fr-FR"/>
        </w:rPr>
      </w:pPr>
      <w:r w:rsidRPr="001C0478">
        <w:rPr>
          <w:lang w:val="fr-FR"/>
        </w:rPr>
        <w:t>______________</w:t>
      </w:r>
    </w:p>
    <w:p w:rsidR="00B87A27" w:rsidRPr="000A7018" w:rsidRDefault="00B87A27" w:rsidP="00B87A27">
      <w:pPr>
        <w:pStyle w:val="Notedebasdepage"/>
        <w:rPr>
          <w:lang w:val="fr-FR"/>
        </w:rPr>
      </w:pPr>
      <w:r w:rsidRPr="000A7018">
        <w:rPr>
          <w:vertAlign w:val="superscript"/>
          <w:lang w:val="fr-FR"/>
        </w:rPr>
        <w:tab/>
        <w:t xml:space="preserve">2 </w:t>
      </w:r>
      <w:r w:rsidRPr="000A7018">
        <w:rPr>
          <w:vertAlign w:val="superscript"/>
          <w:lang w:val="fr-FR"/>
        </w:rPr>
        <w:tab/>
      </w:r>
      <w:r>
        <w:rPr>
          <w:lang w:val="fr-FR"/>
        </w:rPr>
        <w:t>Biffer la mention inutile</w:t>
      </w:r>
      <w:r w:rsidRPr="000A7018">
        <w:rPr>
          <w:lang w:val="fr-FR"/>
        </w:rPr>
        <w:t xml:space="preserve">. </w:t>
      </w:r>
    </w:p>
    <w:p w:rsidR="00B87A27" w:rsidRPr="000A7018" w:rsidRDefault="00B87A27" w:rsidP="00B87A27">
      <w:pPr>
        <w:pStyle w:val="Notedebasdepage"/>
        <w:rPr>
          <w:lang w:val="fr-FR"/>
        </w:rPr>
      </w:pPr>
      <w:r w:rsidRPr="000A7018">
        <w:rPr>
          <w:vertAlign w:val="superscript"/>
          <w:lang w:val="fr-FR"/>
        </w:rPr>
        <w:tab/>
        <w:t xml:space="preserve">3 </w:t>
      </w:r>
      <w:r w:rsidRPr="000A7018">
        <w:rPr>
          <w:vertAlign w:val="superscript"/>
          <w:lang w:val="fr-FR"/>
        </w:rPr>
        <w:tab/>
      </w:r>
      <w:r w:rsidRPr="001C0478">
        <w:t>Pour les feux de circulation diurne dont les sources lumineuses ne sont pas remplaçables, indiquer le nombre et la puissance totale des sources lumineuses utilisées</w:t>
      </w:r>
      <w:r w:rsidRPr="000A7018">
        <w:rPr>
          <w:lang w:val="fr-FR"/>
        </w:rPr>
        <w:t>.</w:t>
      </w:r>
      <w:r w:rsidRPr="00C92ADB">
        <w:rPr>
          <w:sz w:val="20"/>
          <w:lang w:val="fr-FR"/>
        </w:rPr>
        <w:t> »</w:t>
      </w:r>
      <w:r w:rsidR="00C92ADB">
        <w:rPr>
          <w:sz w:val="20"/>
          <w:lang w:val="fr-FR"/>
        </w:rPr>
        <w:t>.</w:t>
      </w:r>
      <w:bookmarkStart w:id="0" w:name="_GoBack"/>
      <w:bookmarkEnd w:id="0"/>
      <w:r w:rsidRPr="000A7018">
        <w:rPr>
          <w:lang w:val="fr-FR"/>
        </w:rPr>
        <w:t xml:space="preserve"> </w:t>
      </w:r>
    </w:p>
    <w:p w:rsidR="005F0207" w:rsidRPr="00B87A27" w:rsidRDefault="00B87A27" w:rsidP="00B87A2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0207" w:rsidRPr="00B87A27" w:rsidSect="00B87A2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675" w:rsidRDefault="00B95675"/>
  </w:endnote>
  <w:endnote w:type="continuationSeparator" w:id="0">
    <w:p w:rsidR="00B95675" w:rsidRDefault="00B95675">
      <w:pPr>
        <w:pStyle w:val="Pieddepage"/>
      </w:pPr>
    </w:p>
  </w:endnote>
  <w:endnote w:type="continuationNotice" w:id="1">
    <w:p w:rsidR="00B95675" w:rsidRPr="00C451B9" w:rsidRDefault="00B9567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27" w:rsidRPr="00B87A27" w:rsidRDefault="00B87A27" w:rsidP="00B87A27">
    <w:pPr>
      <w:pStyle w:val="Pieddepage"/>
      <w:tabs>
        <w:tab w:val="right" w:pos="9638"/>
      </w:tabs>
    </w:pPr>
    <w:r w:rsidRPr="00B87A27">
      <w:rPr>
        <w:b/>
        <w:sz w:val="18"/>
      </w:rPr>
      <w:fldChar w:fldCharType="begin"/>
    </w:r>
    <w:r w:rsidRPr="00B87A27">
      <w:rPr>
        <w:b/>
        <w:sz w:val="18"/>
      </w:rPr>
      <w:instrText xml:space="preserve"> PAGE  \* MERGEFORMAT </w:instrText>
    </w:r>
    <w:r w:rsidRPr="00B87A27">
      <w:rPr>
        <w:b/>
        <w:sz w:val="18"/>
      </w:rPr>
      <w:fldChar w:fldCharType="separate"/>
    </w:r>
    <w:r w:rsidRPr="00B87A27">
      <w:rPr>
        <w:b/>
        <w:noProof/>
        <w:sz w:val="18"/>
      </w:rPr>
      <w:t>2</w:t>
    </w:r>
    <w:r w:rsidRPr="00B87A27">
      <w:rPr>
        <w:b/>
        <w:sz w:val="18"/>
      </w:rPr>
      <w:fldChar w:fldCharType="end"/>
    </w:r>
    <w:r>
      <w:rPr>
        <w:b/>
        <w:sz w:val="18"/>
      </w:rPr>
      <w:tab/>
    </w:r>
    <w:r>
      <w:t>GE.20-06141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27" w:rsidRPr="00B87A27" w:rsidRDefault="00B87A27" w:rsidP="00B87A27">
    <w:pPr>
      <w:pStyle w:val="Pieddepage"/>
      <w:tabs>
        <w:tab w:val="right" w:pos="9638"/>
      </w:tabs>
      <w:rPr>
        <w:b/>
        <w:sz w:val="18"/>
      </w:rPr>
    </w:pPr>
    <w:r>
      <w:t>GE.20-06141</w:t>
    </w:r>
    <w:r>
      <w:tab/>
    </w:r>
    <w:r w:rsidRPr="00B87A27">
      <w:rPr>
        <w:b/>
        <w:sz w:val="18"/>
      </w:rPr>
      <w:fldChar w:fldCharType="begin"/>
    </w:r>
    <w:r w:rsidRPr="00B87A27">
      <w:rPr>
        <w:b/>
        <w:sz w:val="18"/>
      </w:rPr>
      <w:instrText xml:space="preserve"> PAGE  \* MERGEFORMAT </w:instrText>
    </w:r>
    <w:r w:rsidRPr="00B87A27">
      <w:rPr>
        <w:b/>
        <w:sz w:val="18"/>
      </w:rPr>
      <w:fldChar w:fldCharType="separate"/>
    </w:r>
    <w:r w:rsidRPr="00B87A27">
      <w:rPr>
        <w:b/>
        <w:noProof/>
        <w:sz w:val="18"/>
      </w:rPr>
      <w:t>3</w:t>
    </w:r>
    <w:r w:rsidRPr="00B87A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B87A27" w:rsidRDefault="00B87A27" w:rsidP="00B87A27">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20-06141  (F)    160620    160620</w:t>
    </w:r>
    <w:r>
      <w:rPr>
        <w:sz w:val="20"/>
      </w:rPr>
      <w:br/>
    </w:r>
    <w:r w:rsidRPr="00B87A27">
      <w:rPr>
        <w:rFonts w:ascii="C39T30Lfz" w:hAnsi="C39T30Lfz"/>
        <w:sz w:val="56"/>
      </w:rPr>
      <w:t></w:t>
    </w:r>
    <w:r w:rsidRPr="00B87A27">
      <w:rPr>
        <w:rFonts w:ascii="C39T30Lfz" w:hAnsi="C39T30Lfz"/>
        <w:sz w:val="56"/>
      </w:rPr>
      <w:t></w:t>
    </w:r>
    <w:r w:rsidRPr="00B87A27">
      <w:rPr>
        <w:rFonts w:ascii="C39T30Lfz" w:hAnsi="C39T30Lfz"/>
        <w:sz w:val="56"/>
      </w:rPr>
      <w:t></w:t>
    </w:r>
    <w:r w:rsidRPr="00B87A27">
      <w:rPr>
        <w:rFonts w:ascii="C39T30Lfz" w:hAnsi="C39T30Lfz"/>
        <w:sz w:val="56"/>
      </w:rPr>
      <w:t></w:t>
    </w:r>
    <w:r w:rsidRPr="00B87A27">
      <w:rPr>
        <w:rFonts w:ascii="C39T30Lfz" w:hAnsi="C39T30Lfz"/>
        <w:sz w:val="56"/>
      </w:rPr>
      <w:t></w:t>
    </w:r>
    <w:r w:rsidRPr="00B87A27">
      <w:rPr>
        <w:rFonts w:ascii="C39T30Lfz" w:hAnsi="C39T30Lfz"/>
        <w:sz w:val="56"/>
      </w:rPr>
      <w:t></w:t>
    </w:r>
    <w:r w:rsidRPr="00B87A27">
      <w:rPr>
        <w:rFonts w:ascii="C39T30Lfz" w:hAnsi="C39T30Lfz"/>
        <w:sz w:val="56"/>
      </w:rPr>
      <w:t></w:t>
    </w:r>
    <w:r w:rsidRPr="00B87A27">
      <w:rPr>
        <w:rFonts w:ascii="C39T30Lfz" w:hAnsi="C39T30Lfz"/>
        <w:sz w:val="56"/>
      </w:rPr>
      <w:t></w:t>
    </w:r>
    <w:r w:rsidRPr="00B87A27">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675" w:rsidRPr="00D27D5E" w:rsidRDefault="00B95675" w:rsidP="00D27D5E">
      <w:pPr>
        <w:tabs>
          <w:tab w:val="right" w:pos="2155"/>
        </w:tabs>
        <w:spacing w:after="80"/>
        <w:ind w:left="680"/>
        <w:rPr>
          <w:u w:val="single"/>
        </w:rPr>
      </w:pPr>
      <w:r>
        <w:rPr>
          <w:u w:val="single"/>
        </w:rPr>
        <w:tab/>
      </w:r>
    </w:p>
  </w:footnote>
  <w:footnote w:type="continuationSeparator" w:id="0">
    <w:p w:rsidR="00B95675" w:rsidRPr="00D171D4" w:rsidRDefault="00B95675" w:rsidP="00D171D4">
      <w:pPr>
        <w:tabs>
          <w:tab w:val="right" w:pos="2155"/>
        </w:tabs>
        <w:spacing w:after="80"/>
        <w:ind w:left="680"/>
        <w:rPr>
          <w:u w:val="single"/>
        </w:rPr>
      </w:pPr>
      <w:r w:rsidRPr="00D171D4">
        <w:rPr>
          <w:u w:val="single"/>
        </w:rPr>
        <w:tab/>
      </w:r>
    </w:p>
  </w:footnote>
  <w:footnote w:type="continuationNotice" w:id="1">
    <w:p w:rsidR="00B95675" w:rsidRPr="00C451B9" w:rsidRDefault="00B95675" w:rsidP="00C451B9">
      <w:pPr>
        <w:spacing w:line="240" w:lineRule="auto"/>
        <w:rPr>
          <w:sz w:val="2"/>
          <w:szCs w:val="2"/>
        </w:rPr>
      </w:pPr>
    </w:p>
  </w:footnote>
  <w:footnote w:id="2">
    <w:p w:rsidR="00B87A27" w:rsidRPr="00D13D8B" w:rsidRDefault="00B87A27" w:rsidP="00B87A27">
      <w:pPr>
        <w:pStyle w:val="Notedebasdepage"/>
        <w:rPr>
          <w:lang w:val="fr-FR"/>
        </w:rPr>
      </w:pPr>
      <w:r>
        <w:tab/>
      </w:r>
      <w:r w:rsidRPr="00B87A27">
        <w:rPr>
          <w:rStyle w:val="Appelnotedebasdep"/>
          <w:sz w:val="20"/>
          <w:vertAlign w:val="baseline"/>
        </w:rPr>
        <w:t>*</w:t>
      </w:r>
      <w:r>
        <w:rPr>
          <w:sz w:val="20"/>
        </w:rPr>
        <w:tab/>
      </w:r>
      <w:r w:rsidRPr="00D13D8B">
        <w:rPr>
          <w:lang w:val="fr-FR"/>
        </w:rPr>
        <w:t>A</w:t>
      </w:r>
      <w:r>
        <w:rPr>
          <w:lang w:val="fr-FR"/>
        </w:rPr>
        <w:t>ncien</w:t>
      </w:r>
      <w:r w:rsidRPr="00D13D8B">
        <w:rPr>
          <w:lang w:val="fr-FR"/>
        </w:rPr>
        <w:t>s titres de l’Accord</w:t>
      </w:r>
      <w:r>
        <w:rPr>
          <w:lang w:val="fr-FR"/>
        </w:rPr>
        <w:t> </w:t>
      </w:r>
      <w:r w:rsidRPr="00D13D8B">
        <w:rPr>
          <w:lang w:val="fr-FR"/>
        </w:rPr>
        <w:t>:</w:t>
      </w:r>
    </w:p>
    <w:p w:rsidR="00B87A27" w:rsidRPr="00D13D8B" w:rsidRDefault="00B87A27" w:rsidP="00B87A27">
      <w:pPr>
        <w:pStyle w:val="Notedebasdepage"/>
        <w:rPr>
          <w:lang w:val="fr-FR"/>
        </w:rPr>
      </w:pPr>
      <w:r w:rsidRPr="00D13D8B">
        <w:rPr>
          <w:lang w:val="fr-FR"/>
        </w:rPr>
        <w:tab/>
      </w:r>
      <w:r w:rsidRPr="00D13D8B">
        <w:rPr>
          <w:lang w:val="fr-FR"/>
        </w:rPr>
        <w:tab/>
        <w:t xml:space="preserve">Accord concernant l’adoption de conditions uniformes d’homologation et la reconnaissance réciproque de l’homologation des équipements et pièces de véhicules à moteur, </w:t>
      </w:r>
      <w:r>
        <w:rPr>
          <w:lang w:val="fr-FR"/>
        </w:rPr>
        <w:t>en date, à Genève, du 20</w:t>
      </w:r>
      <w:r>
        <w:rPr>
          <w:lang w:val="fr-FR"/>
        </w:rPr>
        <w:t> </w:t>
      </w:r>
      <w:r>
        <w:rPr>
          <w:lang w:val="fr-FR"/>
        </w:rPr>
        <w:t>mars 1958 (version originale) ;</w:t>
      </w:r>
    </w:p>
    <w:p w:rsidR="00B87A27" w:rsidRPr="00E53330" w:rsidRDefault="00B87A27" w:rsidP="00B87A27">
      <w:pPr>
        <w:pStyle w:val="Notedebasdepage"/>
      </w:pPr>
      <w:r w:rsidRPr="00D13D8B">
        <w:rPr>
          <w:lang w:val="fr-FR"/>
        </w:rPr>
        <w:tab/>
      </w:r>
      <w:r w:rsidRPr="00D13D8B">
        <w:rPr>
          <w:lang w:val="fr-FR"/>
        </w:rPr>
        <w:tab/>
      </w:r>
      <w:r>
        <w:rPr>
          <w:lang w:val="fr-FR"/>
        </w:rP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r w:rsidRPr="00B87A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27" w:rsidRPr="00B87A27" w:rsidRDefault="00B87A27">
    <w:pPr>
      <w:pStyle w:val="En-tte"/>
      <w:rPr>
        <w:lang w:val="en-US"/>
      </w:rPr>
    </w:pPr>
    <w:r>
      <w:fldChar w:fldCharType="begin"/>
    </w:r>
    <w:r w:rsidRPr="00B87A27">
      <w:rPr>
        <w:lang w:val="en-US"/>
      </w:rPr>
      <w:instrText xml:space="preserve"> TITLE  \* MERGEFORMAT </w:instrText>
    </w:r>
    <w:r>
      <w:fldChar w:fldCharType="separate"/>
    </w:r>
    <w:r w:rsidRPr="00B87A27">
      <w:rPr>
        <w:lang w:val="en-US"/>
      </w:rPr>
      <w:t>E/ECE/324/Rev.1/Add.86/Rev.3/Amend.2</w:t>
    </w:r>
    <w:r>
      <w:fldChar w:fldCharType="end"/>
    </w:r>
    <w:r w:rsidRPr="00B87A27">
      <w:rPr>
        <w:lang w:val="en-US"/>
      </w:rPr>
      <w:br/>
    </w:r>
    <w:r>
      <w:fldChar w:fldCharType="begin"/>
    </w:r>
    <w:r w:rsidRPr="00B87A27">
      <w:rPr>
        <w:lang w:val="en-US"/>
      </w:rPr>
      <w:instrText xml:space="preserve"> KEYWORDS  \* MERGEFORMAT </w:instrText>
    </w:r>
    <w:r>
      <w:fldChar w:fldCharType="separate"/>
    </w:r>
    <w:r w:rsidRPr="00B87A27">
      <w:rPr>
        <w:lang w:val="en-US"/>
      </w:rPr>
      <w:t>E/ECE/TRANS/505/Rev.1/Add.86/Rev.3/Amend.2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27" w:rsidRPr="00B87A27" w:rsidRDefault="00B87A27" w:rsidP="00B87A27">
    <w:pPr>
      <w:pStyle w:val="En-tte"/>
      <w:jc w:val="right"/>
      <w:rPr>
        <w:lang w:val="en-US"/>
      </w:rPr>
    </w:pPr>
    <w:r>
      <w:fldChar w:fldCharType="begin"/>
    </w:r>
    <w:r w:rsidRPr="00B87A27">
      <w:rPr>
        <w:lang w:val="en-US"/>
      </w:rPr>
      <w:instrText xml:space="preserve"> TITLE  \* MERGEFORMAT </w:instrText>
    </w:r>
    <w:r>
      <w:fldChar w:fldCharType="separate"/>
    </w:r>
    <w:r w:rsidRPr="00B87A27">
      <w:rPr>
        <w:lang w:val="en-US"/>
      </w:rPr>
      <w:t>E/ECE/324/Rev.1/Add.86/Rev.3/Amend.2</w:t>
    </w:r>
    <w:r>
      <w:fldChar w:fldCharType="end"/>
    </w:r>
    <w:r w:rsidRPr="00B87A27">
      <w:rPr>
        <w:lang w:val="en-US"/>
      </w:rPr>
      <w:br/>
    </w:r>
    <w:r>
      <w:fldChar w:fldCharType="begin"/>
    </w:r>
    <w:r w:rsidRPr="00B87A27">
      <w:rPr>
        <w:lang w:val="en-US"/>
      </w:rPr>
      <w:instrText xml:space="preserve"> KEYWORDS  \* MERGEFORMAT </w:instrText>
    </w:r>
    <w:r>
      <w:fldChar w:fldCharType="separate"/>
    </w:r>
    <w:r w:rsidRPr="00B87A27">
      <w:rPr>
        <w:lang w:val="en-US"/>
      </w:rPr>
      <w:t>E/ECE/TRANS/505/Rev.1/Add.86/Rev.3/Amend.2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567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87A27"/>
    <w:rsid w:val="00B95675"/>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2ADB"/>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538F2"/>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D6B2D25"/>
  <w15:docId w15:val="{981F2E57-8088-4017-BFA6-6567E6AF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paragraph" w:styleId="Paragraphedeliste">
    <w:name w:val="List Paragraph"/>
    <w:basedOn w:val="Normal"/>
    <w:uiPriority w:val="34"/>
    <w:qFormat/>
    <w:rsid w:val="00B87A27"/>
    <w:pPr>
      <w:kinsoku/>
      <w:overflowPunct/>
      <w:autoSpaceDE/>
      <w:autoSpaceDN/>
      <w:adjustRightInd/>
      <w:snapToGrid/>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4D6DF-0612-4FB4-9C34-CC4FBA8B2002}"/>
</file>

<file path=customXml/itemProps2.xml><?xml version="1.0" encoding="utf-8"?>
<ds:datastoreItem xmlns:ds="http://schemas.openxmlformats.org/officeDocument/2006/customXml" ds:itemID="{509A4290-C1F9-4F11-BBD2-4A7C81D4417E}"/>
</file>

<file path=customXml/itemProps3.xml><?xml version="1.0" encoding="utf-8"?>
<ds:datastoreItem xmlns:ds="http://schemas.openxmlformats.org/officeDocument/2006/customXml" ds:itemID="{30E5533C-EC16-47D6-9E80-DB3B163FA6DB}"/>
</file>

<file path=docProps/app.xml><?xml version="1.0" encoding="utf-8"?>
<Properties xmlns="http://schemas.openxmlformats.org/officeDocument/2006/extended-properties" xmlns:vt="http://schemas.openxmlformats.org/officeDocument/2006/docPropsVTypes">
  <Template>E_ECE_324.dotm</Template>
  <TotalTime>0</TotalTime>
  <Pages>2</Pages>
  <Words>400</Words>
  <Characters>2280</Characters>
  <Application>Microsoft Office Word</Application>
  <DocSecurity>0</DocSecurity>
  <Lines>55</Lines>
  <Paragraphs>35</Paragraphs>
  <ScaleCrop>false</ScaleCrop>
  <HeadingPairs>
    <vt:vector size="2" baseType="variant">
      <vt:variant>
        <vt:lpstr>Titre</vt:lpstr>
      </vt:variant>
      <vt:variant>
        <vt:i4>1</vt:i4>
      </vt:variant>
    </vt:vector>
  </HeadingPairs>
  <TitlesOfParts>
    <vt:vector size="1" baseType="lpstr">
      <vt:lpstr>E/ECE/324/Rev.1/Add.86/Rev.3/Amend.2</vt:lpstr>
    </vt:vector>
  </TitlesOfParts>
  <Company>CSD</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E/ECE/324/Rev.1/Add.86/Rev.3/Amend.2</dc:title>
  <dc:creator>Sandrine CLERE</dc:creator>
  <cp:keywords>E/ECE/TRANS/505/Rev.1/Add.86/Rev.3/Amend.2</cp:keywords>
  <cp:lastModifiedBy>Sandrine CLERE</cp:lastModifiedBy>
  <cp:revision>2</cp:revision>
  <cp:lastPrinted>2008-11-04T15:54:00Z</cp:lastPrinted>
  <dcterms:created xsi:type="dcterms:W3CDTF">2020-06-16T14:53:00Z</dcterms:created>
  <dcterms:modified xsi:type="dcterms:W3CDTF">2020-06-16T14:53:00Z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