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206D8" w:rsidRPr="00F76D94" w:rsidTr="005B0F6A">
        <w:trPr>
          <w:trHeight w:hRule="exact" w:val="851"/>
        </w:trPr>
        <w:tc>
          <w:tcPr>
            <w:tcW w:w="1276" w:type="dxa"/>
            <w:tcBorders>
              <w:bottom w:val="single" w:sz="4" w:space="0" w:color="auto"/>
            </w:tcBorders>
          </w:tcPr>
          <w:p w:rsidR="00E206D8" w:rsidRPr="00DB58B5" w:rsidRDefault="00E206D8" w:rsidP="001374A9">
            <w:bookmarkStart w:id="0" w:name="_Hlk55543230"/>
            <w:bookmarkEnd w:id="0"/>
          </w:p>
        </w:tc>
        <w:tc>
          <w:tcPr>
            <w:tcW w:w="8363" w:type="dxa"/>
            <w:gridSpan w:val="2"/>
            <w:tcBorders>
              <w:bottom w:val="single" w:sz="4" w:space="0" w:color="auto"/>
            </w:tcBorders>
            <w:vAlign w:val="bottom"/>
          </w:tcPr>
          <w:p w:rsidR="00E206D8" w:rsidRPr="0087068F" w:rsidRDefault="00E206D8" w:rsidP="0087068F">
            <w:pPr>
              <w:jc w:val="right"/>
              <w:rPr>
                <w:lang w:val="en-US"/>
              </w:rPr>
            </w:pPr>
            <w:r w:rsidRPr="0087068F">
              <w:rPr>
                <w:sz w:val="40"/>
                <w:lang w:val="en-US"/>
              </w:rPr>
              <w:t>E</w:t>
            </w:r>
            <w:r w:rsidR="0087068F" w:rsidRPr="0087068F">
              <w:rPr>
                <w:lang w:val="en-US"/>
              </w:rPr>
              <w:t>/ECE/324/Rev.1/Add.84/Rev.1/Amend.4</w:t>
            </w:r>
            <w:r w:rsidRPr="0087068F">
              <w:rPr>
                <w:lang w:val="en-US"/>
              </w:rPr>
              <w:t>−</w:t>
            </w:r>
            <w:r w:rsidRPr="0087068F">
              <w:rPr>
                <w:sz w:val="40"/>
                <w:lang w:val="en-US"/>
              </w:rPr>
              <w:t>E</w:t>
            </w:r>
            <w:r w:rsidR="0087068F" w:rsidRPr="0087068F">
              <w:rPr>
                <w:lang w:val="en-US"/>
              </w:rPr>
              <w:t>/ECE/TRANS/505/Rev.1/Add.84/Rev.1/Amend.4</w:t>
            </w:r>
          </w:p>
        </w:tc>
      </w:tr>
      <w:tr w:rsidR="00E206D8" w:rsidRPr="00DB58B5" w:rsidTr="0064167A">
        <w:trPr>
          <w:trHeight w:hRule="exact" w:val="2835"/>
        </w:trPr>
        <w:tc>
          <w:tcPr>
            <w:tcW w:w="6804" w:type="dxa"/>
            <w:gridSpan w:val="2"/>
            <w:tcBorders>
              <w:top w:val="single" w:sz="4" w:space="0" w:color="auto"/>
              <w:bottom w:val="single" w:sz="12" w:space="0" w:color="auto"/>
            </w:tcBorders>
          </w:tcPr>
          <w:p w:rsidR="00E206D8" w:rsidRPr="0087068F" w:rsidRDefault="00E206D8" w:rsidP="0002432E">
            <w:pPr>
              <w:spacing w:before="120" w:line="420" w:lineRule="exact"/>
              <w:rPr>
                <w:b/>
                <w:sz w:val="40"/>
                <w:szCs w:val="40"/>
                <w:lang w:val="en-US"/>
              </w:rPr>
            </w:pPr>
          </w:p>
        </w:tc>
        <w:tc>
          <w:tcPr>
            <w:tcW w:w="2835" w:type="dxa"/>
            <w:tcBorders>
              <w:top w:val="single" w:sz="4" w:space="0" w:color="auto"/>
              <w:bottom w:val="single" w:sz="12" w:space="0" w:color="auto"/>
            </w:tcBorders>
          </w:tcPr>
          <w:p w:rsidR="00E206D8" w:rsidRPr="0087068F" w:rsidRDefault="00E206D8" w:rsidP="001374A9">
            <w:pPr>
              <w:spacing w:line="240" w:lineRule="exact"/>
              <w:rPr>
                <w:lang w:val="en-US"/>
              </w:rPr>
            </w:pPr>
          </w:p>
          <w:p w:rsidR="00E206D8" w:rsidRPr="00DB58B5" w:rsidRDefault="0087068F" w:rsidP="001374A9">
            <w:pPr>
              <w:spacing w:line="240" w:lineRule="exact"/>
            </w:pPr>
            <w:r>
              <w:t>1</w:t>
            </w:r>
            <w:r w:rsidRPr="00B3534E">
              <w:rPr>
                <w:vertAlign w:val="superscript"/>
              </w:rPr>
              <w:t>er</w:t>
            </w:r>
            <w:r>
              <w:t xml:space="preserve"> juillet 2020</w:t>
            </w:r>
          </w:p>
        </w:tc>
      </w:tr>
    </w:tbl>
    <w:p w:rsidR="001374A9" w:rsidRDefault="001374A9" w:rsidP="0087068F">
      <w:pPr>
        <w:pStyle w:val="HChG"/>
        <w:spacing w:before="320"/>
      </w:pPr>
      <w:r>
        <w:tab/>
      </w:r>
      <w:r>
        <w:tab/>
        <w:t>Accord</w:t>
      </w:r>
    </w:p>
    <w:p w:rsidR="001374A9" w:rsidRPr="0087068F" w:rsidRDefault="001374A9" w:rsidP="0087068F">
      <w:pPr>
        <w:pStyle w:val="HChG"/>
        <w:spacing w:before="320"/>
        <w:rPr>
          <w:spacing w:val="-4"/>
          <w:sz w:val="24"/>
          <w:szCs w:val="24"/>
        </w:rPr>
      </w:pPr>
      <w:r>
        <w:rPr>
          <w:lang w:val="fr-FR"/>
        </w:rPr>
        <w:tab/>
      </w:r>
      <w:r>
        <w:rPr>
          <w:lang w:val="fr-FR"/>
        </w:rPr>
        <w:tab/>
      </w:r>
      <w:r w:rsidR="0087068F" w:rsidRPr="0087068F">
        <w:rPr>
          <w:spacing w:val="-4"/>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87068F" w:rsidRPr="00296686">
        <w:rPr>
          <w:b w:val="0"/>
          <w:bCs/>
          <w:spacing w:val="-4"/>
          <w:sz w:val="20"/>
        </w:rPr>
        <w:footnoteReference w:customMarkFollows="1" w:id="2"/>
        <w:t>*</w:t>
      </w:r>
    </w:p>
    <w:p w:rsidR="001374A9" w:rsidRDefault="0087068F" w:rsidP="001374A9">
      <w:pPr>
        <w:pStyle w:val="SingleTxtG"/>
        <w:rPr>
          <w:lang w:val="fr-FR"/>
        </w:rPr>
      </w:pPr>
      <w:r w:rsidRPr="0087068F">
        <w:t>(Révision 3, comprenant les amendements entrés en vigueur le 14 septembre 2017)</w:t>
      </w:r>
    </w:p>
    <w:p w:rsidR="00FE17CA" w:rsidRPr="00FE17CA" w:rsidRDefault="00563238" w:rsidP="0087068F">
      <w:pPr>
        <w:pStyle w:val="SingleTxtG"/>
        <w:spacing w:before="200" w:after="0"/>
        <w:jc w:val="center"/>
        <w:rPr>
          <w:u w:val="single"/>
          <w:lang w:val="fr-FR"/>
        </w:rPr>
      </w:pPr>
      <w:r>
        <w:t>_______________</w:t>
      </w:r>
    </w:p>
    <w:p w:rsidR="001374A9" w:rsidRDefault="001374A9" w:rsidP="0087068F">
      <w:pPr>
        <w:pStyle w:val="HChG"/>
        <w:spacing w:before="320" w:after="220"/>
        <w:rPr>
          <w:lang w:val="fr-FR"/>
        </w:rPr>
      </w:pPr>
      <w:r>
        <w:rPr>
          <w:lang w:val="fr-FR"/>
        </w:rPr>
        <w:tab/>
      </w:r>
      <w:r>
        <w:rPr>
          <w:lang w:val="fr-FR"/>
        </w:rPr>
        <w:tab/>
      </w:r>
      <w:r w:rsidR="0087068F" w:rsidRPr="0087068F">
        <w:rPr>
          <w:bCs/>
        </w:rPr>
        <w:t>Additif 84</w:t>
      </w:r>
      <w:r w:rsidR="00296686">
        <w:rPr>
          <w:bCs/>
        </w:rPr>
        <w:t> </w:t>
      </w:r>
      <w:r w:rsidR="0087068F" w:rsidRPr="0087068F">
        <w:rPr>
          <w:bCs/>
        </w:rPr>
        <w:t xml:space="preserve">: Règlement ONU </w:t>
      </w:r>
      <w:r w:rsidR="00296686" w:rsidRPr="00296686">
        <w:rPr>
          <w:rFonts w:eastAsia="MS Mincho"/>
          <w:bCs/>
        </w:rPr>
        <w:t>n</w:t>
      </w:r>
      <w:r w:rsidR="00296686" w:rsidRPr="00296686">
        <w:rPr>
          <w:rFonts w:eastAsia="MS Mincho"/>
          <w:bCs/>
          <w:vertAlign w:val="superscript"/>
        </w:rPr>
        <w:t>o</w:t>
      </w:r>
      <w:r w:rsidR="0087068F" w:rsidRPr="0087068F">
        <w:rPr>
          <w:bCs/>
        </w:rPr>
        <w:t xml:space="preserve"> 85</w:t>
      </w:r>
    </w:p>
    <w:p w:rsidR="001374A9" w:rsidRPr="00D964F0" w:rsidRDefault="00E206D8" w:rsidP="0087068F">
      <w:pPr>
        <w:pStyle w:val="H1G"/>
        <w:spacing w:before="340"/>
      </w:pPr>
      <w:r>
        <w:rPr>
          <w:lang w:val="fr-FR"/>
        </w:rPr>
        <w:tab/>
      </w:r>
      <w:r>
        <w:rPr>
          <w:lang w:val="fr-FR"/>
        </w:rPr>
        <w:tab/>
      </w:r>
      <w:r w:rsidR="0087068F" w:rsidRPr="0087068F">
        <w:rPr>
          <w:bCs/>
        </w:rPr>
        <w:t>Révision 1 − Amendement 4</w:t>
      </w:r>
    </w:p>
    <w:p w:rsidR="001374A9" w:rsidRPr="0087068F" w:rsidRDefault="0087068F" w:rsidP="001374A9">
      <w:pPr>
        <w:pStyle w:val="SingleTxtG"/>
        <w:rPr>
          <w:spacing w:val="-4"/>
        </w:rPr>
      </w:pPr>
      <w:r w:rsidRPr="0087068F">
        <w:rPr>
          <w:spacing w:val="-4"/>
        </w:rPr>
        <w:t>Complément 10 à la version originale du Règlement − Date d’entrée en vigueur : 29 mai 2020</w:t>
      </w:r>
    </w:p>
    <w:p w:rsidR="001374A9" w:rsidRPr="00D964F0" w:rsidRDefault="001374A9" w:rsidP="0087068F">
      <w:pPr>
        <w:pStyle w:val="H1G"/>
        <w:spacing w:before="300" w:after="220"/>
      </w:pPr>
      <w:r>
        <w:rPr>
          <w:lang w:val="fr-FR"/>
        </w:rPr>
        <w:tab/>
      </w:r>
      <w:r>
        <w:rPr>
          <w:lang w:val="fr-FR"/>
        </w:rPr>
        <w:tab/>
      </w:r>
      <w:r w:rsidR="0087068F" w:rsidRPr="0087068F">
        <w:rPr>
          <w:bCs/>
        </w:rPr>
        <w:t>Prescriptions uniformes relatives à l’homologation des moteurs à</w:t>
      </w:r>
      <w:r w:rsidR="00296686">
        <w:rPr>
          <w:bCs/>
        </w:rPr>
        <w:t xml:space="preserve"> </w:t>
      </w:r>
      <w:r w:rsidR="0087068F" w:rsidRPr="0087068F">
        <w:rPr>
          <w:bCs/>
        </w:rPr>
        <w:t>combustion</w:t>
      </w:r>
      <w:r w:rsidR="00296686">
        <w:rPr>
          <w:bCs/>
        </w:rPr>
        <w:t xml:space="preserve"> </w:t>
      </w:r>
      <w:r w:rsidR="0087068F" w:rsidRPr="0087068F">
        <w:rPr>
          <w:bCs/>
        </w:rPr>
        <w:t>interne ou des groupes motopropulseurs électriques destinés à la</w:t>
      </w:r>
      <w:r w:rsidR="00296686">
        <w:rPr>
          <w:bCs/>
        </w:rPr>
        <w:t xml:space="preserve"> </w:t>
      </w:r>
      <w:r w:rsidR="0087068F" w:rsidRPr="0087068F">
        <w:rPr>
          <w:bCs/>
        </w:rPr>
        <w:t>propulsion</w:t>
      </w:r>
      <w:r w:rsidR="00296686">
        <w:rPr>
          <w:bCs/>
        </w:rPr>
        <w:t xml:space="preserve"> </w:t>
      </w:r>
      <w:r w:rsidR="0087068F" w:rsidRPr="0087068F">
        <w:rPr>
          <w:bCs/>
        </w:rPr>
        <w:t>des véhicules à moteur des catégories M</w:t>
      </w:r>
      <w:r w:rsidR="00296686">
        <w:rPr>
          <w:bCs/>
        </w:rPr>
        <w:t xml:space="preserve"> </w:t>
      </w:r>
      <w:r w:rsidR="0087068F" w:rsidRPr="0087068F">
        <w:rPr>
          <w:bCs/>
        </w:rPr>
        <w:t>et</w:t>
      </w:r>
      <w:r w:rsidR="00296686">
        <w:rPr>
          <w:bCs/>
        </w:rPr>
        <w:t xml:space="preserve"> </w:t>
      </w:r>
      <w:r w:rsidR="0087068F" w:rsidRPr="0087068F">
        <w:rPr>
          <w:bCs/>
        </w:rPr>
        <w:t xml:space="preserve">N </w:t>
      </w:r>
      <w:r w:rsidR="00296686">
        <w:rPr>
          <w:bCs/>
        </w:rPr>
        <w:br/>
      </w:r>
      <w:r w:rsidR="0087068F" w:rsidRPr="0087068F">
        <w:rPr>
          <w:bCs/>
        </w:rPr>
        <w:t>en ce qui concerne la mesure de la puissance nette et de la puissance maximale sur 30 min des groupes motopropulseurs électriques</w:t>
      </w:r>
    </w:p>
    <w:p w:rsidR="001374A9" w:rsidRPr="00296686" w:rsidRDefault="00296686" w:rsidP="004D6049">
      <w:pPr>
        <w:pStyle w:val="SingleTxtG"/>
        <w:rPr>
          <w:spacing w:val="-4"/>
        </w:rPr>
      </w:pPr>
      <w:r>
        <w:rPr>
          <w:spacing w:val="-3"/>
        </w:rPr>
        <w:tab/>
      </w:r>
      <w:r w:rsidR="0087068F" w:rsidRPr="00296686">
        <w:rPr>
          <w:spacing w:val="-4"/>
        </w:rPr>
        <w:t>Le présent document est communiqué uniquement à titre d’information. Le texte authentique, juridiquement contraignant, est celui du document ECE/TRANS/WP.29/2019/112.</w:t>
      </w:r>
    </w:p>
    <w:p w:rsidR="0087068F" w:rsidRPr="00FE17CA" w:rsidRDefault="0087068F" w:rsidP="0087068F">
      <w:pPr>
        <w:pStyle w:val="SingleTxtG"/>
        <w:spacing w:after="0"/>
        <w:jc w:val="center"/>
        <w:rPr>
          <w:u w:val="single"/>
        </w:rPr>
      </w:pPr>
      <w:r>
        <w:t>_______________</w:t>
      </w:r>
    </w:p>
    <w:p w:rsidR="0087068F" w:rsidRDefault="0087068F" w:rsidP="0087068F">
      <w:pPr>
        <w:pStyle w:val="SingleTxtG"/>
        <w:spacing w:before="120" w:after="0"/>
        <w:jc w:val="center"/>
        <w:rPr>
          <w:b/>
        </w:rPr>
      </w:pPr>
      <w:r>
        <w:rPr>
          <w:noProof/>
          <w:lang w:eastAsia="fr-CH"/>
        </w:rPr>
        <w:drawing>
          <wp:inline distT="0" distB="0" distL="0" distR="0" wp14:anchorId="20F45631" wp14:editId="589B502B">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7068F" w:rsidRPr="003569D6" w:rsidRDefault="0087068F" w:rsidP="0087068F">
      <w:pPr>
        <w:jc w:val="center"/>
      </w:pPr>
      <w:r w:rsidRPr="0029791D">
        <w:rPr>
          <w:b/>
          <w:bCs/>
          <w:sz w:val="24"/>
          <w:szCs w:val="24"/>
        </w:rPr>
        <w:t>Nations Unies</w:t>
      </w:r>
    </w:p>
    <w:p w:rsidR="00296686" w:rsidRPr="00F2682C" w:rsidRDefault="0087068F" w:rsidP="00296686">
      <w:pPr>
        <w:pStyle w:val="SingleTxtG"/>
      </w:pPr>
      <w:r>
        <w:rPr>
          <w:spacing w:val="-3"/>
        </w:rPr>
        <w:br w:type="page"/>
      </w:r>
      <w:r w:rsidR="00296686" w:rsidRPr="00870D6B">
        <w:rPr>
          <w:i/>
        </w:rPr>
        <w:lastRenderedPageBreak/>
        <w:t>Annexe 5, tableau 1, note de bas de page 9</w:t>
      </w:r>
      <w:r w:rsidR="00296686" w:rsidRPr="00870D6B">
        <w:t>, lire</w:t>
      </w:r>
      <w:r w:rsidR="00296686" w:rsidRPr="00F2682C">
        <w:rPr>
          <w:iCs/>
          <w:lang w:val="fr-FR"/>
        </w:rPr>
        <w:t> :</w:t>
      </w:r>
    </w:p>
    <w:p w:rsidR="00296686" w:rsidRPr="0014353F" w:rsidRDefault="00296686" w:rsidP="00296686">
      <w:pPr>
        <w:pStyle w:val="SingleTxtG"/>
        <w:rPr>
          <w:lang w:val="fr-FR"/>
        </w:rPr>
      </w:pPr>
      <w:r w:rsidRPr="00870D6B">
        <w:rPr>
          <w:lang w:val="fr-FR"/>
        </w:rPr>
        <w:t>« </w:t>
      </w:r>
      <w:r w:rsidRPr="00F2682C">
        <w:rPr>
          <w:vertAlign w:val="superscript"/>
          <w:lang w:val="fr-FR"/>
        </w:rPr>
        <w:t>9</w:t>
      </w:r>
      <w:r>
        <w:rPr>
          <w:lang w:val="fr-FR"/>
        </w:rPr>
        <w:t xml:space="preserve">  Les moteurs suralimentés à refroidissement intermédiaire sont essayés avec les dispositifs de refroidissement de la charge, qu’ils soient à air ou à liquide. Toutefois, si le constructeur le souhaite, une installation sur banc d’essai peut remplacer le refroidisseur à air. Dans tous les cas, la puissance à chaque régime est mesurée d’après la même chute de température et la même chute de pression de l’air aspiré dans le refroidisseur sur le banc d’essai que celles fixées par le constructeur pour le véhicule.</w:t>
      </w:r>
    </w:p>
    <w:p w:rsidR="00296686" w:rsidRPr="007C4CF3" w:rsidRDefault="00296686" w:rsidP="00296686">
      <w:pPr>
        <w:pStyle w:val="SingleTxtG"/>
        <w:rPr>
          <w:lang w:val="fr-FR"/>
        </w:rPr>
      </w:pPr>
      <w:r w:rsidRPr="007C4CF3">
        <w:rPr>
          <w:lang w:val="fr-FR"/>
        </w:rPr>
        <w:t>À la demande du constructeur, et avec l’accord de l’autorité d’homologation, la mesure de la puissance (à chaque régime) peut également être réalisée dans les conditions suivantes pour la température en sortie du refroidisseur à air</w:t>
      </w:r>
      <w:r>
        <w:rPr>
          <w:lang w:val="fr-FR"/>
        </w:rPr>
        <w:t> </w:t>
      </w:r>
      <w:r w:rsidRPr="007C4CF3">
        <w:rPr>
          <w:lang w:val="fr-FR"/>
        </w:rPr>
        <w:t>:</w:t>
      </w:r>
    </w:p>
    <w:p w:rsidR="00296686" w:rsidRPr="008E0C38" w:rsidRDefault="00296686" w:rsidP="00296686">
      <w:pPr>
        <w:pStyle w:val="SingleTxtG"/>
        <w:ind w:left="1701"/>
        <w:rPr>
          <w:lang w:val="fr-FR"/>
        </w:rPr>
      </w:pPr>
      <w:proofErr w:type="spellStart"/>
      <w:r w:rsidRPr="008E0C38">
        <w:rPr>
          <w:lang w:val="fr-FR"/>
        </w:rPr>
        <w:t>T</w:t>
      </w:r>
      <w:r w:rsidRPr="008E0C38">
        <w:rPr>
          <w:vertAlign w:val="subscript"/>
          <w:lang w:val="fr-FR"/>
        </w:rPr>
        <w:t>sortie</w:t>
      </w:r>
      <w:proofErr w:type="spellEnd"/>
      <w:r w:rsidRPr="008E0C38">
        <w:rPr>
          <w:vertAlign w:val="subscript"/>
          <w:lang w:val="fr-FR"/>
        </w:rPr>
        <w:t>, banc, N</w:t>
      </w:r>
      <w:r w:rsidRPr="008E0C38">
        <w:rPr>
          <w:lang w:val="fr-FR"/>
        </w:rPr>
        <w:t xml:space="preserve"> = </w:t>
      </w:r>
      <w:proofErr w:type="spellStart"/>
      <w:r w:rsidRPr="008E0C38">
        <w:rPr>
          <w:lang w:val="fr-FR"/>
        </w:rPr>
        <w:t>T</w:t>
      </w:r>
      <w:r w:rsidRPr="008E0C38">
        <w:rPr>
          <w:vertAlign w:val="subscript"/>
          <w:lang w:val="fr-FR"/>
        </w:rPr>
        <w:t>sortie</w:t>
      </w:r>
      <w:proofErr w:type="spellEnd"/>
      <w:r w:rsidRPr="008E0C38">
        <w:rPr>
          <w:vertAlign w:val="subscript"/>
          <w:lang w:val="fr-FR"/>
        </w:rPr>
        <w:t>, véhicule, N</w:t>
      </w:r>
      <w:r w:rsidRPr="008E0C38">
        <w:rPr>
          <w:lang w:val="fr-FR"/>
        </w:rPr>
        <w:t xml:space="preserve"> - (</w:t>
      </w:r>
      <w:proofErr w:type="spellStart"/>
      <w:r w:rsidRPr="008E0C38">
        <w:rPr>
          <w:lang w:val="fr-FR"/>
        </w:rPr>
        <w:t>T</w:t>
      </w:r>
      <w:r w:rsidRPr="008E0C38">
        <w:rPr>
          <w:vertAlign w:val="subscript"/>
          <w:lang w:val="fr-FR"/>
        </w:rPr>
        <w:t>amb</w:t>
      </w:r>
      <w:proofErr w:type="spellEnd"/>
      <w:r w:rsidRPr="008E0C38">
        <w:rPr>
          <w:lang w:val="fr-FR"/>
        </w:rPr>
        <w:t xml:space="preserve"> – 298)</w:t>
      </w:r>
    </w:p>
    <w:p w:rsidR="00296686" w:rsidRPr="008E0C38" w:rsidRDefault="00296686" w:rsidP="00296686">
      <w:pPr>
        <w:pStyle w:val="SingleTxtG"/>
        <w:ind w:left="1701"/>
        <w:rPr>
          <w:lang w:val="fr-FR"/>
        </w:rPr>
      </w:pPr>
      <w:r w:rsidRPr="008E0C38">
        <w:rPr>
          <w:lang w:val="fr-FR"/>
        </w:rPr>
        <w:t>Où</w:t>
      </w:r>
      <w:r>
        <w:rPr>
          <w:lang w:val="fr-FR"/>
        </w:rPr>
        <w:t> </w:t>
      </w:r>
      <w:r w:rsidRPr="008E0C38">
        <w:rPr>
          <w:lang w:val="fr-FR"/>
        </w:rPr>
        <w:t>:</w:t>
      </w:r>
    </w:p>
    <w:p w:rsidR="00296686" w:rsidRPr="008E0C38" w:rsidRDefault="00296686" w:rsidP="00296686">
      <w:pPr>
        <w:pStyle w:val="SingleTxtG"/>
        <w:ind w:left="1701"/>
        <w:rPr>
          <w:lang w:val="fr-FR"/>
        </w:rPr>
      </w:pPr>
      <w:proofErr w:type="spellStart"/>
      <w:r w:rsidRPr="008E0C38">
        <w:rPr>
          <w:lang w:val="fr-FR"/>
        </w:rPr>
        <w:t>T</w:t>
      </w:r>
      <w:r w:rsidRPr="008E0C38">
        <w:rPr>
          <w:vertAlign w:val="subscript"/>
          <w:lang w:val="fr-FR"/>
        </w:rPr>
        <w:t>sortie</w:t>
      </w:r>
      <w:proofErr w:type="spellEnd"/>
      <w:r w:rsidRPr="008E0C38">
        <w:rPr>
          <w:vertAlign w:val="subscript"/>
          <w:lang w:val="fr-FR"/>
        </w:rPr>
        <w:t>, banc, N</w:t>
      </w:r>
      <w:r w:rsidRPr="008E0C38">
        <w:rPr>
          <w:lang w:val="fr-FR"/>
        </w:rPr>
        <w:t xml:space="preserve"> est la température au régime moteur N durant l</w:t>
      </w:r>
      <w:r>
        <w:rPr>
          <w:lang w:val="fr-FR"/>
        </w:rPr>
        <w:t>’</w:t>
      </w:r>
      <w:r w:rsidRPr="008E0C38">
        <w:rPr>
          <w:lang w:val="fr-FR"/>
        </w:rPr>
        <w:t>essai sur banc</w:t>
      </w:r>
      <w:r>
        <w:rPr>
          <w:lang w:val="fr-FR"/>
        </w:rPr>
        <w:t xml:space="preserve"> (K)</w:t>
      </w:r>
    </w:p>
    <w:p w:rsidR="00296686" w:rsidRPr="008E0C38" w:rsidRDefault="00296686" w:rsidP="00296686">
      <w:pPr>
        <w:pStyle w:val="SingleTxtG"/>
        <w:ind w:left="1701"/>
        <w:rPr>
          <w:lang w:val="fr-FR"/>
        </w:rPr>
      </w:pPr>
      <w:proofErr w:type="spellStart"/>
      <w:r w:rsidRPr="008E0C38">
        <w:rPr>
          <w:lang w:val="fr-FR"/>
        </w:rPr>
        <w:t>T</w:t>
      </w:r>
      <w:r w:rsidRPr="008E0C38">
        <w:rPr>
          <w:vertAlign w:val="subscript"/>
          <w:lang w:val="fr-FR"/>
        </w:rPr>
        <w:t>sortie</w:t>
      </w:r>
      <w:proofErr w:type="spellEnd"/>
      <w:r w:rsidRPr="008E0C38">
        <w:rPr>
          <w:vertAlign w:val="subscript"/>
          <w:lang w:val="fr-FR"/>
        </w:rPr>
        <w:t>, véhicule, N</w:t>
      </w:r>
      <w:r w:rsidRPr="008E0C38">
        <w:rPr>
          <w:lang w:val="fr-FR"/>
        </w:rPr>
        <w:t xml:space="preserve"> est la température mesurée au régime moteur N durant l</w:t>
      </w:r>
      <w:r>
        <w:rPr>
          <w:lang w:val="fr-FR"/>
        </w:rPr>
        <w:t>’</w:t>
      </w:r>
      <w:r w:rsidRPr="008E0C38">
        <w:rPr>
          <w:lang w:val="fr-FR"/>
        </w:rPr>
        <w:t>essai complet du véhicule (K)</w:t>
      </w:r>
    </w:p>
    <w:p w:rsidR="00296686" w:rsidRDefault="00296686" w:rsidP="00296686">
      <w:pPr>
        <w:pStyle w:val="SingleTxtG"/>
        <w:ind w:left="1701"/>
        <w:rPr>
          <w:lang w:val="fr-FR"/>
        </w:rPr>
      </w:pPr>
      <w:proofErr w:type="spellStart"/>
      <w:r w:rsidRPr="008E0C38">
        <w:rPr>
          <w:lang w:val="fr-FR"/>
        </w:rPr>
        <w:t>T</w:t>
      </w:r>
      <w:r w:rsidRPr="008E0C38">
        <w:rPr>
          <w:vertAlign w:val="subscript"/>
          <w:lang w:val="fr-FR"/>
        </w:rPr>
        <w:t>amb</w:t>
      </w:r>
      <w:proofErr w:type="spellEnd"/>
      <w:r w:rsidRPr="008E0C38">
        <w:rPr>
          <w:lang w:val="fr-FR"/>
        </w:rPr>
        <w:t xml:space="preserve"> est la température ambiante durant l</w:t>
      </w:r>
      <w:r>
        <w:rPr>
          <w:lang w:val="fr-FR"/>
        </w:rPr>
        <w:t>’</w:t>
      </w:r>
      <w:r w:rsidRPr="008E0C38">
        <w:rPr>
          <w:lang w:val="fr-FR"/>
        </w:rPr>
        <w:t>essai complet du véhicule (K)</w:t>
      </w:r>
      <w:r>
        <w:rPr>
          <w:lang w:val="fr-FR"/>
        </w:rPr>
        <w:t>. ».</w:t>
      </w:r>
    </w:p>
    <w:p w:rsidR="004D6049" w:rsidRPr="00296686" w:rsidRDefault="00296686" w:rsidP="00296686">
      <w:pPr>
        <w:pStyle w:val="SingleTxtG"/>
        <w:spacing w:before="240" w:after="0"/>
        <w:jc w:val="center"/>
        <w:rPr>
          <w:u w:val="single"/>
        </w:rPr>
      </w:pPr>
      <w:r>
        <w:rPr>
          <w:u w:val="single"/>
        </w:rPr>
        <w:tab/>
      </w:r>
      <w:r>
        <w:rPr>
          <w:u w:val="single"/>
        </w:rPr>
        <w:tab/>
      </w:r>
      <w:r>
        <w:rPr>
          <w:u w:val="single"/>
        </w:rPr>
        <w:tab/>
      </w:r>
      <w:bookmarkStart w:id="1" w:name="_GoBack"/>
      <w:bookmarkEnd w:id="1"/>
    </w:p>
    <w:sectPr w:rsidR="004D6049" w:rsidRPr="00296686" w:rsidSect="001374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F6" w:rsidRDefault="004B51F6" w:rsidP="00F95C08">
      <w:pPr>
        <w:spacing w:line="240" w:lineRule="auto"/>
      </w:pPr>
    </w:p>
  </w:endnote>
  <w:endnote w:type="continuationSeparator" w:id="0">
    <w:p w:rsidR="004B51F6" w:rsidRPr="00AC3823" w:rsidRDefault="004B51F6" w:rsidP="00AC3823">
      <w:pPr>
        <w:pStyle w:val="Pieddepage"/>
      </w:pPr>
    </w:p>
  </w:endnote>
  <w:endnote w:type="continuationNotice" w:id="1">
    <w:p w:rsidR="004B51F6" w:rsidRDefault="004B51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A9" w:rsidRPr="001374A9" w:rsidRDefault="001374A9" w:rsidP="001374A9">
    <w:pPr>
      <w:pStyle w:val="Pieddepage"/>
      <w:tabs>
        <w:tab w:val="right" w:pos="9638"/>
      </w:tabs>
    </w:pPr>
    <w:r w:rsidRPr="001374A9">
      <w:rPr>
        <w:b/>
        <w:sz w:val="18"/>
      </w:rPr>
      <w:fldChar w:fldCharType="begin"/>
    </w:r>
    <w:r w:rsidRPr="001374A9">
      <w:rPr>
        <w:b/>
        <w:sz w:val="18"/>
      </w:rPr>
      <w:instrText xml:space="preserve"> PAGE  \* MERGEFORMAT </w:instrText>
    </w:r>
    <w:r w:rsidRPr="001374A9">
      <w:rPr>
        <w:b/>
        <w:sz w:val="18"/>
      </w:rPr>
      <w:fldChar w:fldCharType="separate"/>
    </w:r>
    <w:r w:rsidR="00B229A2">
      <w:rPr>
        <w:b/>
        <w:noProof/>
        <w:sz w:val="18"/>
      </w:rPr>
      <w:t>1</w:t>
    </w:r>
    <w:r w:rsidRPr="001374A9">
      <w:rPr>
        <w:b/>
        <w:sz w:val="18"/>
      </w:rPr>
      <w:fldChar w:fldCharType="end"/>
    </w:r>
    <w:r>
      <w:rPr>
        <w:b/>
        <w:sz w:val="18"/>
      </w:rPr>
      <w:tab/>
    </w:r>
    <w:r>
      <w:t>GE.</w:t>
    </w:r>
    <w:r w:rsidR="00F76D94">
      <w:t>20</w:t>
    </w:r>
    <w:r>
      <w:t>-08</w:t>
    </w:r>
    <w:r w:rsidR="00F76D94">
      <w:t>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A9" w:rsidRPr="001374A9" w:rsidRDefault="001374A9" w:rsidP="001374A9">
    <w:pPr>
      <w:pStyle w:val="Pieddepage"/>
      <w:tabs>
        <w:tab w:val="right" w:pos="9638"/>
      </w:tabs>
      <w:rPr>
        <w:b/>
        <w:sz w:val="18"/>
      </w:rPr>
    </w:pPr>
    <w:r>
      <w:t>GE.17-08885</w:t>
    </w:r>
    <w:r>
      <w:tab/>
    </w:r>
    <w:r w:rsidRPr="001374A9">
      <w:rPr>
        <w:b/>
        <w:sz w:val="18"/>
      </w:rPr>
      <w:fldChar w:fldCharType="begin"/>
    </w:r>
    <w:r w:rsidRPr="001374A9">
      <w:rPr>
        <w:b/>
        <w:sz w:val="18"/>
      </w:rPr>
      <w:instrText xml:space="preserve"> PAGE  \* MERGEFORMAT </w:instrText>
    </w:r>
    <w:r w:rsidRPr="001374A9">
      <w:rPr>
        <w:b/>
        <w:sz w:val="18"/>
      </w:rPr>
      <w:fldChar w:fldCharType="separate"/>
    </w:r>
    <w:r w:rsidR="00B229A2">
      <w:rPr>
        <w:b/>
        <w:noProof/>
        <w:sz w:val="18"/>
      </w:rPr>
      <w:t>1</w:t>
    </w:r>
    <w:r w:rsidRPr="001374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296686" w:rsidRDefault="00296686" w:rsidP="001374A9">
    <w:pPr>
      <w:pStyle w:val="Pieddepage"/>
      <w:spacing w:before="120"/>
      <w:rPr>
        <w:rFonts w:ascii="C39T30Lfz" w:hAnsi="C39T30Lfz"/>
        <w:sz w:val="56"/>
      </w:rPr>
    </w:pPr>
    <w:r>
      <w:rPr>
        <w:noProof/>
        <w:sz w:val="20"/>
        <w:lang w:eastAsia="fr-CH"/>
      </w:rPr>
      <w:drawing>
        <wp:anchor distT="0" distB="0" distL="114300" distR="114300" simplePos="0" relativeHeight="251665408" behindDoc="0" locked="0" layoutInCell="1" allowOverlap="1">
          <wp:simplePos x="0" y="0"/>
          <wp:positionH relativeFrom="column">
            <wp:posOffset>5480790</wp:posOffset>
          </wp:positionH>
          <wp:positionV relativeFrom="paragraph">
            <wp:posOffset>34052</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4A9">
      <w:rPr>
        <w:sz w:val="20"/>
      </w:rPr>
      <w:t>GE.</w:t>
    </w:r>
    <w:r w:rsidR="0080236C">
      <w:rPr>
        <w:noProof/>
        <w:lang w:eastAsia="fr-CH"/>
      </w:rPr>
      <w:drawing>
        <wp:anchor distT="0" distB="0" distL="114300" distR="114300" simplePos="0" relativeHeight="251653120"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r w:rsidR="001374A9">
      <w:rPr>
        <w:sz w:val="20"/>
      </w:rPr>
      <w:t>-08</w:t>
    </w:r>
    <w:r>
      <w:rPr>
        <w:sz w:val="20"/>
      </w:rPr>
      <w:t>741</w:t>
    </w:r>
    <w:r w:rsidR="001374A9">
      <w:rPr>
        <w:sz w:val="20"/>
      </w:rPr>
      <w:t xml:space="preserve">  (F)</w:t>
    </w:r>
    <w:r w:rsidR="003B7ADB">
      <w:rPr>
        <w:sz w:val="20"/>
      </w:rPr>
      <w:t xml:space="preserve">    </w:t>
    </w:r>
    <w:r>
      <w:rPr>
        <w:sz w:val="20"/>
      </w:rPr>
      <w:t>061120</w:t>
    </w:r>
    <w:r w:rsidR="003B7ADB">
      <w:rPr>
        <w:sz w:val="20"/>
      </w:rPr>
      <w:t xml:space="preserve">    </w:t>
    </w:r>
    <w:r>
      <w:rPr>
        <w:sz w:val="20"/>
      </w:rPr>
      <w:t>061120</w:t>
    </w:r>
    <w:r w:rsidR="001374A9">
      <w:rPr>
        <w:sz w:val="20"/>
      </w:rPr>
      <w:br/>
    </w:r>
    <w:r w:rsidRPr="00296686">
      <w:rPr>
        <w:rFonts w:ascii="C39T30Lfz" w:hAnsi="C39T30Lfz"/>
        <w:sz w:val="56"/>
      </w:rPr>
      <w:t>*2008741*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F6" w:rsidRPr="00AC3823" w:rsidRDefault="004B51F6" w:rsidP="00AC3823">
      <w:pPr>
        <w:pStyle w:val="Pieddepage"/>
        <w:tabs>
          <w:tab w:val="right" w:pos="2155"/>
        </w:tabs>
        <w:spacing w:after="80" w:line="240" w:lineRule="atLeast"/>
        <w:ind w:left="680"/>
        <w:rPr>
          <w:u w:val="single"/>
        </w:rPr>
      </w:pPr>
      <w:r>
        <w:rPr>
          <w:u w:val="single"/>
        </w:rPr>
        <w:tab/>
      </w:r>
    </w:p>
  </w:footnote>
  <w:footnote w:type="continuationSeparator" w:id="0">
    <w:p w:rsidR="004B51F6" w:rsidRPr="00AC3823" w:rsidRDefault="004B51F6" w:rsidP="00AC3823">
      <w:pPr>
        <w:pStyle w:val="Pieddepage"/>
        <w:tabs>
          <w:tab w:val="right" w:pos="2155"/>
        </w:tabs>
        <w:spacing w:after="80" w:line="240" w:lineRule="atLeast"/>
        <w:ind w:left="680"/>
        <w:rPr>
          <w:u w:val="single"/>
        </w:rPr>
      </w:pPr>
      <w:r>
        <w:rPr>
          <w:u w:val="single"/>
        </w:rPr>
        <w:tab/>
      </w:r>
    </w:p>
  </w:footnote>
  <w:footnote w:type="continuationNotice" w:id="1">
    <w:p w:rsidR="004B51F6" w:rsidRPr="00AC3823" w:rsidRDefault="004B51F6">
      <w:pPr>
        <w:spacing w:line="240" w:lineRule="auto"/>
        <w:rPr>
          <w:sz w:val="2"/>
          <w:szCs w:val="2"/>
        </w:rPr>
      </w:pPr>
    </w:p>
  </w:footnote>
  <w:footnote w:id="2">
    <w:p w:rsidR="0087068F" w:rsidRPr="00296686" w:rsidRDefault="0087068F" w:rsidP="0087068F">
      <w:pPr>
        <w:pStyle w:val="Notedebasdepage"/>
        <w:spacing w:line="200" w:lineRule="exact"/>
      </w:pPr>
      <w:r w:rsidRPr="00296686">
        <w:tab/>
      </w:r>
      <w:r w:rsidRPr="00296686">
        <w:rPr>
          <w:rStyle w:val="Appelnotedebasdep"/>
          <w:sz w:val="20"/>
          <w:vertAlign w:val="baseline"/>
        </w:rPr>
        <w:t>*</w:t>
      </w:r>
      <w:r w:rsidRPr="00296686">
        <w:rPr>
          <w:sz w:val="20"/>
        </w:rPr>
        <w:tab/>
      </w:r>
      <w:r w:rsidRPr="00296686">
        <w:t>Anciens titres de l’Accord</w:t>
      </w:r>
      <w:r w:rsidR="00296686">
        <w:t> </w:t>
      </w:r>
      <w:r w:rsidRPr="00296686">
        <w:t>:</w:t>
      </w:r>
    </w:p>
    <w:p w:rsidR="0087068F" w:rsidRPr="00296686" w:rsidRDefault="0087068F" w:rsidP="0087068F">
      <w:pPr>
        <w:pStyle w:val="Notedebasdepage"/>
        <w:spacing w:line="200" w:lineRule="exact"/>
        <w:rPr>
          <w:sz w:val="20"/>
        </w:rPr>
      </w:pPr>
      <w:r w:rsidRPr="00296686">
        <w:tab/>
      </w:r>
      <w:r w:rsidRPr="00296686">
        <w:tab/>
        <w:t xml:space="preserve"> Accord concernant l’adoption de conditions uniformes d’homologation et la reconnaissance réciproque de l’homologation des équipements et pièces de véhicules à moteur, en date, à Genève, du 20</w:t>
      </w:r>
      <w:r w:rsidR="00296686">
        <w:t> </w:t>
      </w:r>
      <w:r w:rsidRPr="00296686">
        <w:t>mars 1958 (version originale)</w:t>
      </w:r>
      <w:r w:rsidR="00296686">
        <w:t> </w:t>
      </w:r>
      <w:r w:rsidRPr="00296686">
        <w:t>;</w:t>
      </w:r>
    </w:p>
    <w:p w:rsidR="0087068F" w:rsidRPr="001E16D1" w:rsidRDefault="0087068F" w:rsidP="0087068F">
      <w:pPr>
        <w:pStyle w:val="Notedebasdepage"/>
        <w:spacing w:line="200" w:lineRule="exact"/>
      </w:pPr>
      <w:r w:rsidRPr="00296686">
        <w:tab/>
      </w:r>
      <w:r w:rsidRPr="00296686">
        <w:tab/>
        <w:t xml:space="preserve">Accord </w:t>
      </w:r>
      <w:r w:rsidRPr="0087068F">
        <w:t>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A9" w:rsidRPr="00296686" w:rsidRDefault="00296686">
    <w:pPr>
      <w:pStyle w:val="En-tte"/>
      <w:rPr>
        <w:lang w:val="en-US"/>
      </w:rPr>
    </w:pPr>
    <w:r w:rsidRPr="00296686">
      <w:rPr>
        <w:lang w:val="en-US"/>
      </w:rPr>
      <w:t>E/ECE/324/Rev.1/Add.84/Rev.1/Amend.4</w:t>
    </w:r>
    <w:r w:rsidR="001374A9" w:rsidRPr="001374A9">
      <w:rPr>
        <w:lang w:val="en-US"/>
      </w:rPr>
      <w:br/>
    </w:r>
    <w:r w:rsidRPr="00296686">
      <w:rPr>
        <w:lang w:val="en-US"/>
      </w:rPr>
      <w:t>E/ECE/TRANS/505/Rev.1/Add.84/Rev.1/Amend.4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86" w:rsidRPr="00296686" w:rsidRDefault="00296686" w:rsidP="00296686">
    <w:pPr>
      <w:pStyle w:val="En-tte"/>
      <w:jc w:val="right"/>
      <w:rPr>
        <w:lang w:val="en-US"/>
      </w:rPr>
    </w:pPr>
    <w:r w:rsidRPr="00296686">
      <w:rPr>
        <w:lang w:val="en-US"/>
      </w:rPr>
      <w:t>E/ECE/324/Rev.1/Add.84/Rev.1/Amend.4</w:t>
    </w:r>
    <w:r w:rsidRPr="00296686">
      <w:rPr>
        <w:lang w:val="en-US"/>
      </w:rPr>
      <w:br/>
      <w:t>E/ECE/TRANS/505/Rev.1/Add.84/Rev.1/Amend.4</w:t>
    </w:r>
  </w:p>
  <w:p w:rsidR="001374A9" w:rsidRPr="00296686" w:rsidRDefault="001374A9" w:rsidP="0029668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1F6"/>
    <w:rsid w:val="00017F94"/>
    <w:rsid w:val="00023842"/>
    <w:rsid w:val="0002432E"/>
    <w:rsid w:val="000334F9"/>
    <w:rsid w:val="0007796D"/>
    <w:rsid w:val="000B7790"/>
    <w:rsid w:val="000D1CE8"/>
    <w:rsid w:val="00111F2F"/>
    <w:rsid w:val="001374A9"/>
    <w:rsid w:val="0014365E"/>
    <w:rsid w:val="00176178"/>
    <w:rsid w:val="001F525A"/>
    <w:rsid w:val="00223272"/>
    <w:rsid w:val="0024779E"/>
    <w:rsid w:val="00266ACE"/>
    <w:rsid w:val="002714DA"/>
    <w:rsid w:val="002832AC"/>
    <w:rsid w:val="00296686"/>
    <w:rsid w:val="002D7C93"/>
    <w:rsid w:val="003569D6"/>
    <w:rsid w:val="003B7ADB"/>
    <w:rsid w:val="00441C3B"/>
    <w:rsid w:val="00446FE5"/>
    <w:rsid w:val="004512B0"/>
    <w:rsid w:val="00452396"/>
    <w:rsid w:val="00496879"/>
    <w:rsid w:val="004B51F6"/>
    <w:rsid w:val="004D6049"/>
    <w:rsid w:val="004E468C"/>
    <w:rsid w:val="005505B7"/>
    <w:rsid w:val="00557548"/>
    <w:rsid w:val="00563238"/>
    <w:rsid w:val="00563EC3"/>
    <w:rsid w:val="00573BE5"/>
    <w:rsid w:val="00586ED3"/>
    <w:rsid w:val="00596AA9"/>
    <w:rsid w:val="0071601D"/>
    <w:rsid w:val="0075602F"/>
    <w:rsid w:val="007A62E6"/>
    <w:rsid w:val="007D32B0"/>
    <w:rsid w:val="0080236C"/>
    <w:rsid w:val="0080684C"/>
    <w:rsid w:val="0087068F"/>
    <w:rsid w:val="00871C75"/>
    <w:rsid w:val="008776DC"/>
    <w:rsid w:val="00921651"/>
    <w:rsid w:val="00967489"/>
    <w:rsid w:val="009677DF"/>
    <w:rsid w:val="009705C8"/>
    <w:rsid w:val="009C1CF4"/>
    <w:rsid w:val="00A30353"/>
    <w:rsid w:val="00AA42FA"/>
    <w:rsid w:val="00AC3823"/>
    <w:rsid w:val="00AC3CF0"/>
    <w:rsid w:val="00AE323C"/>
    <w:rsid w:val="00AF290F"/>
    <w:rsid w:val="00B00181"/>
    <w:rsid w:val="00B00B0D"/>
    <w:rsid w:val="00B229A2"/>
    <w:rsid w:val="00B765F7"/>
    <w:rsid w:val="00BA0CA9"/>
    <w:rsid w:val="00BF6C8B"/>
    <w:rsid w:val="00C02897"/>
    <w:rsid w:val="00D33765"/>
    <w:rsid w:val="00D3439C"/>
    <w:rsid w:val="00D75300"/>
    <w:rsid w:val="00DB1831"/>
    <w:rsid w:val="00DD3BFD"/>
    <w:rsid w:val="00DF6678"/>
    <w:rsid w:val="00E206D8"/>
    <w:rsid w:val="00E50D17"/>
    <w:rsid w:val="00EF2E22"/>
    <w:rsid w:val="00F11D15"/>
    <w:rsid w:val="00F660DF"/>
    <w:rsid w:val="00F76D94"/>
    <w:rsid w:val="00F95C08"/>
    <w:rsid w:val="00FE17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CBB78"/>
  <w15:docId w15:val="{4462885D-1487-4E87-AA77-3DC52B7F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BVI fnr,Fußnotenzeich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PP,Fußnotentext,5_G_6"/>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Fußnotentext Car,5_G_6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basedOn w:val="Policepardfaut"/>
    <w:link w:val="SingleTxtG"/>
    <w:qFormat/>
    <w:rsid w:val="0029668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6E5C3-FE6F-41BA-B42E-B45B89954300}"/>
</file>

<file path=customXml/itemProps2.xml><?xml version="1.0" encoding="utf-8"?>
<ds:datastoreItem xmlns:ds="http://schemas.openxmlformats.org/officeDocument/2006/customXml" ds:itemID="{7EB8856F-0E7C-48E8-A722-3CF7685A9BA0}"/>
</file>

<file path=customXml/itemProps3.xml><?xml version="1.0" encoding="utf-8"?>
<ds:datastoreItem xmlns:ds="http://schemas.openxmlformats.org/officeDocument/2006/customXml" ds:itemID="{3D1EC021-ADB4-490B-8094-06D22DCA5ABC}"/>
</file>

<file path=docProps/app.xml><?xml version="1.0" encoding="utf-8"?>
<Properties xmlns="http://schemas.openxmlformats.org/officeDocument/2006/extended-properties" xmlns:vt="http://schemas.openxmlformats.org/officeDocument/2006/docPropsVTypes">
  <Template>E.dotm</Template>
  <TotalTime>0</TotalTime>
  <Pages>2</Pages>
  <Words>349</Words>
  <Characters>1980</Characters>
  <Application>Microsoft Office Word</Application>
  <DocSecurity>0</DocSecurity>
  <Lines>48</Lines>
  <Paragraphs>27</Paragraphs>
  <ScaleCrop>false</ScaleCrop>
  <HeadingPairs>
    <vt:vector size="2" baseType="variant">
      <vt:variant>
        <vt:lpstr>Titre</vt:lpstr>
      </vt:variant>
      <vt:variant>
        <vt:i4>1</vt:i4>
      </vt:variant>
    </vt:vector>
  </HeadingPairs>
  <TitlesOfParts>
    <vt:vector size="1" baseType="lpstr">
      <vt:lpstr>E/ECE/324/Rev.1/Add.12/Rev.8/Corr.2</vt:lpstr>
    </vt:vector>
  </TitlesOfParts>
  <Company>DCM</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E/ECE/324/Rev.1/Add.84/Rev.1/Amend.4</dc:title>
  <dc:subject/>
  <dc:creator>DEVOS</dc:creator>
  <cp:keywords>E/ECE/TRANS/505/Rev.1/Add.12/Rev.8/Corr.2</cp:keywords>
  <dc:description/>
  <cp:lastModifiedBy>Sandrine CLERE</cp:lastModifiedBy>
  <cp:revision>2</cp:revision>
  <cp:lastPrinted>2017-06-30T12:28:00Z</cp:lastPrinted>
  <dcterms:created xsi:type="dcterms:W3CDTF">2020-11-06T08:04:00Z</dcterms:created>
  <dcterms:modified xsi:type="dcterms:W3CDTF">2020-11-06T08:04:00Z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