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24BDBB4"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w:t>
            </w:r>
            <w:bookmarkStart w:id="2" w:name="_Hlk30077314"/>
            <w:r w:rsidR="0043300D" w:rsidRPr="00C51B97">
              <w:t>Add.</w:t>
            </w:r>
            <w:r w:rsidR="008F1873">
              <w:t>82</w:t>
            </w:r>
            <w:r w:rsidR="0043300D" w:rsidRPr="00C51B97">
              <w:t>/Rev.</w:t>
            </w:r>
            <w:r w:rsidR="008F1873">
              <w:t>5</w:t>
            </w:r>
            <w:r w:rsidR="0043300D" w:rsidRPr="00C51B97">
              <w:t>/Amend.</w:t>
            </w:r>
            <w:bookmarkEnd w:id="0"/>
            <w:bookmarkEnd w:id="1"/>
            <w:bookmarkEnd w:id="2"/>
            <w:r w:rsidR="008F1873">
              <w:t>9</w:t>
            </w:r>
            <w:r>
              <w:t>−</w:t>
            </w:r>
            <w:r w:rsidRPr="00014D07">
              <w:rPr>
                <w:sz w:val="40"/>
              </w:rPr>
              <w:t>E</w:t>
            </w:r>
            <w:r>
              <w:t>/ECE/TRANS/505</w:t>
            </w:r>
            <w:r w:rsidR="00841EB5">
              <w:t>/</w:t>
            </w:r>
            <w:r w:rsidR="00D33957" w:rsidRPr="00C51B97">
              <w:t>Rev.</w:t>
            </w:r>
            <w:r w:rsidR="00D33957">
              <w:t>1</w:t>
            </w:r>
            <w:r w:rsidR="00D33957" w:rsidRPr="00C51B97">
              <w:t>/</w:t>
            </w:r>
            <w:r w:rsidR="00D778E7" w:rsidRPr="00C51B97">
              <w:t>Add.</w:t>
            </w:r>
            <w:r w:rsidR="008F1873">
              <w:t>82</w:t>
            </w:r>
            <w:r w:rsidR="00D778E7" w:rsidRPr="00C51B97">
              <w:t>/Rev.</w:t>
            </w:r>
            <w:r w:rsidR="008F1873">
              <w:t>5</w:t>
            </w:r>
            <w:r w:rsidR="00D778E7" w:rsidRPr="00C51B97">
              <w:t>/Amend.</w:t>
            </w:r>
            <w:r w:rsidR="008F1873">
              <w:t>9</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CC615F8" w:rsidR="00C84414" w:rsidRDefault="003E3C9B" w:rsidP="003C3936">
            <w:pPr>
              <w:spacing w:before="120"/>
            </w:pPr>
            <w:r>
              <w:t>20</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w:t>
      </w:r>
      <w:bookmarkStart w:id="5" w:name="_GoBack"/>
      <w:bookmarkEnd w:id="5"/>
      <w:r w:rsidRPr="00213492">
        <w:t>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1C38232" w:rsidR="0064636E" w:rsidRDefault="0064636E" w:rsidP="00A41529">
      <w:pPr>
        <w:pStyle w:val="H1G"/>
        <w:spacing w:before="240" w:after="120"/>
      </w:pPr>
      <w:r>
        <w:tab/>
      </w:r>
      <w:r>
        <w:tab/>
        <w:t xml:space="preserve">Addendum </w:t>
      </w:r>
      <w:r w:rsidR="008F1873">
        <w:t>82</w:t>
      </w:r>
      <w:r>
        <w:t xml:space="preserve"> – </w:t>
      </w:r>
      <w:r w:rsidR="008A17BB">
        <w:t xml:space="preserve">UN </w:t>
      </w:r>
      <w:r>
        <w:t>Regulation No.</w:t>
      </w:r>
      <w:r w:rsidR="00271A7F">
        <w:t xml:space="preserve"> </w:t>
      </w:r>
      <w:r w:rsidR="008F1873">
        <w:t>83</w:t>
      </w:r>
    </w:p>
    <w:p w14:paraId="4E272B2A" w14:textId="65DB59A8" w:rsidR="0064636E" w:rsidRPr="00014D07" w:rsidRDefault="0064636E" w:rsidP="00A41529">
      <w:pPr>
        <w:pStyle w:val="H1G"/>
        <w:spacing w:before="240"/>
      </w:pPr>
      <w:r>
        <w:tab/>
      </w:r>
      <w:r>
        <w:tab/>
      </w:r>
      <w:r w:rsidRPr="00014D07">
        <w:t xml:space="preserve">Revision </w:t>
      </w:r>
      <w:r w:rsidR="008F1873">
        <w:t>5</w:t>
      </w:r>
      <w:r w:rsidR="00DE5D62">
        <w:t xml:space="preserve"> </w:t>
      </w:r>
      <w:r w:rsidRPr="00014D07">
        <w:t xml:space="preserve">- </w:t>
      </w:r>
      <w:r w:rsidR="00D623A7">
        <w:t>Amendment</w:t>
      </w:r>
      <w:r w:rsidRPr="00014D07">
        <w:t xml:space="preserve"> </w:t>
      </w:r>
      <w:r w:rsidR="008F1873">
        <w:t>9</w:t>
      </w:r>
    </w:p>
    <w:p w14:paraId="4FAFC05A" w14:textId="3EABF352" w:rsidR="0064636E" w:rsidRPr="00272880" w:rsidRDefault="00D623A7" w:rsidP="0064636E">
      <w:pPr>
        <w:pStyle w:val="SingleTxtG"/>
        <w:spacing w:after="360"/>
        <w:rPr>
          <w:spacing w:val="-2"/>
        </w:rPr>
      </w:pPr>
      <w:r>
        <w:rPr>
          <w:spacing w:val="-2"/>
        </w:rPr>
        <w:t xml:space="preserve">Supplement </w:t>
      </w:r>
      <w:r w:rsidR="008F1873">
        <w:rPr>
          <w:spacing w:val="-2"/>
        </w:rPr>
        <w:t>9</w:t>
      </w:r>
      <w:r>
        <w:rPr>
          <w:spacing w:val="-2"/>
        </w:rPr>
        <w:t xml:space="preserve"> to </w:t>
      </w:r>
      <w:r w:rsidR="00271A7F">
        <w:rPr>
          <w:spacing w:val="-2"/>
        </w:rPr>
        <w:t xml:space="preserve">the </w:t>
      </w:r>
      <w:r w:rsidR="00CA1FD0">
        <w:rPr>
          <w:spacing w:val="-2"/>
        </w:rPr>
        <w:t>0</w:t>
      </w:r>
      <w:r w:rsidR="008F1873">
        <w:rPr>
          <w:spacing w:val="-2"/>
        </w:rPr>
        <w:t>7</w:t>
      </w:r>
      <w:r>
        <w:rPr>
          <w:spacing w:val="-2"/>
        </w:rPr>
        <w:t xml:space="preserve"> series of amendments</w:t>
      </w:r>
      <w:r w:rsidR="0064636E" w:rsidRPr="00272880">
        <w:rPr>
          <w:spacing w:val="-2"/>
        </w:rPr>
        <w:t xml:space="preserve"> – Date of entry into force: </w:t>
      </w:r>
      <w:r w:rsidR="00EA0991">
        <w:rPr>
          <w:spacing w:val="-2"/>
        </w:rPr>
        <w:t>1</w:t>
      </w:r>
      <w:r w:rsidR="003E3C9B">
        <w:rPr>
          <w:spacing w:val="-2"/>
        </w:rPr>
        <w:t>1</w:t>
      </w:r>
      <w:r w:rsidR="00EA0991">
        <w:rPr>
          <w:spacing w:val="-2"/>
        </w:rPr>
        <w:t xml:space="preserve"> January 2020</w:t>
      </w:r>
    </w:p>
    <w:p w14:paraId="29C3AD83" w14:textId="27B6CAE8" w:rsidR="00D778E7" w:rsidRPr="00D778E7" w:rsidRDefault="0064636E" w:rsidP="008F1873">
      <w:pPr>
        <w:pStyle w:val="H1G"/>
        <w:spacing w:before="120" w:after="120" w:line="240" w:lineRule="exact"/>
        <w:rPr>
          <w:bCs/>
          <w:lang w:val="en-US"/>
        </w:rPr>
      </w:pPr>
      <w:r>
        <w:rPr>
          <w:lang w:val="en-US"/>
        </w:rPr>
        <w:tab/>
      </w:r>
      <w:r>
        <w:rPr>
          <w:lang w:val="en-US"/>
        </w:rPr>
        <w:tab/>
      </w:r>
      <w:r w:rsidR="008F1873" w:rsidRPr="008F1873">
        <w:rPr>
          <w:bCs/>
          <w:lang w:val="en-US"/>
        </w:rPr>
        <w:t>Uniform provisions concerning the approval of vehicles with regard to the emission of pollutants according to engine fuel requirements</w:t>
      </w:r>
    </w:p>
    <w:p w14:paraId="6C824AF8" w14:textId="667D55EC"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8F1873">
        <w:rPr>
          <w:spacing w:val="-6"/>
          <w:lang w:eastAsia="en-GB"/>
        </w:rPr>
        <w:t>4</w:t>
      </w:r>
      <w:r w:rsidR="00D778E7">
        <w:rPr>
          <w:spacing w:val="-6"/>
          <w:lang w:eastAsia="en-GB"/>
        </w:rPr>
        <w:t>3</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497DF425" w14:textId="77777777" w:rsidR="008F1873" w:rsidRPr="00DE79C6" w:rsidRDefault="008F1873" w:rsidP="008F1873">
      <w:pPr>
        <w:pStyle w:val="para"/>
        <w:spacing w:line="240" w:lineRule="auto"/>
        <w:jc w:val="left"/>
        <w:rPr>
          <w:iCs/>
          <w:lang w:val="en-US"/>
        </w:rPr>
      </w:pPr>
      <w:r w:rsidRPr="00DE79C6">
        <w:rPr>
          <w:i/>
          <w:lang w:val="en-US"/>
        </w:rPr>
        <w:lastRenderedPageBreak/>
        <w:t xml:space="preserve">Paragraph 5.2., Table A, footnote 7, </w:t>
      </w:r>
      <w:r w:rsidRPr="00DE79C6">
        <w:rPr>
          <w:iCs/>
          <w:lang w:val="en-US"/>
        </w:rPr>
        <w:t>amend to read:</w:t>
      </w:r>
    </w:p>
    <w:p w14:paraId="000BF9ED" w14:textId="77777777" w:rsidR="008F1873" w:rsidRDefault="008F1873" w:rsidP="008F1873">
      <w:pPr>
        <w:suppressAutoHyphens w:val="0"/>
        <w:autoSpaceDE w:val="0"/>
        <w:autoSpaceDN w:val="0"/>
        <w:adjustRightInd w:val="0"/>
        <w:spacing w:line="240" w:lineRule="auto"/>
        <w:ind w:left="1701" w:hanging="567"/>
      </w:pPr>
      <w:r w:rsidRPr="00DE79C6">
        <w:t>"</w:t>
      </w:r>
      <w:r w:rsidRPr="00DE79C6">
        <w:rPr>
          <w:vertAlign w:val="superscript"/>
          <w:lang w:eastAsia="en-GB"/>
        </w:rPr>
        <w:t>7</w:t>
      </w:r>
      <w:r w:rsidRPr="00DE79C6">
        <w:rPr>
          <w:sz w:val="10"/>
          <w:szCs w:val="10"/>
          <w:lang w:eastAsia="en-GB"/>
        </w:rPr>
        <w:tab/>
      </w:r>
      <w:r w:rsidRPr="00DE79C6">
        <w:rPr>
          <w:szCs w:val="16"/>
          <w:lang w:eastAsia="en-GB"/>
        </w:rPr>
        <w:t>Upon the choice of the manufacturer vehicles with positive and compression ignition engines may be tested with either E5 or E10 and either B5 or B7 fuels, respectively. This decision shall be reflected where applicable in the approval character as described in Table A3/1</w:t>
      </w:r>
      <w:r w:rsidRPr="00DE79C6">
        <w:t>"</w:t>
      </w:r>
    </w:p>
    <w:p w14:paraId="667F9B56" w14:textId="77777777" w:rsidR="008F1873" w:rsidRDefault="008F1873" w:rsidP="008F1873">
      <w:pPr>
        <w:pStyle w:val="SingleTxtG"/>
        <w:spacing w:before="120"/>
      </w:pPr>
      <w:r>
        <w:rPr>
          <w:i/>
        </w:rPr>
        <w:t>Paragraph 5.2.1.</w:t>
      </w:r>
      <w:r w:rsidRPr="0083042A">
        <w:rPr>
          <w:i/>
        </w:rPr>
        <w:t xml:space="preserve">, </w:t>
      </w:r>
      <w:r w:rsidRPr="00BE3130">
        <w:rPr>
          <w:iCs/>
        </w:rPr>
        <w:t>amend to read</w:t>
      </w:r>
      <w:r w:rsidRPr="002D62E4">
        <w:t>:</w:t>
      </w:r>
    </w:p>
    <w:p w14:paraId="487732D2" w14:textId="77777777" w:rsidR="008F1873" w:rsidRDefault="008F1873" w:rsidP="008F1873">
      <w:pPr>
        <w:pStyle w:val="SingleTxtG"/>
        <w:ind w:left="2259" w:hanging="1125"/>
      </w:pPr>
      <w:r w:rsidRPr="007C65A5">
        <w:t>"</w:t>
      </w:r>
      <w:r>
        <w:t>5.2.1</w:t>
      </w:r>
      <w:r w:rsidRPr="00197050">
        <w:t xml:space="preserve">. </w:t>
      </w:r>
      <w:r w:rsidRPr="00197050">
        <w:tab/>
      </w:r>
      <w:r>
        <w:t>Positive ignition engine-powered vehicles and hybrid electric vehicles equipped with a positive ignition engine shall be subject to the following tests:</w:t>
      </w:r>
    </w:p>
    <w:p w14:paraId="1FE57E14" w14:textId="77777777" w:rsidR="008F1873" w:rsidRDefault="008F1873" w:rsidP="008F1873">
      <w:pPr>
        <w:pStyle w:val="SingleTxtG"/>
        <w:ind w:left="2268"/>
      </w:pPr>
      <w:r>
        <w:tab/>
        <w:t>Type I (verifying the average exhaust emissions after a cold start);</w:t>
      </w:r>
    </w:p>
    <w:p w14:paraId="42228C4C" w14:textId="77777777" w:rsidR="008F1873" w:rsidRDefault="008F1873" w:rsidP="008F1873">
      <w:pPr>
        <w:pStyle w:val="SingleTxtG"/>
        <w:ind w:left="2268"/>
      </w:pPr>
      <w:r>
        <w:tab/>
        <w:t>Type II (carbon monoxide emission at idling speed);</w:t>
      </w:r>
    </w:p>
    <w:p w14:paraId="426D20F1" w14:textId="77777777" w:rsidR="008F1873" w:rsidRDefault="008F1873" w:rsidP="008F1873">
      <w:pPr>
        <w:pStyle w:val="SingleTxtG"/>
        <w:ind w:left="2268"/>
      </w:pPr>
      <w:r>
        <w:tab/>
        <w:t>Type III (emission of crankcase gases);</w:t>
      </w:r>
    </w:p>
    <w:p w14:paraId="6F959584" w14:textId="77777777" w:rsidR="008F1873" w:rsidRDefault="008F1873" w:rsidP="008F1873">
      <w:pPr>
        <w:pStyle w:val="SingleTxtG"/>
        <w:ind w:left="2268"/>
      </w:pPr>
      <w:r>
        <w:tab/>
        <w:t>Type IV (evaporation emissions);</w:t>
      </w:r>
    </w:p>
    <w:p w14:paraId="5895CC3B" w14:textId="77777777" w:rsidR="008F1873" w:rsidRDefault="008F1873" w:rsidP="008F1873">
      <w:pPr>
        <w:pStyle w:val="SingleTxtG"/>
        <w:ind w:left="2268"/>
      </w:pPr>
      <w:r>
        <w:tab/>
        <w:t>Type V (durability of anti-pollution devices);</w:t>
      </w:r>
    </w:p>
    <w:p w14:paraId="05C8E734" w14:textId="77777777" w:rsidR="008F1873" w:rsidRDefault="008F1873" w:rsidP="008F1873">
      <w:pPr>
        <w:pStyle w:val="SingleTxtG"/>
        <w:ind w:left="2268"/>
      </w:pPr>
      <w:r>
        <w:t>Type VI (verifying the average low ambient temperature carbon monoxide and hydrocarbon exhaust emissions after a cold start;</w:t>
      </w:r>
    </w:p>
    <w:p w14:paraId="075A5B5C" w14:textId="77777777" w:rsidR="008F1873" w:rsidRDefault="008F1873" w:rsidP="008F1873">
      <w:pPr>
        <w:pStyle w:val="SingleTxtG"/>
        <w:ind w:left="2268"/>
      </w:pPr>
      <w:r>
        <w:tab/>
        <w:t>OBD-test</w:t>
      </w:r>
      <w:r w:rsidRPr="00821F36">
        <w:rPr>
          <w:bCs/>
        </w:rPr>
        <w:t>.</w:t>
      </w:r>
      <w:r w:rsidRPr="007C65A5">
        <w:t>"</w:t>
      </w:r>
    </w:p>
    <w:p w14:paraId="306F8501" w14:textId="77777777" w:rsidR="008F1873" w:rsidRDefault="008F1873" w:rsidP="008F1873">
      <w:pPr>
        <w:pStyle w:val="SingleTxtG"/>
      </w:pPr>
      <w:r>
        <w:rPr>
          <w:i/>
        </w:rPr>
        <w:t>Paragraph 5.2.2.</w:t>
      </w:r>
      <w:r w:rsidRPr="0083042A">
        <w:rPr>
          <w:i/>
        </w:rPr>
        <w:t xml:space="preserve">, </w:t>
      </w:r>
      <w:r w:rsidRPr="00BE3130">
        <w:rPr>
          <w:iCs/>
        </w:rPr>
        <w:t>amend to read</w:t>
      </w:r>
      <w:r w:rsidRPr="002D62E4">
        <w:t>:</w:t>
      </w:r>
    </w:p>
    <w:p w14:paraId="414E5420" w14:textId="77777777" w:rsidR="008F1873" w:rsidRDefault="008F1873" w:rsidP="008F1873">
      <w:pPr>
        <w:pStyle w:val="SingleTxtG"/>
        <w:ind w:left="2259" w:hanging="1125"/>
      </w:pPr>
      <w:r w:rsidRPr="007C65A5">
        <w:t>"</w:t>
      </w:r>
      <w:r>
        <w:t>5.2.2</w:t>
      </w:r>
      <w:r w:rsidRPr="00197050">
        <w:t xml:space="preserve">. </w:t>
      </w:r>
      <w:r w:rsidRPr="00197050">
        <w:tab/>
      </w:r>
      <w:r>
        <w:t>Positive ignition engine-powered vehicle and hybrid electric vehicles equipped with positive ignition engine fuelled with LPG or NG/biomethane (mono or bi-fuel) shall be subjected to the following tests (according to Table A):</w:t>
      </w:r>
    </w:p>
    <w:p w14:paraId="74FE2484" w14:textId="77777777" w:rsidR="008F1873" w:rsidRDefault="008F1873" w:rsidP="008F1873">
      <w:pPr>
        <w:pStyle w:val="SingleTxtG"/>
        <w:ind w:left="2268"/>
      </w:pPr>
      <w:r>
        <w:tab/>
        <w:t>Type I (verifying the average exhaust emissions after a cold start);</w:t>
      </w:r>
    </w:p>
    <w:p w14:paraId="54CBD470" w14:textId="77777777" w:rsidR="008F1873" w:rsidRDefault="008F1873" w:rsidP="008F1873">
      <w:pPr>
        <w:pStyle w:val="SingleTxtG"/>
        <w:ind w:left="2268"/>
      </w:pPr>
      <w:r>
        <w:tab/>
        <w:t>Type II (carbon monoxide emissions at idling speed);</w:t>
      </w:r>
    </w:p>
    <w:p w14:paraId="2AA1A986" w14:textId="77777777" w:rsidR="008F1873" w:rsidRDefault="008F1873" w:rsidP="008F1873">
      <w:pPr>
        <w:pStyle w:val="SingleTxtG"/>
        <w:ind w:left="2268"/>
      </w:pPr>
      <w:r>
        <w:tab/>
        <w:t>Type III (emission of crankcase gases);</w:t>
      </w:r>
    </w:p>
    <w:p w14:paraId="16F1558B" w14:textId="77777777" w:rsidR="008F1873" w:rsidRDefault="008F1873" w:rsidP="008F1873">
      <w:pPr>
        <w:pStyle w:val="SingleTxtG"/>
        <w:ind w:left="2268"/>
      </w:pPr>
      <w:r>
        <w:tab/>
        <w:t>Type IV (evaporative emissions), where applicable;</w:t>
      </w:r>
    </w:p>
    <w:p w14:paraId="436B837F" w14:textId="77777777" w:rsidR="008F1873" w:rsidRDefault="008F1873" w:rsidP="008F1873">
      <w:pPr>
        <w:pStyle w:val="SingleTxtG"/>
        <w:ind w:left="2268"/>
      </w:pPr>
      <w:r>
        <w:tab/>
        <w:t>Type V (durability of anti-pollution devices);</w:t>
      </w:r>
    </w:p>
    <w:p w14:paraId="0EA07C5A" w14:textId="77777777" w:rsidR="008F1873" w:rsidRDefault="008F1873" w:rsidP="008F1873">
      <w:pPr>
        <w:pStyle w:val="SingleTxtG"/>
        <w:ind w:left="2268"/>
      </w:pPr>
      <w:r>
        <w:tab/>
        <w:t xml:space="preserve">Type VI (verifying the average low ambient temperature carbon monoxide </w:t>
      </w:r>
      <w:r>
        <w:tab/>
        <w:t>and hydrocarbon exhaust emissions after a cold start), where applicable,</w:t>
      </w:r>
    </w:p>
    <w:p w14:paraId="3DCF3AAC" w14:textId="77777777" w:rsidR="008F1873" w:rsidRDefault="008F1873" w:rsidP="008F1873">
      <w:pPr>
        <w:pStyle w:val="SingleTxtG"/>
        <w:ind w:left="2268"/>
      </w:pPr>
      <w:r>
        <w:tab/>
        <w:t>OBD test</w:t>
      </w:r>
      <w:r w:rsidRPr="00821F36">
        <w:rPr>
          <w:bCs/>
        </w:rPr>
        <w:t>.</w:t>
      </w:r>
      <w:r w:rsidRPr="007C65A5">
        <w:t>"</w:t>
      </w:r>
    </w:p>
    <w:p w14:paraId="520AB83E" w14:textId="77777777" w:rsidR="008F1873" w:rsidRPr="00DE79C6" w:rsidRDefault="008F1873" w:rsidP="008F1873">
      <w:pPr>
        <w:pStyle w:val="para"/>
        <w:spacing w:before="120" w:line="240" w:lineRule="auto"/>
        <w:ind w:left="1134" w:firstLine="0"/>
        <w:rPr>
          <w:i/>
          <w:lang w:val="en-US"/>
        </w:rPr>
      </w:pPr>
      <w:r w:rsidRPr="00DE79C6">
        <w:rPr>
          <w:i/>
          <w:lang w:val="en-US"/>
        </w:rPr>
        <w:t>Paragraph 5.3.1.4., Table 1, footnote 2,</w:t>
      </w:r>
      <w:r>
        <w:rPr>
          <w:i/>
          <w:lang w:val="en-US"/>
        </w:rPr>
        <w:t xml:space="preserve"> </w:t>
      </w:r>
      <w:r w:rsidRPr="00DE79C6">
        <w:rPr>
          <w:iCs/>
          <w:lang w:val="en-US"/>
        </w:rPr>
        <w:t>amend</w:t>
      </w:r>
      <w:r w:rsidRPr="00DE79C6">
        <w:rPr>
          <w:i/>
          <w:lang w:val="en-US"/>
        </w:rPr>
        <w:t xml:space="preserve"> </w:t>
      </w:r>
      <w:r w:rsidRPr="00DE79C6">
        <w:rPr>
          <w:lang w:val="en-US"/>
        </w:rPr>
        <w:t>to read</w:t>
      </w:r>
      <w:r w:rsidRPr="00DE79C6">
        <w:rPr>
          <w:i/>
          <w:lang w:val="en-US"/>
        </w:rPr>
        <w:t>:</w:t>
      </w:r>
    </w:p>
    <w:p w14:paraId="004B019D" w14:textId="0CFB8FC5" w:rsidR="008F1873" w:rsidRPr="00DE79C6" w:rsidRDefault="008F1873" w:rsidP="008F1873">
      <w:pPr>
        <w:suppressAutoHyphens w:val="0"/>
        <w:autoSpaceDE w:val="0"/>
        <w:autoSpaceDN w:val="0"/>
        <w:adjustRightInd w:val="0"/>
        <w:spacing w:line="240" w:lineRule="auto"/>
        <w:ind w:left="1701" w:hanging="567"/>
        <w:rPr>
          <w:lang w:eastAsia="en-GB"/>
        </w:rPr>
      </w:pPr>
      <w:r w:rsidRPr="00DE79C6">
        <w:t>"</w:t>
      </w:r>
      <w:r w:rsidRPr="00DE79C6">
        <w:rPr>
          <w:vertAlign w:val="superscript"/>
          <w:lang w:eastAsia="en-GB"/>
        </w:rPr>
        <w:t>2</w:t>
      </w:r>
      <w:r w:rsidRPr="00DE79C6">
        <w:rPr>
          <w:lang w:eastAsia="en-GB"/>
        </w:rPr>
        <w:tab/>
        <w:t xml:space="preserve">A particulate number emission limit of 6.0 × 1012 #/km shall apply to PI direct injection vehicles upon the choice of the manufacturer. </w:t>
      </w:r>
      <w:r w:rsidRPr="00DE79C6">
        <w:rPr>
          <w:szCs w:val="16"/>
          <w:lang w:eastAsia="en-GB"/>
        </w:rPr>
        <w:t>This decision shall be reflected where applicable in the approval character as described in Table A3/1</w:t>
      </w:r>
      <w:r w:rsidR="00DE5600">
        <w:rPr>
          <w:szCs w:val="16"/>
          <w:lang w:eastAsia="en-GB"/>
        </w:rPr>
        <w:t>.</w:t>
      </w:r>
      <w:r w:rsidRPr="00DE79C6">
        <w:t>"</w:t>
      </w:r>
    </w:p>
    <w:p w14:paraId="58898467" w14:textId="77777777" w:rsidR="008F1873" w:rsidRPr="00DE79C6" w:rsidRDefault="008F1873" w:rsidP="008F1873">
      <w:pPr>
        <w:pStyle w:val="para"/>
        <w:spacing w:before="120" w:line="240" w:lineRule="auto"/>
        <w:ind w:left="1134" w:firstLine="0"/>
        <w:rPr>
          <w:strike/>
          <w:lang w:val="en-US"/>
        </w:rPr>
      </w:pPr>
      <w:r w:rsidRPr="00DE79C6">
        <w:rPr>
          <w:i/>
          <w:lang w:val="en-US"/>
        </w:rPr>
        <w:t>Insert a new paragraph 12.2.5.,</w:t>
      </w:r>
      <w:r w:rsidRPr="00DE79C6">
        <w:rPr>
          <w:iCs/>
          <w:lang w:val="en-US"/>
        </w:rPr>
        <w:t xml:space="preserve"> to read</w:t>
      </w:r>
      <w:r w:rsidRPr="00DE79C6">
        <w:rPr>
          <w:i/>
          <w:lang w:val="en-US"/>
        </w:rPr>
        <w:t>:</w:t>
      </w:r>
    </w:p>
    <w:p w14:paraId="2EA94F3E" w14:textId="77777777" w:rsidR="008F1873" w:rsidRPr="00DE79C6" w:rsidRDefault="008F1873" w:rsidP="008F1873">
      <w:pPr>
        <w:pStyle w:val="para"/>
        <w:spacing w:line="240" w:lineRule="auto"/>
        <w:rPr>
          <w:lang w:val="en-US"/>
        </w:rPr>
      </w:pPr>
      <w:r w:rsidRPr="00DE79C6">
        <w:rPr>
          <w:lang w:val="en-US"/>
        </w:rPr>
        <w:t>"12.2.5.</w:t>
      </w:r>
      <w:r w:rsidRPr="00DE79C6">
        <w:rPr>
          <w:lang w:val="en-US"/>
        </w:rPr>
        <w:tab/>
        <w:t>From the entry into force of this supplement [number to be inserted] the type approvals according to the characters ZD, ZE and ZF shall be considered to be the latest level for the purposes of mutual recognition for their respective vehicle categories. "</w:t>
      </w:r>
    </w:p>
    <w:p w14:paraId="3051CDFF" w14:textId="77777777" w:rsidR="008F1873" w:rsidRPr="00DE79C6" w:rsidRDefault="008F1873" w:rsidP="008F1873">
      <w:pPr>
        <w:pStyle w:val="para"/>
        <w:keepNext/>
        <w:spacing w:line="240" w:lineRule="auto"/>
        <w:rPr>
          <w:lang w:val="en-US"/>
        </w:rPr>
      </w:pPr>
      <w:r w:rsidRPr="00DE79C6">
        <w:rPr>
          <w:i/>
          <w:lang w:val="en-US"/>
        </w:rPr>
        <w:t>Paragraph 12.3.1.,</w:t>
      </w:r>
      <w:r w:rsidRPr="00DE79C6">
        <w:rPr>
          <w:iCs/>
          <w:lang w:val="en-US"/>
        </w:rPr>
        <w:t xml:space="preserve"> amend to read:</w:t>
      </w:r>
    </w:p>
    <w:p w14:paraId="4D588C9F" w14:textId="77777777" w:rsidR="008F1873" w:rsidRPr="00DE79C6" w:rsidRDefault="008F1873" w:rsidP="008F1873">
      <w:pPr>
        <w:pStyle w:val="para"/>
        <w:keepNext/>
        <w:spacing w:line="240" w:lineRule="auto"/>
        <w:rPr>
          <w:lang w:val="en-US"/>
        </w:rPr>
      </w:pPr>
      <w:r w:rsidRPr="00DE79C6">
        <w:rPr>
          <w:lang w:val="en-US"/>
        </w:rPr>
        <w:t xml:space="preserve">"12.3.1. </w:t>
      </w:r>
      <w:r w:rsidRPr="00DE79C6">
        <w:rPr>
          <w:lang w:val="en-US"/>
        </w:rPr>
        <w:tab/>
        <w:t>Contracting Parties applying this Regulation may grant approvals to those vehicles which comply with any previous series of amendments, or to any level of this Regulation, provided that the vehicles are intended for sale or for export to countries that apply the relating requirements in their national legislations.  ‘Any level of this regulation’ shall also be understood to mean any approval character in Table A3/1."</w:t>
      </w:r>
    </w:p>
    <w:p w14:paraId="5917998F" w14:textId="77777777" w:rsidR="008F1873" w:rsidRDefault="008F1873" w:rsidP="008F1873">
      <w:pPr>
        <w:pStyle w:val="SingleTxtG"/>
        <w:rPr>
          <w:i/>
        </w:rPr>
      </w:pPr>
      <w:r w:rsidRPr="00452AB5">
        <w:rPr>
          <w:i/>
        </w:rPr>
        <w:t>Paragraph</w:t>
      </w:r>
      <w:r>
        <w:rPr>
          <w:i/>
        </w:rPr>
        <w:t xml:space="preserve"> 13</w:t>
      </w:r>
      <w:r w:rsidRPr="00BE3130">
        <w:rPr>
          <w:iCs/>
        </w:rPr>
        <w:t>., amend to read:</w:t>
      </w:r>
    </w:p>
    <w:p w14:paraId="796AEF11" w14:textId="24AA7F99" w:rsidR="008F1873" w:rsidRPr="009E75BA" w:rsidRDefault="008F1873" w:rsidP="008F1873">
      <w:pPr>
        <w:pStyle w:val="SingleTxtG"/>
        <w:ind w:left="2259" w:hanging="1125"/>
      </w:pPr>
      <w:r w:rsidRPr="007C65A5">
        <w:t>"</w:t>
      </w:r>
      <w:r>
        <w:t>13</w:t>
      </w:r>
      <w:r w:rsidRPr="00197050">
        <w:t xml:space="preserve">. </w:t>
      </w:r>
      <w:r w:rsidRPr="00197050">
        <w:tab/>
      </w:r>
      <w:r w:rsidRPr="009E75BA">
        <w:t xml:space="preserve">The Contracting Parties to the 1958 Agreement which apply this Regulation shall communicate to the United Nations Secretariat the names and addresses </w:t>
      </w:r>
      <w:r w:rsidRPr="009E75BA">
        <w:lastRenderedPageBreak/>
        <w:t>of the Technical Services responsible for conducting approval tests and of the Type Approval Authorities which grant approval and to which forms certifying approval or extension</w:t>
      </w:r>
      <w:r w:rsidRPr="00711FB5">
        <w:rPr>
          <w:b/>
        </w:rPr>
        <w:t>,</w:t>
      </w:r>
      <w:r w:rsidRPr="009E75BA">
        <w:t xml:space="preserve"> or refusal or withdrawal of approval</w:t>
      </w:r>
      <w:r w:rsidRPr="00711FB5">
        <w:t xml:space="preserve">, </w:t>
      </w:r>
      <w:r w:rsidRPr="009E75BA">
        <w:t>issued in other countries, are to be sent.</w:t>
      </w:r>
      <w:r>
        <w:rPr>
          <w:rStyle w:val="FootnoteReference"/>
        </w:rPr>
        <w:footnoteReference w:id="3"/>
      </w:r>
      <w:r w:rsidRPr="00E80719">
        <w:t>"</w:t>
      </w:r>
    </w:p>
    <w:p w14:paraId="4D59E6CF" w14:textId="32DA9A87" w:rsidR="003E3C9B" w:rsidRDefault="008F1873" w:rsidP="008F1873">
      <w:pPr>
        <w:pStyle w:val="SingleTxtG"/>
        <w:rPr>
          <w:i/>
        </w:rPr>
      </w:pPr>
      <w:r>
        <w:rPr>
          <w:i/>
        </w:rPr>
        <w:t>Appendix 3</w:t>
      </w:r>
    </w:p>
    <w:p w14:paraId="16626381" w14:textId="30BFE8FC" w:rsidR="008F1873" w:rsidRDefault="008F1873" w:rsidP="008F1873">
      <w:pPr>
        <w:pStyle w:val="SingleTxtG"/>
        <w:rPr>
          <w:i/>
        </w:rPr>
      </w:pPr>
      <w:r w:rsidRPr="00452AB5">
        <w:rPr>
          <w:i/>
        </w:rPr>
        <w:t>Paragraph</w:t>
      </w:r>
      <w:r>
        <w:rPr>
          <w:i/>
        </w:rPr>
        <w:t xml:space="preserve"> 6.1.1.</w:t>
      </w:r>
      <w:r w:rsidRPr="00452AB5">
        <w:rPr>
          <w:i/>
        </w:rPr>
        <w:t xml:space="preserve">, </w:t>
      </w:r>
      <w:r w:rsidRPr="00BE3130">
        <w:rPr>
          <w:iCs/>
        </w:rPr>
        <w:t>amend to read:</w:t>
      </w:r>
    </w:p>
    <w:p w14:paraId="578FF6F2" w14:textId="77777777" w:rsidR="008F1873" w:rsidRPr="00E160D4" w:rsidRDefault="008F1873" w:rsidP="008F1873">
      <w:pPr>
        <w:pStyle w:val="SingleTxtG"/>
        <w:ind w:left="2259" w:hanging="1125"/>
      </w:pPr>
      <w:r w:rsidRPr="007C65A5">
        <w:t>"</w:t>
      </w:r>
      <w:r w:rsidRPr="00E160D4">
        <w:t>6.1.1.</w:t>
      </w:r>
      <w:r w:rsidRPr="00E160D4">
        <w:tab/>
      </w:r>
      <w:r>
        <w:t>F</w:t>
      </w:r>
      <w:r w:rsidRPr="00E160D4">
        <w:t>or tailpipe emissions more than one vehicle is found to be an outlying emitter that meets either of the following conditions:</w:t>
      </w:r>
    </w:p>
    <w:p w14:paraId="49018CC3" w14:textId="77777777" w:rsidR="008F1873" w:rsidRPr="00E160D4" w:rsidRDefault="008F1873" w:rsidP="00DE5600">
      <w:pPr>
        <w:pStyle w:val="SingleTxtG"/>
        <w:ind w:left="2835" w:hanging="567"/>
      </w:pPr>
      <w:r w:rsidRPr="00E160D4">
        <w:t>(a)</w:t>
      </w:r>
      <w:r w:rsidRPr="00E160D4">
        <w:tab/>
        <w:t>The conditions of paragraph 3.2.2. of Appendix 4 to this Regulation and where both the Type Approval Authority and the manufacturer agree that the excess emission is due to the same cause; or</w:t>
      </w:r>
    </w:p>
    <w:p w14:paraId="5B81EF6D" w14:textId="77777777" w:rsidR="008F1873" w:rsidRDefault="008F1873" w:rsidP="00DE5600">
      <w:pPr>
        <w:pStyle w:val="SingleTxtG"/>
        <w:ind w:left="2835" w:hanging="567"/>
      </w:pPr>
      <w:r w:rsidRPr="00E160D4">
        <w:t>(b)</w:t>
      </w:r>
      <w:r w:rsidRPr="00E160D4">
        <w:tab/>
        <w:t>The conditions of paragraph 3.2.3. of Appendix 4 to this Regulation where the Type Approval Authority has determined that the excess emission is due to the same cause.</w:t>
      </w:r>
      <w:r w:rsidRPr="00E80719">
        <w:t>"</w:t>
      </w:r>
    </w:p>
    <w:p w14:paraId="15D36589" w14:textId="77777777" w:rsidR="003E3C9B" w:rsidRDefault="008F1873" w:rsidP="008F1873">
      <w:pPr>
        <w:pStyle w:val="SingleTxtG"/>
        <w:rPr>
          <w:i/>
        </w:rPr>
      </w:pPr>
      <w:r w:rsidRPr="00F97267">
        <w:rPr>
          <w:i/>
        </w:rPr>
        <w:t xml:space="preserve">Appendix 5 </w:t>
      </w:r>
    </w:p>
    <w:p w14:paraId="22CB1997" w14:textId="07670264" w:rsidR="008F1873" w:rsidRPr="00F97267" w:rsidRDefault="008F1873" w:rsidP="008F1873">
      <w:pPr>
        <w:pStyle w:val="SingleTxtG"/>
        <w:rPr>
          <w:i/>
        </w:rPr>
      </w:pPr>
      <w:r w:rsidRPr="00F97267">
        <w:rPr>
          <w:i/>
        </w:rPr>
        <w:t>Paragraph 2., amend to read:</w:t>
      </w:r>
    </w:p>
    <w:p w14:paraId="64A18C65" w14:textId="77777777" w:rsidR="008F1873" w:rsidRPr="00F97267" w:rsidRDefault="008F1873" w:rsidP="008F1873">
      <w:pPr>
        <w:pStyle w:val="SingleTxtG"/>
        <w:ind w:left="2259" w:hanging="1125"/>
      </w:pPr>
      <w:r w:rsidRPr="00F97267">
        <w:t>"2.</w:t>
      </w:r>
      <w:r w:rsidRPr="00F97267">
        <w:tab/>
        <w:t xml:space="preserve">The manufacturer shall compile all the information needed to comply with the requirements of </w:t>
      </w:r>
      <w:r>
        <w:t>p</w:t>
      </w:r>
      <w:r w:rsidRPr="00F97267">
        <w:t>aragraph 9</w:t>
      </w:r>
      <w:r>
        <w:t>.</w:t>
      </w:r>
      <w:r w:rsidRPr="00F97267">
        <w:t xml:space="preserve"> and Appendices 3, 4 and 5 of this Regulation. The Type Approval Authority may also take information from surveillance programmes into consideration."</w:t>
      </w:r>
    </w:p>
    <w:p w14:paraId="76F421D8" w14:textId="77777777" w:rsidR="003E3C9B" w:rsidRDefault="008F1873" w:rsidP="008F1873">
      <w:pPr>
        <w:pStyle w:val="SingleTxtG"/>
        <w:rPr>
          <w:i/>
        </w:rPr>
      </w:pPr>
      <w:r w:rsidRPr="00F97267">
        <w:rPr>
          <w:i/>
        </w:rPr>
        <w:t xml:space="preserve">Appendix 6 </w:t>
      </w:r>
    </w:p>
    <w:p w14:paraId="2493F707" w14:textId="69EAFCE1" w:rsidR="008F1873" w:rsidRPr="00F97267" w:rsidRDefault="008F1873" w:rsidP="008F1873">
      <w:pPr>
        <w:pStyle w:val="SingleTxtG"/>
        <w:rPr>
          <w:i/>
        </w:rPr>
      </w:pPr>
      <w:r w:rsidRPr="00F97267">
        <w:rPr>
          <w:i/>
        </w:rPr>
        <w:t>Paragraph 9.4., amend to read:</w:t>
      </w:r>
    </w:p>
    <w:p w14:paraId="5B789671" w14:textId="77777777" w:rsidR="008F1873" w:rsidRPr="00F97267" w:rsidRDefault="008F1873" w:rsidP="008F1873">
      <w:pPr>
        <w:pStyle w:val="SingleTxtG"/>
        <w:ind w:left="2259" w:hanging="1125"/>
      </w:pPr>
      <w:r w:rsidRPr="00F97267">
        <w:t>"9.4.</w:t>
      </w:r>
      <w:r w:rsidRPr="00F97267">
        <w:tab/>
        <w:t>The instructions shall specify that use of, and refilling of, a required reagent of the correct specifications is mandatory for the vehicle to comply with its certificate of conformity."</w:t>
      </w:r>
    </w:p>
    <w:p w14:paraId="786F9DEB" w14:textId="77777777" w:rsidR="003E3C9B" w:rsidRDefault="008F1873" w:rsidP="008F1873">
      <w:pPr>
        <w:pStyle w:val="SingleTxtG"/>
        <w:rPr>
          <w:i/>
        </w:rPr>
      </w:pPr>
      <w:r w:rsidRPr="00F97267">
        <w:rPr>
          <w:i/>
        </w:rPr>
        <w:t xml:space="preserve">Annex 1 </w:t>
      </w:r>
    </w:p>
    <w:p w14:paraId="3C305128" w14:textId="0EC36112" w:rsidR="008F1873" w:rsidRPr="00F97267" w:rsidRDefault="008F1873" w:rsidP="008F1873">
      <w:pPr>
        <w:pStyle w:val="SingleTxtG"/>
        <w:rPr>
          <w:i/>
        </w:rPr>
      </w:pPr>
      <w:r w:rsidRPr="00F97267">
        <w:rPr>
          <w:i/>
        </w:rPr>
        <w:t>Paragraph 3.2.12.2.6.2., amend to read:</w:t>
      </w:r>
    </w:p>
    <w:p w14:paraId="24A638C9" w14:textId="77777777" w:rsidR="008F1873" w:rsidRPr="00F97267" w:rsidRDefault="008F1873" w:rsidP="00DE5600">
      <w:pPr>
        <w:pStyle w:val="SingleTxtG"/>
        <w:ind w:left="2268" w:hanging="1134"/>
      </w:pPr>
      <w:r w:rsidRPr="00F97267">
        <w:t>"3.2.12.2.6.2.</w:t>
      </w:r>
      <w:r w:rsidRPr="00F97267">
        <w:tab/>
        <w:t>Type and design of particulate trap: ………….."</w:t>
      </w:r>
    </w:p>
    <w:p w14:paraId="13C2FCB6" w14:textId="77777777" w:rsidR="003E3C9B" w:rsidRDefault="008F1873" w:rsidP="003E3C9B">
      <w:pPr>
        <w:pStyle w:val="Default"/>
        <w:spacing w:after="120"/>
        <w:ind w:left="1134"/>
        <w:rPr>
          <w:rFonts w:asciiTheme="majorBidi" w:hAnsiTheme="majorBidi" w:cstheme="majorBidi"/>
          <w:i/>
          <w:iCs/>
          <w:sz w:val="20"/>
          <w:szCs w:val="20"/>
          <w:lang w:val="en-US"/>
        </w:rPr>
      </w:pPr>
      <w:r w:rsidRPr="00DE79C6">
        <w:rPr>
          <w:rFonts w:asciiTheme="majorBidi" w:hAnsiTheme="majorBidi" w:cstheme="majorBidi"/>
          <w:i/>
          <w:iCs/>
          <w:sz w:val="20"/>
          <w:szCs w:val="20"/>
          <w:lang w:val="en-US"/>
        </w:rPr>
        <w:t>Annex 3</w:t>
      </w:r>
    </w:p>
    <w:p w14:paraId="17DD34EA" w14:textId="634C2812" w:rsidR="008F1873" w:rsidRPr="00DE79C6" w:rsidRDefault="003E3C9B" w:rsidP="008F1873">
      <w:pPr>
        <w:pStyle w:val="Default"/>
        <w:ind w:left="1134"/>
        <w:rPr>
          <w:rFonts w:asciiTheme="majorBidi" w:hAnsiTheme="majorBidi" w:cstheme="majorBidi"/>
          <w:sz w:val="20"/>
          <w:szCs w:val="20"/>
          <w:lang w:val="en-US"/>
        </w:rPr>
      </w:pPr>
      <w:r>
        <w:rPr>
          <w:rFonts w:asciiTheme="majorBidi" w:hAnsiTheme="majorBidi" w:cstheme="majorBidi"/>
          <w:i/>
          <w:iCs/>
          <w:sz w:val="20"/>
          <w:szCs w:val="20"/>
          <w:lang w:val="en-US"/>
        </w:rPr>
        <w:t>F</w:t>
      </w:r>
      <w:r w:rsidR="008F1873" w:rsidRPr="00DE79C6">
        <w:rPr>
          <w:rFonts w:asciiTheme="majorBidi" w:hAnsiTheme="majorBidi" w:cstheme="majorBidi"/>
          <w:i/>
          <w:iCs/>
          <w:sz w:val="20"/>
          <w:szCs w:val="20"/>
          <w:lang w:val="en-US"/>
        </w:rPr>
        <w:t xml:space="preserve">ootnote to Table A3/1, </w:t>
      </w:r>
      <w:r w:rsidR="008F1873" w:rsidRPr="00DE79C6">
        <w:rPr>
          <w:rFonts w:asciiTheme="majorBidi" w:hAnsiTheme="majorBidi" w:cstheme="majorBidi"/>
          <w:sz w:val="20"/>
          <w:szCs w:val="20"/>
          <w:lang w:val="en-US"/>
        </w:rPr>
        <w:t xml:space="preserve">amend to read: </w:t>
      </w:r>
    </w:p>
    <w:p w14:paraId="1C43A9D6" w14:textId="77777777" w:rsidR="008F1873" w:rsidRPr="00DE79C6" w:rsidRDefault="008F1873" w:rsidP="008F1873">
      <w:pPr>
        <w:pStyle w:val="Default"/>
        <w:spacing w:before="120"/>
        <w:ind w:left="1134"/>
        <w:rPr>
          <w:rFonts w:asciiTheme="majorBidi" w:hAnsiTheme="majorBidi" w:cstheme="majorBidi"/>
          <w:sz w:val="20"/>
          <w:szCs w:val="20"/>
          <w:lang w:val="en-US"/>
        </w:rPr>
      </w:pPr>
      <w:r w:rsidRPr="00DE79C6">
        <w:rPr>
          <w:rFonts w:asciiTheme="majorBidi" w:hAnsiTheme="majorBidi" w:cstheme="majorBidi"/>
          <w:sz w:val="20"/>
          <w:szCs w:val="20"/>
          <w:lang w:val="en-US"/>
        </w:rPr>
        <w:t xml:space="preserve">"Emissions standard key </w:t>
      </w:r>
    </w:p>
    <w:p w14:paraId="6AD72C63" w14:textId="77777777" w:rsidR="008F1873" w:rsidRPr="00DE79C6" w:rsidRDefault="008F1873" w:rsidP="008F1873">
      <w:pPr>
        <w:pStyle w:val="Default"/>
        <w:spacing w:before="120"/>
        <w:ind w:left="2268" w:right="1134" w:hanging="567"/>
        <w:jc w:val="both"/>
        <w:rPr>
          <w:rFonts w:asciiTheme="majorBidi" w:hAnsiTheme="majorBidi" w:cstheme="majorBidi"/>
          <w:sz w:val="20"/>
          <w:szCs w:val="20"/>
          <w:lang w:val="en-US"/>
        </w:rPr>
      </w:pPr>
      <w:proofErr w:type="gramStart"/>
      <w:r w:rsidRPr="00DE79C6">
        <w:rPr>
          <w:rFonts w:asciiTheme="majorBidi" w:hAnsiTheme="majorBidi" w:cstheme="majorBidi"/>
          <w:sz w:val="20"/>
          <w:szCs w:val="20"/>
          <w:lang w:val="en-US"/>
        </w:rPr>
        <w:t>A</w:t>
      </w:r>
      <w:proofErr w:type="gramEnd"/>
      <w:r w:rsidRPr="00DE79C6">
        <w:rPr>
          <w:rFonts w:asciiTheme="majorBidi" w:hAnsiTheme="majorBidi" w:cstheme="majorBidi"/>
          <w:sz w:val="20"/>
          <w:szCs w:val="20"/>
          <w:lang w:val="en-US"/>
        </w:rPr>
        <w:t xml:space="preserve"> </w:t>
      </w:r>
      <w:r w:rsidRPr="00DE79C6">
        <w:rPr>
          <w:rFonts w:asciiTheme="majorBidi" w:hAnsiTheme="majorBidi" w:cstheme="majorBidi"/>
          <w:sz w:val="20"/>
          <w:szCs w:val="20"/>
          <w:lang w:val="en-US"/>
        </w:rPr>
        <w:tab/>
        <w:t xml:space="preserve">Emission requirements according to the limits in Table 1 of paragraph 5.3.1.4. of this Regulation, but allowing complying with the preliminary values for particulate numbers for PI vehicles as detailed in footnote 2 to that table </w:t>
      </w:r>
      <w:r w:rsidRPr="00DE79C6">
        <w:rPr>
          <w:rFonts w:asciiTheme="majorBidi" w:hAnsiTheme="majorBidi" w:cstheme="majorBidi"/>
          <w:color w:val="auto"/>
          <w:sz w:val="20"/>
          <w:szCs w:val="20"/>
          <w:lang w:val="en-US"/>
        </w:rPr>
        <w:t xml:space="preserve">and </w:t>
      </w:r>
      <w:r w:rsidRPr="00DE79C6">
        <w:rPr>
          <w:rFonts w:asciiTheme="majorBidi" w:hAnsiTheme="majorBidi" w:cstheme="majorBidi"/>
          <w:sz w:val="20"/>
          <w:szCs w:val="20"/>
          <w:lang w:val="en-US"/>
        </w:rPr>
        <w:t xml:space="preserve">using any applicable reference fuel; </w:t>
      </w:r>
    </w:p>
    <w:p w14:paraId="5BCED444" w14:textId="77777777" w:rsidR="008F1873" w:rsidRPr="00DE79C6" w:rsidRDefault="008F1873" w:rsidP="008F1873">
      <w:pPr>
        <w:pStyle w:val="para"/>
        <w:spacing w:line="240" w:lineRule="auto"/>
        <w:ind w:hanging="567"/>
        <w:rPr>
          <w:rFonts w:asciiTheme="majorBidi" w:hAnsiTheme="majorBidi" w:cstheme="majorBidi"/>
        </w:rPr>
      </w:pPr>
      <w:r w:rsidRPr="00DE79C6">
        <w:rPr>
          <w:rFonts w:asciiTheme="majorBidi" w:hAnsiTheme="majorBidi" w:cstheme="majorBidi"/>
        </w:rPr>
        <w:t xml:space="preserve">B </w:t>
      </w:r>
      <w:r w:rsidRPr="00DE79C6">
        <w:rPr>
          <w:rFonts w:asciiTheme="majorBidi" w:hAnsiTheme="majorBidi" w:cstheme="majorBidi"/>
        </w:rPr>
        <w:tab/>
        <w:t>Emission requirements according to the limits in Table 1 of paragraph 5.3.1.4. of this Regulation, including complying with the final particulate number standards for PI vehicles in the table without reference to footnote 2 and use of E10 and B7 reference fuel (where applicable). "</w:t>
      </w:r>
    </w:p>
    <w:p w14:paraId="4C1262E7" w14:textId="72B58751" w:rsidR="003E3C9B" w:rsidRDefault="008F1873" w:rsidP="008F1873">
      <w:pPr>
        <w:pStyle w:val="SingleTxtG"/>
        <w:keepNext/>
        <w:rPr>
          <w:i/>
        </w:rPr>
      </w:pPr>
      <w:r w:rsidRPr="00F97267">
        <w:rPr>
          <w:i/>
        </w:rPr>
        <w:t>Annex 5</w:t>
      </w:r>
    </w:p>
    <w:p w14:paraId="28B209C0" w14:textId="7BAA3724" w:rsidR="008F1873" w:rsidRPr="00F97267" w:rsidRDefault="008F1873" w:rsidP="008F1873">
      <w:pPr>
        <w:pStyle w:val="SingleTxtG"/>
        <w:keepNext/>
        <w:rPr>
          <w:i/>
        </w:rPr>
      </w:pPr>
      <w:r w:rsidRPr="00F97267">
        <w:rPr>
          <w:i/>
        </w:rPr>
        <w:t>Paragraph 3.1., amend to read:</w:t>
      </w:r>
      <w:r w:rsidRPr="00F97267">
        <w:rPr>
          <w:i/>
        </w:rPr>
        <w:tab/>
      </w:r>
    </w:p>
    <w:p w14:paraId="512CC472" w14:textId="77777777" w:rsidR="008F1873" w:rsidRPr="00F97267" w:rsidRDefault="008F1873" w:rsidP="008F1873">
      <w:pPr>
        <w:pStyle w:val="SingleTxtG"/>
        <w:ind w:left="2268" w:hanging="1122"/>
      </w:pPr>
      <w:r w:rsidRPr="00F97267">
        <w:t>"3.1.</w:t>
      </w:r>
      <w:r w:rsidRPr="00F97267">
        <w:tab/>
      </w:r>
      <w:r w:rsidRPr="00F97267">
        <w:tab/>
        <w:t>The sampling probe shall be inserted into the exhaust pipe to a depth of at least 300 mm or into the pipe connecting the exhaust with the sampling bag and as close as possible to the exhaust."</w:t>
      </w:r>
    </w:p>
    <w:p w14:paraId="56AB0770" w14:textId="2ECBAD6F" w:rsidR="003E3C9B" w:rsidRDefault="008F1873" w:rsidP="008F1873">
      <w:pPr>
        <w:keepNext/>
        <w:keepLines/>
        <w:spacing w:after="120" w:line="240" w:lineRule="auto"/>
        <w:ind w:left="2268" w:right="1134" w:hanging="1134"/>
        <w:rPr>
          <w:i/>
          <w:lang w:val="en-US"/>
        </w:rPr>
      </w:pPr>
      <w:r w:rsidRPr="002836AE">
        <w:rPr>
          <w:i/>
          <w:lang w:val="en-US"/>
        </w:rPr>
        <w:lastRenderedPageBreak/>
        <w:t>Annex 7</w:t>
      </w:r>
    </w:p>
    <w:p w14:paraId="3D791E02" w14:textId="6683AD45" w:rsidR="008F1873" w:rsidRPr="002836AE" w:rsidRDefault="003E3C9B" w:rsidP="008F1873">
      <w:pPr>
        <w:keepNext/>
        <w:keepLines/>
        <w:spacing w:after="120" w:line="240" w:lineRule="auto"/>
        <w:ind w:left="2268" w:right="1134" w:hanging="1134"/>
        <w:rPr>
          <w:lang w:val="en-US"/>
        </w:rPr>
      </w:pPr>
      <w:r>
        <w:rPr>
          <w:i/>
          <w:lang w:val="en-US"/>
        </w:rPr>
        <w:t>P</w:t>
      </w:r>
      <w:r w:rsidR="008F1873" w:rsidRPr="002836AE">
        <w:rPr>
          <w:i/>
          <w:lang w:val="en-US"/>
        </w:rPr>
        <w:t xml:space="preserve">aragraph 4.2.1., </w:t>
      </w:r>
      <w:r w:rsidR="008F1873" w:rsidRPr="002836AE">
        <w:rPr>
          <w:iCs/>
          <w:lang w:val="en-US"/>
        </w:rPr>
        <w:t xml:space="preserve">amend </w:t>
      </w:r>
      <w:r w:rsidR="008F1873" w:rsidRPr="002836AE">
        <w:rPr>
          <w:lang w:val="en-US"/>
        </w:rPr>
        <w:t>to read:</w:t>
      </w:r>
    </w:p>
    <w:p w14:paraId="6A810F56" w14:textId="77777777" w:rsidR="008F1873" w:rsidRPr="002836AE" w:rsidRDefault="008F1873" w:rsidP="008F1873">
      <w:pPr>
        <w:pStyle w:val="SingleTxtG"/>
        <w:ind w:left="2268" w:hanging="1134"/>
      </w:pPr>
      <w:r w:rsidRPr="002836AE">
        <w:t>"4.2.1.</w:t>
      </w:r>
      <w:r w:rsidRPr="002836AE">
        <w:tab/>
        <w:t>Variable-volume enclosure</w:t>
      </w:r>
    </w:p>
    <w:p w14:paraId="7436438F" w14:textId="77777777" w:rsidR="008F1873" w:rsidRPr="002836AE" w:rsidRDefault="008F1873" w:rsidP="008F1873">
      <w:pPr>
        <w:pStyle w:val="SingleTxtG"/>
        <w:ind w:left="2268" w:hanging="1134"/>
      </w:pPr>
      <w:r w:rsidRPr="002836A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14:paraId="60CAC5AD" w14:textId="0E661678" w:rsidR="008F1873" w:rsidRPr="002836AE" w:rsidRDefault="008F1873" w:rsidP="008F1873">
      <w:pPr>
        <w:pStyle w:val="SingleTxtG"/>
        <w:ind w:left="2268" w:hanging="1134"/>
      </w:pPr>
      <w:r w:rsidRPr="002836AE">
        <w:tab/>
        <w:t>Any method of volume accommodation shall limit the differential between the enclosure internal pressure and the barometric pressure to a maximum value of </w:t>
      </w:r>
      <w:r w:rsidR="00DE5600">
        <w:t>±</w:t>
      </w:r>
      <w:r w:rsidRPr="002836AE">
        <w:t>5 </w:t>
      </w:r>
      <w:proofErr w:type="spellStart"/>
      <w:r w:rsidRPr="002836AE">
        <w:rPr>
          <w:lang w:eastAsia="ja-JP"/>
        </w:rPr>
        <w:t>h</w:t>
      </w:r>
      <w:r w:rsidRPr="002836AE">
        <w:t>Pa</w:t>
      </w:r>
      <w:proofErr w:type="spellEnd"/>
      <w:r w:rsidRPr="002836AE">
        <w:t>.</w:t>
      </w:r>
    </w:p>
    <w:p w14:paraId="5E0E5A15" w14:textId="77777777" w:rsidR="008F1873" w:rsidRPr="002836AE" w:rsidRDefault="008F1873" w:rsidP="008F1873">
      <w:pPr>
        <w:pStyle w:val="SingleTxtG"/>
        <w:ind w:left="2268" w:hanging="1134"/>
      </w:pPr>
      <w:r w:rsidRPr="002836AE">
        <w:tab/>
        <w:t>The enclosure shall be capable of latching to a fixed volume. A variable volume enclosure shall be capable of accommodating a +7 per cent change from its "nominal volume" (see paragraph 2.1.1. of Appendix 1 to this annex,), taking into account temperature and barometric pressure variation during testing. "</w:t>
      </w:r>
    </w:p>
    <w:p w14:paraId="67A2C878" w14:textId="0017F482" w:rsidR="008F1873" w:rsidRPr="002836AE" w:rsidRDefault="003E3C9B" w:rsidP="008F1873">
      <w:pPr>
        <w:keepNext/>
        <w:keepLines/>
        <w:spacing w:after="120" w:line="240" w:lineRule="auto"/>
        <w:ind w:left="2268" w:right="1134" w:hanging="1134"/>
        <w:rPr>
          <w:lang w:val="en-US"/>
        </w:rPr>
      </w:pPr>
      <w:r>
        <w:rPr>
          <w:i/>
          <w:lang w:val="en-US"/>
        </w:rPr>
        <w:t>P</w:t>
      </w:r>
      <w:r w:rsidR="008F1873" w:rsidRPr="002836AE">
        <w:rPr>
          <w:i/>
          <w:lang w:val="en-US"/>
        </w:rPr>
        <w:t xml:space="preserve">aragraph 4.6.2., </w:t>
      </w:r>
      <w:r w:rsidR="008F1873" w:rsidRPr="002836AE">
        <w:rPr>
          <w:iCs/>
          <w:lang w:val="en-US"/>
        </w:rPr>
        <w:t xml:space="preserve">amend </w:t>
      </w:r>
      <w:r w:rsidR="008F1873" w:rsidRPr="002836AE">
        <w:rPr>
          <w:lang w:val="en-US"/>
        </w:rPr>
        <w:t>to read:</w:t>
      </w:r>
    </w:p>
    <w:p w14:paraId="6AF1928F" w14:textId="1BD90317" w:rsidR="008F1873" w:rsidRPr="002836AE" w:rsidRDefault="008F1873" w:rsidP="008F1873">
      <w:pPr>
        <w:pStyle w:val="SingleTxtG"/>
        <w:ind w:left="2268" w:hanging="1134"/>
      </w:pPr>
      <w:r w:rsidRPr="002836AE">
        <w:t>"4.6.2.</w:t>
      </w:r>
      <w:r w:rsidRPr="002836AE">
        <w:tab/>
        <w:t xml:space="preserve">The accuracy of the pressure recording system shall be within </w:t>
      </w:r>
      <w:r w:rsidR="00DE5600">
        <w:t>±</w:t>
      </w:r>
      <w:r w:rsidRPr="002836AE">
        <w:t xml:space="preserve"> </w:t>
      </w:r>
      <w:r w:rsidRPr="002836AE">
        <w:rPr>
          <w:lang w:eastAsia="ja-JP"/>
        </w:rPr>
        <w:t>0.3</w:t>
      </w:r>
      <w:r w:rsidRPr="002836AE">
        <w:t xml:space="preserve"> kPa and the pressure shall </w:t>
      </w:r>
      <w:r w:rsidRPr="002836AE">
        <w:rPr>
          <w:lang w:eastAsia="ja-JP"/>
        </w:rPr>
        <w:t>have resolution of 0.025</w:t>
      </w:r>
      <w:r w:rsidRPr="002836AE">
        <w:t> kPa. "</w:t>
      </w:r>
    </w:p>
    <w:p w14:paraId="50907887" w14:textId="320BDEFE" w:rsidR="008F1873" w:rsidRPr="002836AE" w:rsidRDefault="008F1873" w:rsidP="008F1873">
      <w:pPr>
        <w:keepNext/>
        <w:keepLines/>
        <w:spacing w:after="120" w:line="240" w:lineRule="auto"/>
        <w:ind w:left="2268" w:right="1134" w:hanging="1134"/>
        <w:rPr>
          <w:lang w:val="en-US"/>
        </w:rPr>
      </w:pPr>
      <w:r w:rsidRPr="002836AE">
        <w:rPr>
          <w:i/>
          <w:lang w:val="en-US"/>
        </w:rPr>
        <w:t>Delete paragraphs 4.9. and 4.9.1.</w:t>
      </w:r>
    </w:p>
    <w:p w14:paraId="516CA131" w14:textId="464F82D5" w:rsidR="008F1873" w:rsidRPr="002836AE" w:rsidRDefault="008F1873" w:rsidP="008F1873">
      <w:pPr>
        <w:pStyle w:val="SingleTxtG"/>
        <w:rPr>
          <w:i/>
        </w:rPr>
      </w:pPr>
      <w:r w:rsidRPr="002836AE">
        <w:rPr>
          <w:i/>
        </w:rPr>
        <w:t>Paragraph 5.1.3.3., amend to read:</w:t>
      </w:r>
    </w:p>
    <w:p w14:paraId="4F70BFF3" w14:textId="77777777" w:rsidR="008F1873" w:rsidRPr="002836AE" w:rsidRDefault="008F1873" w:rsidP="008F1873">
      <w:pPr>
        <w:pStyle w:val="SingleTxtG"/>
        <w:ind w:left="2259" w:hanging="1125"/>
      </w:pPr>
      <w:r w:rsidRPr="002836AE">
        <w:t>"5.1.3.3.</w:t>
      </w:r>
      <w:r w:rsidRPr="002836AE">
        <w:tab/>
        <w:t>The canister is connected to a fuel tank, possibly an external one, filled with reference fuel, to 40 per cent capacity of the fuel tank(s)."</w:t>
      </w:r>
    </w:p>
    <w:p w14:paraId="33809D60" w14:textId="3913C3E9" w:rsidR="008F1873" w:rsidRPr="002836AE" w:rsidRDefault="003E3C9B" w:rsidP="008F1873">
      <w:pPr>
        <w:pStyle w:val="para"/>
        <w:keepNext/>
        <w:spacing w:line="240" w:lineRule="auto"/>
        <w:ind w:left="1134" w:firstLine="0"/>
        <w:rPr>
          <w:lang w:val="en-US"/>
        </w:rPr>
      </w:pPr>
      <w:r>
        <w:rPr>
          <w:i/>
          <w:lang w:val="en-US"/>
        </w:rPr>
        <w:t>P</w:t>
      </w:r>
      <w:r w:rsidR="008F1873" w:rsidRPr="002836AE">
        <w:rPr>
          <w:i/>
          <w:lang w:val="en-US"/>
        </w:rPr>
        <w:t xml:space="preserve">aragraph 6.1., </w:t>
      </w:r>
      <w:r w:rsidR="008F1873" w:rsidRPr="002836AE">
        <w:rPr>
          <w:iCs/>
          <w:lang w:val="en-US"/>
        </w:rPr>
        <w:t xml:space="preserve">amend </w:t>
      </w:r>
      <w:r w:rsidR="008F1873" w:rsidRPr="002836AE">
        <w:rPr>
          <w:lang w:val="en-US"/>
        </w:rPr>
        <w:t>to read:</w:t>
      </w:r>
    </w:p>
    <w:p w14:paraId="68224C61" w14:textId="77777777" w:rsidR="008F1873" w:rsidRPr="002836AE" w:rsidRDefault="008F1873" w:rsidP="008F1873">
      <w:pPr>
        <w:pStyle w:val="para"/>
        <w:spacing w:line="240" w:lineRule="auto"/>
        <w:rPr>
          <w:lang w:val="en-US"/>
        </w:rPr>
      </w:pPr>
      <w:r w:rsidRPr="002836AE">
        <w:rPr>
          <w:lang w:val="en-US"/>
        </w:rPr>
        <w:t xml:space="preserve">"6.1. </w:t>
      </w:r>
      <w:r w:rsidRPr="002836AE">
        <w:rPr>
          <w:lang w:val="en-US"/>
        </w:rPr>
        <w:tab/>
        <w:t>Calculation of evaporative test results</w:t>
      </w:r>
    </w:p>
    <w:p w14:paraId="06D923A5" w14:textId="77777777" w:rsidR="008F1873" w:rsidRPr="002836AE" w:rsidRDefault="008F1873" w:rsidP="008F1873">
      <w:pPr>
        <w:pStyle w:val="para"/>
        <w:spacing w:line="240" w:lineRule="auto"/>
        <w:rPr>
          <w:lang w:val="fr-CH"/>
        </w:rPr>
      </w:pPr>
      <w:r w:rsidRPr="002836AE">
        <w:rPr>
          <w:lang w:val="en-US"/>
        </w:rPr>
        <w:t>6.1.1.</w:t>
      </w:r>
      <w:r w:rsidRPr="002836AE">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rsidRPr="002836AE">
        <w:t>The formula below is used:</w:t>
      </w:r>
    </w:p>
    <w:p w14:paraId="533934D3" w14:textId="77777777" w:rsidR="008F1873" w:rsidRPr="002836AE" w:rsidRDefault="008F1873" w:rsidP="008F1873">
      <w:pPr>
        <w:pStyle w:val="para"/>
        <w:spacing w:line="240" w:lineRule="auto"/>
      </w:pPr>
      <w:r w:rsidRPr="002836AE">
        <w:tab/>
      </w:r>
      <m:oMath>
        <m:sSub>
          <m:sSubPr>
            <m:ctrlPr>
              <w:rPr>
                <w:rFonts w:ascii="Cambria Math" w:hAnsi="Cambria Math"/>
                <w:i/>
                <w:lang w:val="fr-CH"/>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fr-CH"/>
              </w:rPr>
            </m:ctrlPr>
          </m:sSupPr>
          <m:e>
            <m:r>
              <w:rPr>
                <w:rFonts w:ascii="Cambria Math" w:hAnsi="Cambria Math"/>
              </w:rPr>
              <m:t>10</m:t>
            </m:r>
          </m:e>
          <m:sup>
            <m:r>
              <w:rPr>
                <w:rFonts w:ascii="Cambria Math" w:hAnsi="Cambria Math"/>
              </w:rPr>
              <m:t>-4</m:t>
            </m:r>
          </m:sup>
        </m:sSup>
        <m:d>
          <m:dPr>
            <m:ctrlPr>
              <w:rPr>
                <w:rFonts w:ascii="Cambria Math" w:hAnsi="Cambria Math"/>
                <w:i/>
                <w:lang w:val="fr-CH"/>
              </w:rPr>
            </m:ctrlPr>
          </m:dPr>
          <m:e>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f</m:t>
                    </m:r>
                  </m:sub>
                </m:sSub>
              </m:num>
              <m:den>
                <m:sSub>
                  <m:sSubPr>
                    <m:ctrlPr>
                      <w:rPr>
                        <w:rFonts w:ascii="Cambria Math" w:hAnsi="Cambria Math"/>
                        <w:i/>
                        <w:lang w:val="fr-CH"/>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i</m:t>
                    </m:r>
                  </m:sub>
                </m:sSub>
              </m:num>
              <m:den>
                <m:sSub>
                  <m:sSubPr>
                    <m:ctrlPr>
                      <w:rPr>
                        <w:rFonts w:ascii="Cambria Math" w:hAnsi="Cambria Math"/>
                        <w:i/>
                        <w:lang w:val="fr-CH"/>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HC,i</m:t>
            </m:r>
          </m:sub>
        </m:sSub>
      </m:oMath>
    </w:p>
    <w:p w14:paraId="54AC7238" w14:textId="77777777" w:rsidR="008F1873" w:rsidRPr="002836AE" w:rsidRDefault="008F1873" w:rsidP="008F1873">
      <w:pPr>
        <w:pStyle w:val="para"/>
        <w:spacing w:line="240" w:lineRule="auto"/>
        <w:ind w:left="3402"/>
        <w:rPr>
          <w:lang w:val="en-US"/>
        </w:rPr>
      </w:pPr>
      <w:r w:rsidRPr="002836AE">
        <w:rPr>
          <w:lang w:val="en-US"/>
        </w:rPr>
        <w:t>Where:</w:t>
      </w:r>
    </w:p>
    <w:p w14:paraId="76A6B9F0" w14:textId="77777777" w:rsidR="008F1873" w:rsidRPr="002836AE" w:rsidRDefault="008F1873" w:rsidP="008F1873">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75382618"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M</w:t>
      </w:r>
      <w:r w:rsidRPr="002836AE">
        <w:rPr>
          <w:vertAlign w:val="subscript"/>
          <w:lang w:val="en-US"/>
        </w:rPr>
        <w:t>HC</w:t>
      </w:r>
      <w:proofErr w:type="gramStart"/>
      <w:r w:rsidRPr="002836AE">
        <w:rPr>
          <w:vertAlign w:val="subscript"/>
          <w:lang w:val="en-US"/>
        </w:rPr>
        <w:t>,out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061A54F1"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M</w:t>
      </w:r>
      <w:r w:rsidRPr="002836AE">
        <w:rPr>
          <w:vertAlign w:val="subscript"/>
          <w:lang w:val="en-US"/>
        </w:rPr>
        <w:t>HC</w:t>
      </w:r>
      <w:proofErr w:type="gramStart"/>
      <w:r w:rsidRPr="002836AE">
        <w:rPr>
          <w:vertAlign w:val="subscript"/>
          <w:lang w:val="en-US"/>
        </w:rPr>
        <w:t>,i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in the case of fixed volume enclosures for diurnal emission testing (grams),</w:t>
      </w:r>
    </w:p>
    <w:p w14:paraId="3B395C85" w14:textId="77777777" w:rsidR="008F1873" w:rsidRPr="002836AE" w:rsidRDefault="008F1873" w:rsidP="008F1873">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measured hydrocarbon concentration in the enclosure (ppm volume in C1 equivalent),</w:t>
      </w:r>
    </w:p>
    <w:p w14:paraId="229F3249"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net enclosure volume in cubic </w:t>
      </w:r>
      <w:proofErr w:type="spellStart"/>
      <w:r w:rsidRPr="002836AE">
        <w:rPr>
          <w:lang w:val="en-US"/>
        </w:rPr>
        <w:t>metres</w:t>
      </w:r>
      <w:proofErr w:type="spellEnd"/>
      <w:r w:rsidRPr="002836AE">
        <w:rPr>
          <w:lang w:val="en-US"/>
        </w:rPr>
        <w:t xml:space="preserve"> corrected for the volume of the vehicle, with the windows and the luggage compartment open. If the volume of the vehicle is not determined a volume of 1.42 m3 is subtracted,</w:t>
      </w:r>
    </w:p>
    <w:p w14:paraId="5058D770"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chamber temperature, in K,</w:t>
      </w:r>
    </w:p>
    <w:p w14:paraId="7B4DB103" w14:textId="77777777" w:rsidR="008F1873" w:rsidRPr="002836AE" w:rsidRDefault="008F1873" w:rsidP="008F1873">
      <w:pPr>
        <w:pStyle w:val="para"/>
        <w:tabs>
          <w:tab w:val="left" w:pos="3119"/>
        </w:tabs>
        <w:spacing w:line="240" w:lineRule="auto"/>
        <w:ind w:left="3402"/>
        <w:rPr>
          <w:lang w:val="en-US"/>
        </w:rPr>
      </w:pPr>
      <w:r w:rsidRPr="002836AE">
        <w:rPr>
          <w:lang w:val="en-US"/>
        </w:rPr>
        <w:lastRenderedPageBreak/>
        <w:t xml:space="preserve">P </w:t>
      </w:r>
      <w:r w:rsidRPr="002836AE">
        <w:rPr>
          <w:lang w:val="en-US"/>
        </w:rPr>
        <w:tab/>
        <w:t xml:space="preserve">= </w:t>
      </w:r>
      <w:r w:rsidRPr="002836AE">
        <w:rPr>
          <w:lang w:val="en-US"/>
        </w:rPr>
        <w:tab/>
        <w:t>barometric pressure in kPa,</w:t>
      </w:r>
    </w:p>
    <w:p w14:paraId="6E8CAB4F" w14:textId="77777777" w:rsidR="008F1873" w:rsidRPr="002836AE" w:rsidRDefault="008F1873" w:rsidP="008F1873">
      <w:pPr>
        <w:pStyle w:val="para"/>
        <w:tabs>
          <w:tab w:val="left" w:pos="3119"/>
        </w:tabs>
        <w:spacing w:line="240" w:lineRule="auto"/>
        <w:ind w:left="3402"/>
        <w:rPr>
          <w:lang w:val="en-US"/>
        </w:rPr>
      </w:pPr>
      <w:r w:rsidRPr="002836AE">
        <w:rPr>
          <w:lang w:val="en-US"/>
        </w:rPr>
        <w:t>H/C</w:t>
      </w:r>
      <w:r w:rsidRPr="002836AE">
        <w:rPr>
          <w:lang w:val="en-US"/>
        </w:rPr>
        <w:tab/>
        <w:t xml:space="preserve">= </w:t>
      </w:r>
      <w:r w:rsidRPr="002836AE">
        <w:rPr>
          <w:lang w:val="en-US"/>
        </w:rPr>
        <w:tab/>
        <w:t>hydrogen to carbon ratio,</w:t>
      </w:r>
    </w:p>
    <w:p w14:paraId="2594F335"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1.2 • (12 + H/C);</w:t>
      </w:r>
    </w:p>
    <w:p w14:paraId="5E42F552" w14:textId="77777777" w:rsidR="008F1873" w:rsidRPr="002836AE" w:rsidRDefault="008F1873" w:rsidP="008F1873">
      <w:pPr>
        <w:pStyle w:val="para"/>
        <w:tabs>
          <w:tab w:val="left" w:pos="3119"/>
        </w:tabs>
        <w:spacing w:line="240" w:lineRule="auto"/>
        <w:ind w:left="3402"/>
        <w:rPr>
          <w:lang w:val="en-US"/>
        </w:rPr>
      </w:pPr>
      <w:r w:rsidRPr="002836AE">
        <w:rPr>
          <w:lang w:val="en-US"/>
        </w:rPr>
        <w:t>Where:</w:t>
      </w:r>
    </w:p>
    <w:p w14:paraId="49CA260D"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14:paraId="6B22A3B3"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2AEF0835"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2.33 for diurnal test losses,</w:t>
      </w:r>
    </w:p>
    <w:p w14:paraId="2F1AAE99"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2.20 for hot soak losses.</w:t>
      </w:r>
    </w:p>
    <w:p w14:paraId="2DA8F927" w14:textId="77777777" w:rsidR="008F1873" w:rsidRPr="002836AE" w:rsidRDefault="008F1873" w:rsidP="008F1873">
      <w:pPr>
        <w:pStyle w:val="para"/>
        <w:tabs>
          <w:tab w:val="left" w:pos="3119"/>
        </w:tabs>
        <w:spacing w:line="240" w:lineRule="auto"/>
        <w:rPr>
          <w:lang w:val="en-US" w:eastAsia="ja-JP"/>
        </w:rPr>
      </w:pPr>
      <w:r w:rsidRPr="002836AE">
        <w:rPr>
          <w:lang w:val="en-US" w:eastAsia="ja-JP"/>
        </w:rPr>
        <w:t>6.1.2.</w:t>
      </w:r>
      <w:r w:rsidRPr="002836AE">
        <w:rPr>
          <w:lang w:val="en-US" w:eastAsia="ja-JP"/>
        </w:rPr>
        <w:tab/>
        <w:t>As an alternative to the equation in paragraph 6.1.1. of this Annex, for variable volume enclosures the following equation may be used at the choice of the manufacturer:</w:t>
      </w:r>
    </w:p>
    <w:p w14:paraId="466B1147" w14:textId="77777777" w:rsidR="008F1873" w:rsidRPr="002836AE" w:rsidRDefault="008F1873" w:rsidP="008F1873">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1482AEE8" w14:textId="77777777" w:rsidR="008F1873" w:rsidRPr="002836AE" w:rsidRDefault="008F1873" w:rsidP="008F1873">
      <w:pPr>
        <w:spacing w:before="120" w:after="120"/>
        <w:ind w:left="2268" w:right="1134"/>
        <w:jc w:val="both"/>
        <w:rPr>
          <w:lang w:eastAsia="ja-JP"/>
        </w:rPr>
      </w:pPr>
      <w:r>
        <w:rPr>
          <w:lang w:eastAsia="ja-JP"/>
        </w:rPr>
        <w:t>W</w:t>
      </w:r>
      <w:r w:rsidRPr="002836AE">
        <w:rPr>
          <w:lang w:eastAsia="ja-JP"/>
        </w:rPr>
        <w:t>here:</w:t>
      </w:r>
    </w:p>
    <w:p w14:paraId="747CB326"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6EF1B3D6"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498CFC79"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 corrected for the volume of the vehicle, with the windows and the luggage compartment open. If the volume of the vehicle is not determined a volume of 1.42 m</w:t>
      </w:r>
      <w:r w:rsidRPr="002836AE">
        <w:rPr>
          <w:vertAlign w:val="superscript"/>
          <w:lang w:eastAsia="ja-JP"/>
        </w:rPr>
        <w:t>3</w:t>
      </w:r>
      <w:r w:rsidRPr="002836AE">
        <w:rPr>
          <w:lang w:eastAsia="ja-JP"/>
        </w:rPr>
        <w:t xml:space="preserve"> is subtracted;</w:t>
      </w:r>
    </w:p>
    <w:p w14:paraId="40BE7ECE" w14:textId="77777777" w:rsidR="008F1873" w:rsidRPr="002836AE" w:rsidRDefault="008F1873" w:rsidP="008F1873">
      <w:pPr>
        <w:tabs>
          <w:tab w:val="left" w:pos="3119"/>
        </w:tabs>
        <w:spacing w:before="120" w:after="120"/>
        <w:ind w:left="3402" w:right="1134" w:hanging="1134"/>
        <w:rPr>
          <w:lang w:eastAsia="ja-JP"/>
        </w:rPr>
      </w:pPr>
      <w:proofErr w:type="spellStart"/>
      <w:r w:rsidRPr="002836AE">
        <w:rPr>
          <w:lang w:eastAsia="ja-JP"/>
        </w:rPr>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14:paraId="67137E4C"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71E1252A" w14:textId="77777777" w:rsidR="008F1873" w:rsidRPr="002836AE" w:rsidRDefault="008F1873" w:rsidP="008F1873">
      <w:pPr>
        <w:tabs>
          <w:tab w:val="left" w:pos="3119"/>
        </w:tabs>
        <w:spacing w:before="120" w:after="120"/>
        <w:ind w:left="3402" w:right="1134" w:hanging="1134"/>
        <w:rPr>
          <w:lang w:val="en-US"/>
        </w:rPr>
      </w:pPr>
      <w:r w:rsidRPr="002836AE">
        <w:rPr>
          <w:lang w:eastAsia="ja-JP"/>
        </w:rPr>
        <w:t xml:space="preserve">H/C </w:t>
      </w:r>
      <w:r w:rsidRPr="002836AE">
        <w:rPr>
          <w:lang w:eastAsia="ja-JP"/>
        </w:rPr>
        <w:tab/>
        <w:t>=</w:t>
      </w:r>
      <w:r w:rsidRPr="002836AE">
        <w:rPr>
          <w:lang w:eastAsia="ja-JP"/>
        </w:rPr>
        <w:tab/>
        <w:t>hydrogen to carbon ratio,</w:t>
      </w:r>
    </w:p>
    <w:p w14:paraId="655BAA40" w14:textId="77777777" w:rsidR="008F1873" w:rsidRPr="002836AE" w:rsidRDefault="008F1873" w:rsidP="008F1873">
      <w:pPr>
        <w:tabs>
          <w:tab w:val="left" w:pos="3119"/>
        </w:tabs>
        <w:spacing w:before="120" w:after="120"/>
        <w:ind w:left="3402" w:right="1134" w:hanging="1134"/>
        <w:rPr>
          <w:lang w:eastAsia="ja-JP"/>
        </w:rPr>
      </w:pPr>
      <w:r w:rsidRPr="002836AE">
        <w:rPr>
          <w:lang w:val="en-US"/>
        </w:rPr>
        <w:t>H/C</w:t>
      </w:r>
      <w:r w:rsidRPr="002836AE">
        <w:rPr>
          <w:lang w:val="en-US"/>
        </w:rPr>
        <w:tab/>
        <w:t>=</w:t>
      </w:r>
      <w:r w:rsidRPr="002836AE">
        <w:rPr>
          <w:lang w:val="en-US"/>
        </w:rPr>
        <w:tab/>
        <w:t>is taken to be 2.33 for diurnal test losses</w:t>
      </w:r>
      <w:r w:rsidRPr="002836AE">
        <w:rPr>
          <w:lang w:eastAsia="ja-JP"/>
        </w:rPr>
        <w:t>;</w:t>
      </w:r>
      <w:r w:rsidRPr="002836AE">
        <w:t xml:space="preserve"> </w:t>
      </w:r>
    </w:p>
    <w:p w14:paraId="089F4BF8"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H/C</w:t>
      </w:r>
      <w:r w:rsidRPr="002836AE">
        <w:rPr>
          <w:lang w:eastAsia="ja-JP"/>
        </w:rPr>
        <w:tab/>
        <w:t>=</w:t>
      </w:r>
      <w:r w:rsidRPr="002836AE">
        <w:rPr>
          <w:lang w:eastAsia="ja-JP"/>
        </w:rPr>
        <w:tab/>
        <w:t>is taken to be 2.20 for hot soak losses;</w:t>
      </w:r>
    </w:p>
    <w:p w14:paraId="62322017" w14:textId="77777777" w:rsidR="008F1873" w:rsidRPr="002836AE" w:rsidRDefault="008F1873" w:rsidP="008F1873">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1.2 × 10</w:t>
      </w:r>
      <w:r w:rsidRPr="002836AE">
        <w:rPr>
          <w:vertAlign w:val="superscript"/>
          <w:lang w:eastAsia="ja-JP"/>
        </w:rPr>
        <w:t>-4</w:t>
      </w:r>
      <w:r w:rsidRPr="002836AE">
        <w:rPr>
          <w:lang w:eastAsia="ja-JP"/>
        </w:rPr>
        <w:t xml:space="preserve"> × (12 + H/C), in (g × K</w:t>
      </w:r>
      <w:proofErr w:type="gramStart"/>
      <w:r w:rsidRPr="002836AE">
        <w:rPr>
          <w:lang w:eastAsia="ja-JP"/>
        </w:rPr>
        <w:t>/(</w:t>
      </w:r>
      <w:proofErr w:type="gramEnd"/>
      <w:r w:rsidRPr="002836AE">
        <w:rPr>
          <w:lang w:eastAsia="ja-JP"/>
        </w:rPr>
        <w:t>m³ × kPa));</w:t>
      </w:r>
      <w:r w:rsidRPr="002836AE">
        <w:t>"</w:t>
      </w:r>
    </w:p>
    <w:p w14:paraId="3805F8A2" w14:textId="735B0044" w:rsidR="008F1873" w:rsidRPr="002836AE" w:rsidRDefault="008F1873" w:rsidP="008F1873">
      <w:pPr>
        <w:pStyle w:val="para"/>
        <w:spacing w:line="240" w:lineRule="auto"/>
        <w:ind w:left="1134" w:firstLine="0"/>
        <w:jc w:val="left"/>
        <w:rPr>
          <w:lang w:val="en-US"/>
        </w:rPr>
      </w:pPr>
      <w:r w:rsidRPr="002836AE">
        <w:rPr>
          <w:i/>
          <w:lang w:val="en-US"/>
        </w:rPr>
        <w:t xml:space="preserve">Appendix 1, paragraph 2.4., </w:t>
      </w:r>
      <w:r w:rsidRPr="002836AE">
        <w:rPr>
          <w:iCs/>
          <w:lang w:val="en-US"/>
        </w:rPr>
        <w:t xml:space="preserve">amend </w:t>
      </w:r>
      <w:r w:rsidRPr="002836AE">
        <w:rPr>
          <w:lang w:val="en-US"/>
        </w:rPr>
        <w:t>to read:</w:t>
      </w:r>
    </w:p>
    <w:p w14:paraId="5820365E" w14:textId="77777777" w:rsidR="008F1873" w:rsidRPr="002836AE" w:rsidRDefault="008F1873" w:rsidP="008F1873">
      <w:pPr>
        <w:pStyle w:val="para"/>
        <w:spacing w:line="240" w:lineRule="auto"/>
        <w:rPr>
          <w:lang w:val="en-US"/>
        </w:rPr>
      </w:pPr>
      <w:r w:rsidRPr="002836AE">
        <w:rPr>
          <w:lang w:val="en-US"/>
        </w:rPr>
        <w:t xml:space="preserve">"2.4. </w:t>
      </w:r>
      <w:r w:rsidRPr="002836AE">
        <w:rPr>
          <w:lang w:val="en-US"/>
        </w:rPr>
        <w:tab/>
        <w:t>Calculations of evaporative test results</w:t>
      </w:r>
    </w:p>
    <w:p w14:paraId="66D293FB" w14:textId="77777777" w:rsidR="008F1873" w:rsidRPr="002836AE" w:rsidRDefault="008F1873" w:rsidP="008F1873">
      <w:pPr>
        <w:pStyle w:val="para"/>
        <w:spacing w:line="240" w:lineRule="auto"/>
        <w:rPr>
          <w:lang w:val="en-US"/>
        </w:rPr>
      </w:pPr>
      <w:r w:rsidRPr="002836AE">
        <w:rPr>
          <w:lang w:val="en-US"/>
        </w:rPr>
        <w:t>2.4.1.</w:t>
      </w:r>
      <w:r w:rsidRPr="002836AE">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3783EA3D" w14:textId="77777777" w:rsidR="008F1873" w:rsidRPr="002836AE" w:rsidRDefault="008F1873" w:rsidP="008F1873">
      <w:pPr>
        <w:pStyle w:val="para"/>
        <w:spacing w:line="240" w:lineRule="auto"/>
      </w:pPr>
      <w:r w:rsidRPr="002836AE">
        <w:rPr>
          <w:lang w:val="en-US"/>
        </w:rP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14:paraId="5ABDE8C5" w14:textId="77777777" w:rsidR="008F1873" w:rsidRPr="002836AE" w:rsidRDefault="008F1873" w:rsidP="008F1873">
      <w:pPr>
        <w:pStyle w:val="para"/>
        <w:spacing w:line="240" w:lineRule="auto"/>
        <w:ind w:firstLine="0"/>
        <w:rPr>
          <w:lang w:val="en-US"/>
        </w:rPr>
      </w:pPr>
      <w:r w:rsidRPr="002836AE">
        <w:tab/>
      </w:r>
      <w:r>
        <w:rPr>
          <w:lang w:val="en-US"/>
        </w:rPr>
        <w:t>W</w:t>
      </w:r>
      <w:r w:rsidRPr="002836AE">
        <w:rPr>
          <w:lang w:val="en-US"/>
        </w:rPr>
        <w:t>here:</w:t>
      </w:r>
    </w:p>
    <w:p w14:paraId="4297B9C3" w14:textId="77777777" w:rsidR="008F1873" w:rsidRPr="002836AE" w:rsidRDefault="008F1873" w:rsidP="008F1873">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51BE52C4"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M</w:t>
      </w:r>
      <w:r w:rsidRPr="002836AE">
        <w:rPr>
          <w:vertAlign w:val="subscript"/>
          <w:lang w:val="en-US"/>
        </w:rPr>
        <w:t>HC</w:t>
      </w:r>
      <w:proofErr w:type="gramStart"/>
      <w:r w:rsidRPr="002836AE">
        <w:rPr>
          <w:vertAlign w:val="subscript"/>
          <w:lang w:val="en-US"/>
        </w:rPr>
        <w:t>,out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0D7A1CBF"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M</w:t>
      </w:r>
      <w:r w:rsidRPr="002836AE">
        <w:rPr>
          <w:vertAlign w:val="subscript"/>
          <w:lang w:val="en-US"/>
        </w:rPr>
        <w:t>HC</w:t>
      </w:r>
      <w:proofErr w:type="gramStart"/>
      <w:r w:rsidRPr="002836AE">
        <w:rPr>
          <w:vertAlign w:val="subscript"/>
          <w:lang w:val="en-US"/>
        </w:rPr>
        <w:t>,i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when a fixed volume enclosure is used for diurnal emissions (grams),</w:t>
      </w:r>
    </w:p>
    <w:p w14:paraId="20AD8250" w14:textId="77777777" w:rsidR="008F1873" w:rsidRPr="002836AE" w:rsidRDefault="008F1873" w:rsidP="008F1873">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concentration in the enclosure (ppm carbon (</w:t>
      </w:r>
      <w:proofErr w:type="gramStart"/>
      <w:r w:rsidRPr="002836AE">
        <w:rPr>
          <w:lang w:val="en-US"/>
        </w:rPr>
        <w:t>Note :</w:t>
      </w:r>
      <w:proofErr w:type="gramEnd"/>
      <w:r w:rsidRPr="002836AE">
        <w:rPr>
          <w:lang w:val="en-US"/>
        </w:rPr>
        <w:t xml:space="preserve"> ppm carbon = ppm propane x 3)),</w:t>
      </w:r>
    </w:p>
    <w:p w14:paraId="3B6CF002"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enclosure volume in cubic </w:t>
      </w:r>
      <w:proofErr w:type="spellStart"/>
      <w:r w:rsidRPr="002836AE">
        <w:rPr>
          <w:lang w:val="en-US"/>
        </w:rPr>
        <w:t>metres</w:t>
      </w:r>
      <w:proofErr w:type="spellEnd"/>
      <w:r w:rsidRPr="002836AE">
        <w:rPr>
          <w:lang w:val="en-US"/>
        </w:rPr>
        <w:t>,</w:t>
      </w:r>
    </w:p>
    <w:p w14:paraId="5D40585D"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temperature in the enclosure, (K),</w:t>
      </w:r>
    </w:p>
    <w:p w14:paraId="088AC73F" w14:textId="77777777" w:rsidR="008F1873" w:rsidRPr="002836AE" w:rsidRDefault="008F1873" w:rsidP="008F1873">
      <w:pPr>
        <w:pStyle w:val="para"/>
        <w:tabs>
          <w:tab w:val="left" w:pos="3119"/>
        </w:tabs>
        <w:spacing w:line="240" w:lineRule="auto"/>
        <w:ind w:left="3402"/>
        <w:rPr>
          <w:lang w:val="en-US"/>
        </w:rPr>
      </w:pPr>
      <w:r w:rsidRPr="002836AE">
        <w:rPr>
          <w:lang w:val="en-US"/>
        </w:rPr>
        <w:lastRenderedPageBreak/>
        <w:t xml:space="preserve">P </w:t>
      </w:r>
      <w:r w:rsidRPr="002836AE">
        <w:rPr>
          <w:lang w:val="en-US"/>
        </w:rPr>
        <w:tab/>
        <w:t xml:space="preserve">= </w:t>
      </w:r>
      <w:r w:rsidRPr="002836AE">
        <w:rPr>
          <w:lang w:val="en-US"/>
        </w:rPr>
        <w:tab/>
        <w:t>barometric pressure, (kPa),</w:t>
      </w:r>
    </w:p>
    <w:p w14:paraId="4F0A7F19"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17.6</w:t>
      </w:r>
    </w:p>
    <w:p w14:paraId="60BAB94C" w14:textId="77777777" w:rsidR="008F1873" w:rsidRPr="002836AE" w:rsidRDefault="008F1873" w:rsidP="008F1873">
      <w:pPr>
        <w:pStyle w:val="para"/>
        <w:tabs>
          <w:tab w:val="left" w:pos="3119"/>
        </w:tabs>
        <w:spacing w:line="240" w:lineRule="auto"/>
        <w:ind w:left="3402"/>
        <w:rPr>
          <w:lang w:val="en-US"/>
        </w:rPr>
      </w:pPr>
      <w:r>
        <w:rPr>
          <w:lang w:val="en-US"/>
        </w:rPr>
        <w:t>W</w:t>
      </w:r>
      <w:r w:rsidRPr="002836AE">
        <w:rPr>
          <w:lang w:val="en-US"/>
        </w:rPr>
        <w:t>here:</w:t>
      </w:r>
    </w:p>
    <w:p w14:paraId="766382EE" w14:textId="77777777" w:rsidR="008F1873" w:rsidRPr="002836AE" w:rsidRDefault="008F1873" w:rsidP="008F1873">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14:paraId="62A2DAFF" w14:textId="77777777" w:rsidR="008F1873" w:rsidRPr="002836AE" w:rsidRDefault="008F1873" w:rsidP="008F1873">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1CB85044" w14:textId="77777777" w:rsidR="008F1873" w:rsidRPr="002836AE" w:rsidRDefault="008F1873" w:rsidP="008F1873">
      <w:pPr>
        <w:pStyle w:val="para"/>
        <w:tabs>
          <w:tab w:val="left" w:pos="3119"/>
        </w:tabs>
        <w:spacing w:line="240" w:lineRule="auto"/>
        <w:rPr>
          <w:lang w:val="en-US" w:eastAsia="ja-JP"/>
        </w:rPr>
      </w:pPr>
      <w:r w:rsidRPr="002836AE">
        <w:rPr>
          <w:lang w:val="en-US" w:eastAsia="ja-JP"/>
        </w:rPr>
        <w:t>2.4.2.</w:t>
      </w:r>
      <w:r w:rsidRPr="002836AE">
        <w:rPr>
          <w:lang w:val="en-US" w:eastAsia="ja-JP"/>
        </w:rPr>
        <w:tab/>
        <w:t>As an alternative to the equation in paragraph 2.4.1. of this Annex, for variable volume enclosures the following equation may be used at the choice of the manufacturer:</w:t>
      </w:r>
    </w:p>
    <w:p w14:paraId="65EBFC32" w14:textId="77777777" w:rsidR="008F1873" w:rsidRPr="002836AE" w:rsidRDefault="008F1873" w:rsidP="008F1873">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2936EC8C" w14:textId="77777777" w:rsidR="008F1873" w:rsidRPr="002836AE" w:rsidRDefault="008F1873" w:rsidP="008F1873">
      <w:pPr>
        <w:spacing w:before="120" w:after="120"/>
        <w:ind w:left="2268" w:right="1134"/>
        <w:jc w:val="both"/>
        <w:rPr>
          <w:lang w:eastAsia="ja-JP"/>
        </w:rPr>
      </w:pPr>
      <w:r>
        <w:rPr>
          <w:lang w:eastAsia="ja-JP"/>
        </w:rPr>
        <w:t>W</w:t>
      </w:r>
      <w:r w:rsidRPr="002836AE">
        <w:rPr>
          <w:lang w:eastAsia="ja-JP"/>
        </w:rPr>
        <w:t>here:</w:t>
      </w:r>
    </w:p>
    <w:p w14:paraId="3B1D7D4B"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755C7631"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772F2EBB"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w:t>
      </w:r>
    </w:p>
    <w:p w14:paraId="6820C2BA" w14:textId="77777777" w:rsidR="008F1873" w:rsidRPr="002836AE" w:rsidRDefault="008F1873" w:rsidP="008F1873">
      <w:pPr>
        <w:tabs>
          <w:tab w:val="left" w:pos="3119"/>
        </w:tabs>
        <w:spacing w:before="120" w:after="120"/>
        <w:ind w:left="3402" w:right="1134" w:hanging="1134"/>
        <w:rPr>
          <w:lang w:eastAsia="ja-JP"/>
        </w:rPr>
      </w:pPr>
      <w:proofErr w:type="spellStart"/>
      <w:r w:rsidRPr="002836AE">
        <w:rPr>
          <w:lang w:eastAsia="ja-JP"/>
        </w:rPr>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14:paraId="4BDB5115" w14:textId="77777777" w:rsidR="008F1873" w:rsidRPr="002836AE" w:rsidRDefault="008F1873" w:rsidP="008F1873">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37C2619B" w14:textId="77777777" w:rsidR="008F1873" w:rsidRPr="002836AE" w:rsidRDefault="008F1873" w:rsidP="008F1873">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17.6</w:t>
      </w:r>
      <w:r w:rsidRPr="002836AE">
        <w:t>"</w:t>
      </w:r>
    </w:p>
    <w:p w14:paraId="21551250" w14:textId="77777777" w:rsidR="003E3C9B" w:rsidRDefault="008F1873" w:rsidP="008F1873">
      <w:pPr>
        <w:pStyle w:val="SingleTxtG"/>
        <w:rPr>
          <w:i/>
        </w:rPr>
      </w:pPr>
      <w:r w:rsidRPr="00755C63">
        <w:rPr>
          <w:i/>
        </w:rPr>
        <w:t xml:space="preserve">Annex 10a </w:t>
      </w:r>
    </w:p>
    <w:p w14:paraId="37273C05" w14:textId="05261735" w:rsidR="008F1873" w:rsidRPr="00755C63" w:rsidRDefault="008F1873" w:rsidP="008F1873">
      <w:pPr>
        <w:pStyle w:val="SingleTxtG"/>
        <w:rPr>
          <w:i/>
        </w:rPr>
      </w:pPr>
      <w:r w:rsidRPr="00755C63">
        <w:rPr>
          <w:i/>
        </w:rPr>
        <w:t xml:space="preserve">Paragraph 1.3. Footnote 3, </w:t>
      </w:r>
      <w:r w:rsidRPr="00BE3130">
        <w:rPr>
          <w:iCs/>
        </w:rPr>
        <w:t>amend to read:</w:t>
      </w:r>
    </w:p>
    <w:p w14:paraId="773654F2" w14:textId="77777777" w:rsidR="008F1873" w:rsidRDefault="008F1873" w:rsidP="008F1873">
      <w:pPr>
        <w:pStyle w:val="SingleTxtG"/>
        <w:ind w:left="2268"/>
      </w:pPr>
      <w:r w:rsidRPr="00E80719">
        <w:t>"</w:t>
      </w:r>
      <w:r w:rsidRPr="00381920">
        <w:rPr>
          <w:vertAlign w:val="superscript"/>
        </w:rPr>
        <w:t>3</w:t>
      </w:r>
      <w:r w:rsidRPr="00381920">
        <w:tab/>
        <w:t xml:space="preserve">The hydrogen shall not contain dust, sand, dirt, gums, oils, or other substances in an amount sufficient to damage the fuelling station equipment </w:t>
      </w:r>
      <w:r w:rsidRPr="00755C63">
        <w:rPr>
          <w:b/>
        </w:rPr>
        <w:t>or</w:t>
      </w:r>
      <w:r>
        <w:t xml:space="preserve"> </w:t>
      </w:r>
      <w:r w:rsidRPr="00381920">
        <w:t>the vehicle (engine) being fuelled.</w:t>
      </w:r>
      <w:r w:rsidRPr="00E80719">
        <w:t>"</w:t>
      </w:r>
    </w:p>
    <w:p w14:paraId="0A19FA96" w14:textId="1404D9ED" w:rsidR="003E3C9B" w:rsidRDefault="008F1873" w:rsidP="008F1873">
      <w:pPr>
        <w:pStyle w:val="SingleTxtG"/>
        <w:rPr>
          <w:i/>
        </w:rPr>
      </w:pPr>
      <w:r w:rsidRPr="002836AE">
        <w:rPr>
          <w:i/>
        </w:rPr>
        <w:t>Annex 1</w:t>
      </w:r>
      <w:r w:rsidR="003E3C9B">
        <w:rPr>
          <w:i/>
        </w:rPr>
        <w:t>1</w:t>
      </w:r>
    </w:p>
    <w:p w14:paraId="7A65AC8A" w14:textId="588361AD" w:rsidR="008F1873" w:rsidRPr="002836AE" w:rsidRDefault="008F1873" w:rsidP="008F1873">
      <w:pPr>
        <w:pStyle w:val="SingleTxtG"/>
      </w:pPr>
      <w:r w:rsidRPr="002836AE">
        <w:rPr>
          <w:i/>
        </w:rPr>
        <w:t>Paragraph 2.2., amend to read:</w:t>
      </w:r>
      <w:r w:rsidRPr="002836AE">
        <w:tab/>
      </w:r>
    </w:p>
    <w:p w14:paraId="2999283D" w14:textId="77777777" w:rsidR="008F1873" w:rsidRPr="002836AE" w:rsidRDefault="008F1873" w:rsidP="008F1873">
      <w:pPr>
        <w:pStyle w:val="SingleTxtG"/>
        <w:ind w:left="2268" w:hanging="1122"/>
      </w:pPr>
      <w:r w:rsidRPr="002836AE">
        <w:t>"2.2.</w:t>
      </w:r>
      <w:r w:rsidRPr="002836AE">
        <w:tab/>
      </w:r>
      <w:r w:rsidRPr="002836AE">
        <w:tab/>
        <w:t>"</w:t>
      </w:r>
      <w:r w:rsidRPr="00EA095B">
        <w:rPr>
          <w:i/>
          <w:iCs/>
        </w:rPr>
        <w:t>Vehicle type</w:t>
      </w:r>
      <w:r w:rsidRPr="002836AE">
        <w:t>" means a category of power-driven vehicles which do not differ in essential engine and OBD system characteristics."</w:t>
      </w:r>
    </w:p>
    <w:p w14:paraId="73A97A9B" w14:textId="192917D1" w:rsidR="008F1873" w:rsidRDefault="008F1873" w:rsidP="008F1873">
      <w:pPr>
        <w:pStyle w:val="SingleTxtG"/>
        <w:rPr>
          <w:i/>
        </w:rPr>
      </w:pPr>
      <w:r>
        <w:rPr>
          <w:i/>
        </w:rPr>
        <w:t>Appendix 1, Paragraph</w:t>
      </w:r>
      <w:r w:rsidRPr="00755C63">
        <w:rPr>
          <w:i/>
        </w:rPr>
        <w:t xml:space="preserve"> </w:t>
      </w:r>
      <w:r>
        <w:rPr>
          <w:i/>
        </w:rPr>
        <w:t>6.5.3.4.</w:t>
      </w:r>
      <w:r w:rsidRPr="00755C63">
        <w:rPr>
          <w:i/>
        </w:rPr>
        <w:t xml:space="preserve">, </w:t>
      </w:r>
      <w:r w:rsidRPr="00BE3130">
        <w:rPr>
          <w:iCs/>
        </w:rPr>
        <w:t>amend to read:</w:t>
      </w:r>
    </w:p>
    <w:p w14:paraId="47D19354" w14:textId="77777777" w:rsidR="008F1873" w:rsidRDefault="008F1873" w:rsidP="008F1873">
      <w:pPr>
        <w:pStyle w:val="SingleTxtG"/>
        <w:ind w:left="2259" w:hanging="1125"/>
      </w:pPr>
      <w:r w:rsidRPr="00E80719">
        <w:t>"</w:t>
      </w:r>
      <w:r>
        <w:t xml:space="preserve">6.5.3.4. </w:t>
      </w:r>
      <w:r>
        <w:tab/>
        <w:t xml:space="preserve">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4E0DE3A4" w14:textId="77777777" w:rsidR="008F1873" w:rsidRDefault="008F1873" w:rsidP="008F1873">
      <w:pPr>
        <w:pStyle w:val="SingleTxtG"/>
        <w:ind w:left="2259" w:firstLine="9"/>
      </w:pPr>
      <w:r>
        <w:t xml:space="preserve">The vehicle manufacturer shall provide to a national standardisation body the details of any emission-related diagnostic data, e.g. PID’s, OBD monitor Id’s, Test ID’s not specified in the standard listed in paragraph 6.5.3.2.(a) of this </w:t>
      </w:r>
      <w:r w:rsidRPr="00EA095B">
        <w:rPr>
          <w:bCs/>
        </w:rPr>
        <w:t xml:space="preserve">appendix </w:t>
      </w:r>
      <w:r>
        <w:t>but related to this Regulation.</w:t>
      </w:r>
      <w:r w:rsidRPr="00E80719">
        <w:t>"</w:t>
      </w:r>
    </w:p>
    <w:p w14:paraId="05E2FA86" w14:textId="4346FEE4" w:rsidR="008F1873" w:rsidRDefault="008F1873" w:rsidP="008F1873">
      <w:pPr>
        <w:pStyle w:val="SingleTxtG"/>
        <w:rPr>
          <w:i/>
        </w:rPr>
      </w:pPr>
      <w:r>
        <w:rPr>
          <w:i/>
        </w:rPr>
        <w:t>Appendix 1, Paragraph</w:t>
      </w:r>
      <w:r w:rsidRPr="00755C63">
        <w:rPr>
          <w:i/>
        </w:rPr>
        <w:t xml:space="preserve"> </w:t>
      </w:r>
      <w:r>
        <w:rPr>
          <w:i/>
        </w:rPr>
        <w:t>6.5.3.6.</w:t>
      </w:r>
      <w:r w:rsidRPr="00755C63">
        <w:rPr>
          <w:i/>
        </w:rPr>
        <w:t xml:space="preserve">, </w:t>
      </w:r>
      <w:r w:rsidRPr="00BE3130">
        <w:rPr>
          <w:iCs/>
        </w:rPr>
        <w:t>amend to read:</w:t>
      </w:r>
    </w:p>
    <w:p w14:paraId="5226E78E" w14:textId="6FB1A864" w:rsidR="00D778E7" w:rsidRDefault="008F1873" w:rsidP="003E3C9B">
      <w:pPr>
        <w:pStyle w:val="SingleTxtG"/>
        <w:ind w:left="2259" w:hanging="1125"/>
        <w:rPr>
          <w:lang w:val="en-US"/>
        </w:rPr>
      </w:pPr>
      <w:r w:rsidRPr="00E80719">
        <w:t>"</w:t>
      </w:r>
      <w:r w:rsidRPr="006C148C">
        <w:t xml:space="preserve">6.5.3.6. </w:t>
      </w:r>
      <w:r w:rsidRPr="006C148C">
        <w:tab/>
        <w:t xml:space="preserve">The connection interface between the vehicle and the diagnostic tester shall be standardised and shall meet all the requirements of </w:t>
      </w:r>
      <w:r w:rsidRPr="006C148C">
        <w:rPr>
          <w:bCs/>
        </w:rPr>
        <w:t>the standard listed in paragraph 6.5.3.2.(c) of this appendix</w:t>
      </w:r>
      <w:r w:rsidRPr="006C148C">
        <w:t xml:space="preserve">. The installation position shall be subject to agreement of the </w:t>
      </w:r>
      <w:r w:rsidRPr="00821F36">
        <w:rPr>
          <w:bCs/>
        </w:rPr>
        <w:t>Type Approval Authority such that it is readily accessible by service personnel but protected</w:t>
      </w:r>
      <w:r w:rsidRPr="006C148C">
        <w:t xml:space="preserve"> from tampering by non-qualified personnel.</w:t>
      </w:r>
      <w:r w:rsidRPr="00E80719">
        <w:t>"</w:t>
      </w:r>
    </w:p>
    <w:p w14:paraId="337B82AA" w14:textId="765FBEC8" w:rsidR="00E8553E" w:rsidRPr="001A5741" w:rsidRDefault="00E8553E" w:rsidP="00D778E7">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79F782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40903">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F9F613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40903">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5FB3" w14:textId="4D2EC81F" w:rsidR="00140903" w:rsidRDefault="00140903" w:rsidP="0014090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1466224" wp14:editId="1BD03FFF">
          <wp:simplePos x="0" y="0"/>
          <wp:positionH relativeFrom="column">
            <wp:posOffset>5402814</wp:posOffset>
          </wp:positionH>
          <wp:positionV relativeFrom="paragraph">
            <wp:posOffset>82417</wp:posOffset>
          </wp:positionV>
          <wp:extent cx="638175" cy="638175"/>
          <wp:effectExtent l="0" t="0" r="9525" b="9525"/>
          <wp:wrapNone/>
          <wp:docPr id="1" name="Picture 1" descr="https://undocs.org/m2/QRCode.ashx?DS=E/ECE/324/Rev.1/Add.82/Rev.5/Amend.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D1064DA" wp14:editId="78F9F9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434E04" w14:textId="29625B54" w:rsidR="00140903" w:rsidRDefault="00140903" w:rsidP="00140903">
    <w:pPr>
      <w:pStyle w:val="Footer"/>
      <w:ind w:right="1134"/>
      <w:rPr>
        <w:sz w:val="20"/>
      </w:rPr>
    </w:pPr>
    <w:r>
      <w:rPr>
        <w:sz w:val="20"/>
      </w:rPr>
      <w:t>GE.20-00738(E)</w:t>
    </w:r>
  </w:p>
  <w:p w14:paraId="7E85B4B4" w14:textId="12C5E6AA" w:rsidR="00140903" w:rsidRPr="00140903" w:rsidRDefault="00140903" w:rsidP="001409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D95E9A2" w14:textId="77777777" w:rsidR="008F1873" w:rsidRPr="007F1846" w:rsidRDefault="008F1873" w:rsidP="003E3C9B">
      <w:pPr>
        <w:pStyle w:val="FootnoteText"/>
      </w:pPr>
      <w:r>
        <w:tab/>
      </w:r>
      <w:r>
        <w:rPr>
          <w:rStyle w:val="FootnoteReference"/>
        </w:rPr>
        <w:footnoteRef/>
      </w:r>
      <w:r>
        <w:tab/>
        <w:t xml:space="preserve">This communication shall be done via the “343-app” that is available at: https://apps.unece.org/WP29_application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19B270A" w:rsidR="00B701B3" w:rsidRDefault="00B701B3">
    <w:pPr>
      <w:pStyle w:val="Header"/>
    </w:pPr>
    <w:r w:rsidRPr="00D623A7">
      <w:t>E/ECE/324</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8F1873">
      <w:t>9</w:t>
    </w:r>
    <w:r>
      <w:br/>
    </w:r>
    <w:r w:rsidRPr="00D623A7">
      <w:t>E/ECE/TRANS/505</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8F1873">
      <w:t>9</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C3DC1DE" w:rsidR="00B701B3" w:rsidRPr="00EA0991" w:rsidRDefault="00B701B3" w:rsidP="00776D12">
    <w:pPr>
      <w:pStyle w:val="Header"/>
      <w:jc w:val="right"/>
    </w:pPr>
    <w:r w:rsidRPr="00EA0991">
      <w:t>E/ECE/324/</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8F1873">
      <w:t>9</w:t>
    </w:r>
    <w:r w:rsidRPr="00EA0991">
      <w:br/>
      <w:t>E/ECE/TRANS/505/</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8F1873">
      <w:t>9</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40903"/>
    <w:rsid w:val="00165E82"/>
    <w:rsid w:val="0016678B"/>
    <w:rsid w:val="001A66A2"/>
    <w:rsid w:val="001B4B04"/>
    <w:rsid w:val="001C6663"/>
    <w:rsid w:val="001C7895"/>
    <w:rsid w:val="001D26DF"/>
    <w:rsid w:val="00211E0B"/>
    <w:rsid w:val="002405A7"/>
    <w:rsid w:val="00271A7F"/>
    <w:rsid w:val="00274468"/>
    <w:rsid w:val="002930ED"/>
    <w:rsid w:val="002A1E3A"/>
    <w:rsid w:val="002C540F"/>
    <w:rsid w:val="002E2EA2"/>
    <w:rsid w:val="003107FA"/>
    <w:rsid w:val="00312E48"/>
    <w:rsid w:val="003229D8"/>
    <w:rsid w:val="003354B3"/>
    <w:rsid w:val="0033745A"/>
    <w:rsid w:val="003852F5"/>
    <w:rsid w:val="0039277A"/>
    <w:rsid w:val="003972E0"/>
    <w:rsid w:val="003A61A3"/>
    <w:rsid w:val="003B7F10"/>
    <w:rsid w:val="003C2CC4"/>
    <w:rsid w:val="003C3936"/>
    <w:rsid w:val="003D4B23"/>
    <w:rsid w:val="003E3C9B"/>
    <w:rsid w:val="003F1ED3"/>
    <w:rsid w:val="004325CB"/>
    <w:rsid w:val="0043300D"/>
    <w:rsid w:val="00440758"/>
    <w:rsid w:val="00442E3F"/>
    <w:rsid w:val="00445C26"/>
    <w:rsid w:val="00446DE4"/>
    <w:rsid w:val="004A29CA"/>
    <w:rsid w:val="004A41CA"/>
    <w:rsid w:val="004E3FEB"/>
    <w:rsid w:val="00503228"/>
    <w:rsid w:val="00505384"/>
    <w:rsid w:val="005211B3"/>
    <w:rsid w:val="005420F2"/>
    <w:rsid w:val="0054561B"/>
    <w:rsid w:val="00561C9B"/>
    <w:rsid w:val="005716FF"/>
    <w:rsid w:val="00582B38"/>
    <w:rsid w:val="005A412C"/>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27478"/>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778E7"/>
    <w:rsid w:val="00D8522B"/>
    <w:rsid w:val="00D976D0"/>
    <w:rsid w:val="00D978C6"/>
    <w:rsid w:val="00DA67AD"/>
    <w:rsid w:val="00DB5D0F"/>
    <w:rsid w:val="00DC3F07"/>
    <w:rsid w:val="00DE30C0"/>
    <w:rsid w:val="00DE5600"/>
    <w:rsid w:val="00DE5D62"/>
    <w:rsid w:val="00DF12F7"/>
    <w:rsid w:val="00DF3A2D"/>
    <w:rsid w:val="00E02C81"/>
    <w:rsid w:val="00E130AB"/>
    <w:rsid w:val="00E30898"/>
    <w:rsid w:val="00E506F0"/>
    <w:rsid w:val="00E53330"/>
    <w:rsid w:val="00E7260F"/>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BFA10-BC34-46C7-9E14-DBA64C8F2D02}"/>
</file>

<file path=customXml/itemProps2.xml><?xml version="1.0" encoding="utf-8"?>
<ds:datastoreItem xmlns:ds="http://schemas.openxmlformats.org/officeDocument/2006/customXml" ds:itemID="{64E50135-E5F5-45B3-9299-5D50912D0A12}"/>
</file>

<file path=customXml/itemProps3.xml><?xml version="1.0" encoding="utf-8"?>
<ds:datastoreItem xmlns:ds="http://schemas.openxmlformats.org/officeDocument/2006/customXml" ds:itemID="{FDE01939-6E53-478A-92F8-FF4A9B2554DC}"/>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10828</Characters>
  <Application>Microsoft Office Word</Application>
  <DocSecurity>0</DocSecurity>
  <Lines>250</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E/ECE/324/Rev.1/Add.82/Rev.5/Amend.9</dc:title>
  <dc:subject>2000738</dc:subject>
  <dc:creator>Caillot</dc:creator>
  <cp:keywords/>
  <dc:description/>
  <cp:lastModifiedBy>Generic Pdf eng</cp:lastModifiedBy>
  <cp:revision>2</cp:revision>
  <cp:lastPrinted>2015-05-06T11:39:00Z</cp:lastPrinted>
  <dcterms:created xsi:type="dcterms:W3CDTF">2020-01-20T09:14:00Z</dcterms:created>
  <dcterms:modified xsi:type="dcterms:W3CDTF">2020-01-20T09:14:00Z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552400</vt:r8>
  </property>
  <property fmtid="{D5CDD505-2E9C-101B-9397-08002B2CF9AE}" pid="3" name="ContentTypeId">
    <vt:lpwstr>0x0101003B8422D08C252547BB1CFA7F78E2CB83</vt:lpwstr>
  </property>
</Properties>
</file>