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F76425" w:rsidRPr="0087257F" w:rsidTr="00F76425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F76425" w:rsidRPr="00F76425" w:rsidRDefault="00F76425" w:rsidP="00F76425">
            <w:pPr>
              <w:jc w:val="right"/>
              <w:rPr>
                <w:lang w:val="en-US"/>
              </w:rPr>
            </w:pPr>
            <w:r w:rsidRPr="00F76425">
              <w:rPr>
                <w:sz w:val="40"/>
                <w:lang w:val="en-US"/>
              </w:rPr>
              <w:t>E</w:t>
            </w:r>
            <w:r w:rsidRPr="00F76425">
              <w:rPr>
                <w:lang w:val="en-US"/>
              </w:rPr>
              <w:t>/ECE/324/Rev.1/Add.82/Rev.5/Amend.8</w:t>
            </w:r>
            <w:r w:rsidRPr="00F76425">
              <w:rPr>
                <w:rFonts w:cs="Times New Roman"/>
                <w:lang w:val="en-US"/>
              </w:rPr>
              <w:t>−</w:t>
            </w:r>
            <w:r w:rsidRPr="00F76425">
              <w:rPr>
                <w:sz w:val="40"/>
                <w:lang w:val="en-US"/>
              </w:rPr>
              <w:t>E</w:t>
            </w:r>
            <w:r w:rsidRPr="00F76425">
              <w:rPr>
                <w:lang w:val="en-US"/>
              </w:rPr>
              <w:t>/ECE/TRANS/505/Rev.1/Add.82/Rev.5/Amend.8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2439E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2439E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605CEF">
            <w:pPr>
              <w:spacing w:before="120"/>
              <w:rPr>
                <w:lang w:val="en-US"/>
              </w:rPr>
            </w:pPr>
          </w:p>
          <w:p w:rsidR="00605CEF" w:rsidRDefault="00605CEF" w:rsidP="00605CEF">
            <w:pPr>
              <w:spacing w:before="120"/>
              <w:rPr>
                <w:lang w:val="en-US"/>
              </w:rPr>
            </w:pPr>
          </w:p>
          <w:p w:rsidR="00F76425" w:rsidRDefault="00F76425" w:rsidP="00F764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June 2019</w:t>
            </w:r>
          </w:p>
          <w:p w:rsidR="00F76425" w:rsidRPr="008D53B6" w:rsidRDefault="00F76425" w:rsidP="00F76425">
            <w:pPr>
              <w:spacing w:line="240" w:lineRule="exact"/>
              <w:rPr>
                <w:lang w:val="en-US"/>
              </w:rPr>
            </w:pPr>
          </w:p>
        </w:tc>
      </w:tr>
    </w:tbl>
    <w:p w:rsidR="00962B36" w:rsidRPr="006E544A" w:rsidRDefault="00962B36" w:rsidP="00FE2E9E">
      <w:pPr>
        <w:pStyle w:val="HChGR"/>
        <w:spacing w:before="240"/>
      </w:pPr>
      <w:r>
        <w:tab/>
      </w:r>
      <w:r w:rsidR="00FE2E9E">
        <w:tab/>
      </w:r>
      <w:r w:rsidRPr="006E544A">
        <w:t>Соглашение</w:t>
      </w:r>
    </w:p>
    <w:p w:rsidR="00962B36" w:rsidRPr="006E544A" w:rsidRDefault="00962B36" w:rsidP="00605CEF">
      <w:pPr>
        <w:pStyle w:val="H1GR"/>
        <w:spacing w:before="80" w:after="120"/>
      </w:pPr>
      <w:r w:rsidRPr="006E544A">
        <w:tab/>
      </w:r>
      <w:r w:rsidRPr="006E544A">
        <w:tab/>
        <w:t xml:space="preserve">О принятии </w:t>
      </w:r>
      <w:r>
        <w:t>согласованных технических правил</w:t>
      </w:r>
      <w:r w:rsidRPr="006E544A">
        <w:t xml:space="preserve"> </w:t>
      </w:r>
      <w:r>
        <w:t xml:space="preserve">Организации Объединенных Наций </w:t>
      </w:r>
      <w:r w:rsidRPr="006E544A">
        <w:t xml:space="preserve">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</w:t>
      </w:r>
      <w:r>
        <w:t>правил</w:t>
      </w:r>
      <w:r w:rsidRPr="006E544A">
        <w:t xml:space="preserve"> </w:t>
      </w:r>
      <w:r>
        <w:t>Организации Объединенных Наций</w:t>
      </w:r>
      <w:r w:rsidR="00605CEF" w:rsidRPr="00605CEF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962B36" w:rsidRPr="00D66DD1" w:rsidRDefault="00962B36" w:rsidP="00FE2E9E">
      <w:pPr>
        <w:pStyle w:val="SingleTxtGR"/>
      </w:pPr>
      <w:r w:rsidRPr="006E544A">
        <w:t>(</w:t>
      </w:r>
      <w:r w:rsidRPr="00B35674">
        <w:t>Пересмотр 3, включающий поправки, вступившие в силу 14 сентября 2017 года</w:t>
      </w:r>
      <w:r w:rsidRPr="006E544A">
        <w:t>)</w:t>
      </w:r>
    </w:p>
    <w:p w:rsidR="00962B36" w:rsidRPr="00D66DD1" w:rsidRDefault="00962B36" w:rsidP="00605CEF">
      <w:pPr>
        <w:jc w:val="center"/>
        <w:rPr>
          <w:u w:val="single"/>
        </w:rPr>
      </w:pPr>
      <w:r w:rsidRPr="00D66DD1">
        <w:rPr>
          <w:u w:val="single"/>
        </w:rPr>
        <w:tab/>
      </w:r>
      <w:r w:rsidRPr="00D66DD1">
        <w:rPr>
          <w:u w:val="single"/>
        </w:rPr>
        <w:tab/>
      </w:r>
    </w:p>
    <w:p w:rsidR="00962B36" w:rsidRPr="006E544A" w:rsidRDefault="00962B36" w:rsidP="00605CEF">
      <w:pPr>
        <w:pStyle w:val="H1GR"/>
        <w:spacing w:before="240" w:after="120"/>
      </w:pPr>
      <w:r>
        <w:tab/>
      </w:r>
      <w:r>
        <w:tab/>
        <w:t xml:space="preserve">Добавление </w:t>
      </w:r>
      <w:r w:rsidRPr="00345D52">
        <w:t>82</w:t>
      </w:r>
      <w:r w:rsidR="00F2439E">
        <w:t xml:space="preserve"> – </w:t>
      </w:r>
      <w:r w:rsidRPr="006E544A">
        <w:t xml:space="preserve">Правила № </w:t>
      </w:r>
      <w:r w:rsidRPr="00345D52">
        <w:t>83</w:t>
      </w:r>
      <w:r>
        <w:t xml:space="preserve"> ООН</w:t>
      </w:r>
    </w:p>
    <w:p w:rsidR="00962B36" w:rsidRPr="00345D52" w:rsidRDefault="00962B36" w:rsidP="00605CEF">
      <w:pPr>
        <w:pStyle w:val="H1GR"/>
        <w:spacing w:before="120"/>
      </w:pPr>
      <w:r w:rsidRPr="006E544A">
        <w:tab/>
      </w:r>
      <w:r w:rsidRPr="006E544A">
        <w:tab/>
        <w:t xml:space="preserve">Пересмотр </w:t>
      </w:r>
      <w:r w:rsidRPr="00345D52">
        <w:t xml:space="preserve">5 – </w:t>
      </w:r>
      <w:r>
        <w:t>Поправка 8</w:t>
      </w:r>
    </w:p>
    <w:p w:rsidR="00962B36" w:rsidRDefault="00962B36" w:rsidP="00962B36">
      <w:pPr>
        <w:pStyle w:val="SingleTxtGR"/>
        <w:jc w:val="left"/>
      </w:pPr>
      <w:r>
        <w:t>Дополнение 8 к п</w:t>
      </w:r>
      <w:r w:rsidRPr="006E544A">
        <w:t>оправк</w:t>
      </w:r>
      <w:r>
        <w:t>ам</w:t>
      </w:r>
      <w:r w:rsidRPr="006E544A">
        <w:t xml:space="preserve"> серии 0</w:t>
      </w:r>
      <w:r>
        <w:t>7</w:t>
      </w:r>
      <w:r w:rsidRPr="006E544A">
        <w:t xml:space="preserve"> − Дата вступления в силу: </w:t>
      </w:r>
      <w:r>
        <w:t>28 мая</w:t>
      </w:r>
      <w:r w:rsidRPr="006E544A">
        <w:t xml:space="preserve"> 201</w:t>
      </w:r>
      <w:r>
        <w:t xml:space="preserve">9 </w:t>
      </w:r>
      <w:r w:rsidRPr="006E544A">
        <w:t>года</w:t>
      </w:r>
    </w:p>
    <w:p w:rsidR="00962B36" w:rsidRDefault="00962B36" w:rsidP="00605CEF">
      <w:pPr>
        <w:pStyle w:val="H1GR"/>
        <w:spacing w:before="240" w:after="120"/>
      </w:pPr>
      <w:r w:rsidRPr="006E544A">
        <w:tab/>
      </w:r>
      <w:r w:rsidRPr="006E544A">
        <w:tab/>
      </w:r>
      <w:r w:rsidRPr="008F4182">
        <w:t>Единообразные предписания, касающиеся официального утверждения транспортных средств в отношении выбросов загрязняющих веществ в зависимости от топлива, необходимого для двигателей</w:t>
      </w:r>
      <w:r w:rsidRPr="006E544A">
        <w:t xml:space="preserve"> </w:t>
      </w:r>
    </w:p>
    <w:p w:rsidR="00962B36" w:rsidRPr="008D2A42" w:rsidRDefault="00962B36" w:rsidP="00605CEF">
      <w:pPr>
        <w:pStyle w:val="SingleTxtGR"/>
        <w:spacing w:after="0"/>
        <w:rPr>
          <w:lang w:eastAsia="ru-RU"/>
        </w:rPr>
      </w:pPr>
      <w:r>
        <w:rPr>
          <w:lang w:eastAsia="en-GB"/>
        </w:rPr>
        <w:t>Настоящий</w:t>
      </w:r>
      <w:r w:rsidRPr="00E53330">
        <w:rPr>
          <w:lang w:eastAsia="en-GB"/>
        </w:rPr>
        <w:t xml:space="preserve"> документ опубликован исключительно в информационных целях. Аутентичным и юридически обязательным текстом явля</w:t>
      </w:r>
      <w:r>
        <w:rPr>
          <w:lang w:eastAsia="en-GB"/>
        </w:rPr>
        <w:t>е</w:t>
      </w:r>
      <w:r w:rsidRPr="00E53330">
        <w:rPr>
          <w:lang w:eastAsia="en-GB"/>
        </w:rPr>
        <w:t>тся документ</w:t>
      </w:r>
      <w:r>
        <w:rPr>
          <w:lang w:eastAsia="en-GB"/>
        </w:rPr>
        <w:t xml:space="preserve"> </w:t>
      </w:r>
      <w:r>
        <w:t>ECE/TRANS/</w:t>
      </w:r>
      <w:r w:rsidR="00F2439E">
        <w:t xml:space="preserve"> </w:t>
      </w:r>
      <w:r>
        <w:t xml:space="preserve">WP.29/2018/148 (с поправками, содержащимися в пункте 118 доклада </w:t>
      </w:r>
      <w:r>
        <w:rPr>
          <w:spacing w:val="-6"/>
          <w:lang w:eastAsia="en-GB"/>
        </w:rPr>
        <w:t>ECE</w:t>
      </w:r>
      <w:r w:rsidR="00844EB3">
        <w:rPr>
          <w:spacing w:val="-6"/>
          <w:lang w:eastAsia="en-GB"/>
        </w:rPr>
        <w:t>/</w:t>
      </w:r>
      <w:r>
        <w:rPr>
          <w:spacing w:val="-6"/>
          <w:lang w:eastAsia="en-GB"/>
        </w:rPr>
        <w:t>TRANS/</w:t>
      </w:r>
      <w:r w:rsidR="00F2439E">
        <w:rPr>
          <w:spacing w:val="-6"/>
          <w:lang w:eastAsia="en-GB"/>
        </w:rPr>
        <w:t xml:space="preserve"> </w:t>
      </w:r>
      <w:r>
        <w:rPr>
          <w:spacing w:val="-6"/>
          <w:lang w:eastAsia="en-GB"/>
        </w:rPr>
        <w:t>WP.29/1142)</w:t>
      </w:r>
      <w:r w:rsidRPr="00272E8A">
        <w:rPr>
          <w:spacing w:val="-6"/>
          <w:lang w:eastAsia="en-GB"/>
        </w:rPr>
        <w:t>.</w:t>
      </w:r>
    </w:p>
    <w:p w:rsidR="00962B36" w:rsidRDefault="00962B36" w:rsidP="00605CEF">
      <w:pPr>
        <w:jc w:val="center"/>
        <w:rPr>
          <w:u w:val="single"/>
        </w:rPr>
      </w:pPr>
      <w:r w:rsidRPr="008D2A42">
        <w:rPr>
          <w:u w:val="single"/>
        </w:rPr>
        <w:tab/>
      </w:r>
      <w:r w:rsidRPr="008D2A42">
        <w:rPr>
          <w:u w:val="single"/>
        </w:rPr>
        <w:tab/>
      </w:r>
    </w:p>
    <w:p w:rsidR="00FE2E9E" w:rsidRPr="008D2A42" w:rsidRDefault="00FE2E9E" w:rsidP="00605CEF">
      <w:pPr>
        <w:jc w:val="center"/>
        <w:rPr>
          <w:u w:val="single"/>
        </w:rPr>
      </w:pPr>
      <w:r>
        <w:rPr>
          <w:noProof/>
          <w:lang w:eastAsia="ru-RU"/>
        </w:rPr>
        <w:drawing>
          <wp:inline distT="0" distB="0" distL="0" distR="0" wp14:anchorId="2E7EF6FE" wp14:editId="57D64078">
            <wp:extent cx="1026160" cy="8235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36" w:rsidRPr="006E544A" w:rsidRDefault="00962B36" w:rsidP="00FE2E9E">
      <w:pPr>
        <w:spacing w:after="120"/>
        <w:jc w:val="center"/>
        <w:rPr>
          <w:b/>
          <w:bCs/>
        </w:rPr>
      </w:pPr>
      <w:r w:rsidRPr="006E544A">
        <w:rPr>
          <w:b/>
        </w:rPr>
        <w:t>ОРГАНИЗАЦИЯ ОБЪЕДИНЕННЫХ НАЦИЙ</w:t>
      </w:r>
    </w:p>
    <w:p w:rsidR="00962B36" w:rsidRPr="00CB1B4B" w:rsidRDefault="00962B36" w:rsidP="00962B36">
      <w:pPr>
        <w:pStyle w:val="para"/>
        <w:spacing w:before="240" w:line="240" w:lineRule="auto"/>
        <w:ind w:left="1134" w:firstLine="0"/>
        <w:rPr>
          <w:i/>
          <w:lang w:val="ru-RU"/>
        </w:rPr>
      </w:pPr>
      <w:r w:rsidRPr="00CB1B4B">
        <w:rPr>
          <w:i/>
          <w:lang w:val="ru-RU"/>
        </w:rPr>
        <w:lastRenderedPageBreak/>
        <w:t xml:space="preserve">Пункт 2.22.1 </w:t>
      </w:r>
      <w:bookmarkStart w:id="0" w:name="OLE_LINK8"/>
      <w:bookmarkStart w:id="1" w:name="OLE_LINK9"/>
      <w:r w:rsidRPr="00CB1B4B">
        <w:rPr>
          <w:iCs/>
          <w:lang w:val="ru-RU"/>
        </w:rPr>
        <w:t>изменить следующим образом</w:t>
      </w:r>
      <w:bookmarkEnd w:id="0"/>
      <w:bookmarkEnd w:id="1"/>
      <w:r w:rsidRPr="00CB1B4B">
        <w:rPr>
          <w:lang w:val="ru-RU"/>
        </w:rPr>
        <w:t>:</w:t>
      </w:r>
    </w:p>
    <w:p w:rsidR="00962B36" w:rsidRPr="003E4511" w:rsidRDefault="00962B36" w:rsidP="00962B36">
      <w:pPr>
        <w:pStyle w:val="SingleTxtGR"/>
        <w:ind w:left="2268" w:hanging="1134"/>
      </w:pPr>
      <w:r w:rsidRPr="00D940E2">
        <w:t>«2.22.1</w:t>
      </w:r>
      <w:r w:rsidRPr="00D940E2">
        <w:tab/>
        <w:t>"</w:t>
      </w:r>
      <w:r w:rsidRPr="00D940E2">
        <w:rPr>
          <w:i/>
          <w:iCs/>
        </w:rPr>
        <w:t>монотопливное транспортное средство, работающее на газе</w:t>
      </w:r>
      <w:r w:rsidRPr="00D940E2">
        <w:t xml:space="preserve">" означает транспортное средство, предназначенное главным образом для постоянной работы на СНГ или ПГ/биометане или водороде, которое может быть также оснащено системой, работающей на бензине, которую используют только для экстренных случаев или для запуска двигателя, </w:t>
      </w:r>
      <w:r w:rsidRPr="00CB1B4B">
        <w:t>причем номинальная емкость бензобака не должна превышать</w:t>
      </w:r>
      <w:r w:rsidRPr="00D940E2">
        <w:rPr>
          <w:b/>
          <w:bCs/>
        </w:rPr>
        <w:t xml:space="preserve"> </w:t>
      </w:r>
      <w:r w:rsidRPr="00D940E2">
        <w:t>15</w:t>
      </w:r>
      <w:r>
        <w:rPr>
          <w:lang w:val="en-US"/>
        </w:rPr>
        <w:t> </w:t>
      </w:r>
      <w:r w:rsidRPr="00D940E2">
        <w:t>литров»</w:t>
      </w:r>
      <w:r w:rsidRPr="003E4511">
        <w:t>.</w:t>
      </w:r>
    </w:p>
    <w:p w:rsidR="00962B36" w:rsidRPr="00CB1B4B" w:rsidRDefault="00962B36" w:rsidP="00962B36">
      <w:pPr>
        <w:pStyle w:val="SingleTxtG"/>
        <w:ind w:left="2268" w:hanging="1134"/>
        <w:rPr>
          <w:i/>
        </w:rPr>
      </w:pPr>
      <w:r w:rsidRPr="00CB1B4B">
        <w:rPr>
          <w:i/>
        </w:rPr>
        <w:t>Пункт</w:t>
      </w:r>
      <w:r>
        <w:rPr>
          <w:i/>
        </w:rPr>
        <w:t>ы</w:t>
      </w:r>
      <w:r w:rsidRPr="00CB1B4B">
        <w:rPr>
          <w:i/>
        </w:rPr>
        <w:t xml:space="preserve"> 2.23</w:t>
      </w:r>
      <w:r>
        <w:rPr>
          <w:i/>
        </w:rPr>
        <w:t xml:space="preserve"> и</w:t>
      </w:r>
      <w:r w:rsidRPr="00CB1B4B">
        <w:rPr>
          <w:i/>
        </w:rPr>
        <w:t xml:space="preserve"> 2.23.1 </w:t>
      </w:r>
      <w:r w:rsidRPr="00CB1B4B">
        <w:rPr>
          <w:iCs/>
        </w:rPr>
        <w:t>изменить следующим образом</w:t>
      </w:r>
      <w:r w:rsidRPr="00CB1B4B">
        <w:t>:</w:t>
      </w:r>
    </w:p>
    <w:p w:rsidR="00962B36" w:rsidRDefault="00962B36" w:rsidP="00962B36">
      <w:pPr>
        <w:pStyle w:val="SingleTxtG"/>
        <w:ind w:left="2268" w:hanging="1134"/>
      </w:pPr>
      <w:r>
        <w:t>«</w:t>
      </w:r>
      <w:r w:rsidRPr="00AD24EC">
        <w:t>2.23</w:t>
      </w:r>
      <w:r w:rsidRPr="00AD24EC">
        <w:tab/>
        <w:t>"</w:t>
      </w:r>
      <w:r w:rsidRPr="00AD24EC">
        <w:rPr>
          <w:i/>
          <w:iCs/>
        </w:rPr>
        <w:t>двухтопливное транспортное средство</w:t>
      </w:r>
      <w:r w:rsidRPr="00AD24EC">
        <w:t>" означает транспортное средство с двумя отдельными системами хранения топлива, которое предназначено для работы в данный момент времени главным образом только на одном типе топлива; вместе с тем разрешается одновременное использование двух типов топлива в ограниченном объеме и с ограниченной продолжительностью.</w:t>
      </w:r>
    </w:p>
    <w:p w:rsidR="00962B36" w:rsidRDefault="00962B36" w:rsidP="00962B36">
      <w:pPr>
        <w:pStyle w:val="SingleTxtG"/>
        <w:spacing w:before="120"/>
        <w:ind w:left="2259" w:hanging="1125"/>
      </w:pPr>
      <w:r w:rsidRPr="00AD24EC">
        <w:t>2.23.1</w:t>
      </w:r>
      <w:r w:rsidRPr="00AD24EC">
        <w:tab/>
      </w:r>
      <w:r>
        <w:tab/>
      </w:r>
      <w:r w:rsidRPr="00AD24EC">
        <w:t>"</w:t>
      </w:r>
      <w:r w:rsidRPr="00AD24EC">
        <w:rPr>
          <w:i/>
          <w:iCs/>
        </w:rPr>
        <w:t>двухтопливное транспортное средство, работающее на газе</w:t>
      </w:r>
      <w:r w:rsidRPr="00AD24EC">
        <w:t>" означает транспортное средство, двумя видами топлива для которого являются бензин (режим работы на бензине) и СНГ, ПГ/биометан, либо водород»</w:t>
      </w:r>
      <w:r>
        <w:t>.</w:t>
      </w:r>
    </w:p>
    <w:p w:rsidR="00962B36" w:rsidRPr="00AD24EC" w:rsidRDefault="00962B36" w:rsidP="00962B36">
      <w:pPr>
        <w:pStyle w:val="SingleTxtG"/>
        <w:ind w:left="2268" w:hanging="1134"/>
        <w:rPr>
          <w:i/>
        </w:rPr>
      </w:pPr>
      <w:r w:rsidRPr="00AD24EC">
        <w:rPr>
          <w:i/>
        </w:rPr>
        <w:t xml:space="preserve">Пункт 5.3.1.2.4 </w:t>
      </w:r>
      <w:r w:rsidRPr="00CB1B4B">
        <w:rPr>
          <w:iCs/>
        </w:rPr>
        <w:t>изменить следующим образом</w:t>
      </w:r>
      <w:r w:rsidRPr="00AD24EC">
        <w:t>:</w:t>
      </w:r>
    </w:p>
    <w:p w:rsidR="00962B36" w:rsidRDefault="00962B36" w:rsidP="00962B36">
      <w:pPr>
        <w:pStyle w:val="SingleTxtG"/>
        <w:ind w:left="2268" w:hanging="1134"/>
      </w:pPr>
      <w:r>
        <w:t>«</w:t>
      </w:r>
      <w:r w:rsidRPr="00AD24EC">
        <w:t>5.3.1.2.4</w:t>
      </w:r>
      <w:r w:rsidRPr="00AD24EC">
        <w:tab/>
        <w:t xml:space="preserve">В ходе испытания отработавшие газы транспортного средства разбавляют, и в один или несколько газоприемников отбирают их пропорциональную пробу. Отработавшие газы испытуемого транспортного средства разбавляют, отбирают и анализируют в соответствии с описанной ниже процедурой и измеряют общий объем разбавленных отработавших газов. </w:t>
      </w:r>
      <w:r w:rsidRPr="00A2547F">
        <w:t>При этом в случае транспортных средств, оснащенных двигателем с воспламенением от сжатия и бензиновыми двигателями с прямым впрыском, измеряют не только уровень выбросов моноксида углерода, углеводородов и окислов азота, но и выбросов загрязняющих взвешенных частиц»</w:t>
      </w:r>
      <w:r>
        <w:t>.</w:t>
      </w:r>
      <w:r w:rsidRPr="00A2547F">
        <w:t xml:space="preserve"> </w:t>
      </w:r>
    </w:p>
    <w:p w:rsidR="00962B36" w:rsidRPr="00145B3B" w:rsidRDefault="00962B36" w:rsidP="00962B36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t>Включить новый пункт</w:t>
      </w:r>
      <w:r w:rsidRPr="00145B3B">
        <w:rPr>
          <w:i/>
          <w:lang w:val="ru-RU"/>
        </w:rPr>
        <w:t xml:space="preserve"> 14</w:t>
      </w:r>
      <w:r>
        <w:rPr>
          <w:i/>
          <w:lang w:val="ru-RU"/>
        </w:rPr>
        <w:t xml:space="preserve"> </w:t>
      </w:r>
      <w:r>
        <w:rPr>
          <w:iCs/>
          <w:lang w:val="ru-RU"/>
        </w:rPr>
        <w:t>следующего содержания</w:t>
      </w:r>
      <w:r w:rsidRPr="00145B3B">
        <w:rPr>
          <w:i/>
          <w:lang w:val="ru-RU"/>
        </w:rPr>
        <w:t xml:space="preserve">: </w:t>
      </w:r>
    </w:p>
    <w:p w:rsidR="00962B36" w:rsidRPr="00A2547F" w:rsidRDefault="00962B36" w:rsidP="00962B36">
      <w:pPr>
        <w:pStyle w:val="HChG"/>
      </w:pPr>
      <w:r w:rsidRPr="00145B3B">
        <w:tab/>
      </w:r>
      <w:r w:rsidRPr="00145B3B">
        <w:tab/>
      </w:r>
      <w:r w:rsidRPr="003E4511">
        <w:rPr>
          <w:b w:val="0"/>
          <w:sz w:val="20"/>
        </w:rPr>
        <w:t>«</w:t>
      </w:r>
      <w:r w:rsidR="0037502A">
        <w:t>14.</w:t>
      </w:r>
      <w:r w:rsidRPr="00B90A61">
        <w:tab/>
      </w:r>
      <w:r>
        <w:tab/>
      </w:r>
      <w:r w:rsidRPr="00A2547F">
        <w:t>Альтернативные процедуры</w:t>
      </w:r>
    </w:p>
    <w:p w:rsidR="00962B36" w:rsidRPr="00A2547F" w:rsidRDefault="00962B36" w:rsidP="00962B36">
      <w:pPr>
        <w:pStyle w:val="SingleTxtG"/>
        <w:spacing w:line="240" w:lineRule="auto"/>
        <w:ind w:left="2268" w:hanging="1134"/>
      </w:pPr>
      <w:r w:rsidRPr="00A2547F">
        <w:t>14.1</w:t>
      </w:r>
      <w:r w:rsidRPr="00A2547F">
        <w:tab/>
        <w:t>Альтернативная процедура для систем периодической регенерации</w:t>
      </w:r>
    </w:p>
    <w:p w:rsidR="00962B36" w:rsidRPr="00B90A61" w:rsidRDefault="00962B36" w:rsidP="00962B36">
      <w:pPr>
        <w:pStyle w:val="SingleTxtG"/>
        <w:spacing w:line="240" w:lineRule="auto"/>
        <w:ind w:left="2268"/>
      </w:pPr>
      <w:r w:rsidRPr="00A2547F">
        <w:tab/>
        <w:t xml:space="preserve">В качестве альтернативы процедуре, предусмотренной в приложении 13 к настоящим Правилам, изготовитель может использовать результаты, полученные с помощью процедуры ВПИМ, охарактеризованной в добавлении 1 к приложению </w:t>
      </w:r>
      <w:r w:rsidRPr="00B90A61">
        <w:t>6 к поправке 4 к ГТП № 15 ООН.</w:t>
      </w:r>
    </w:p>
    <w:p w:rsidR="00962B36" w:rsidRPr="00A2547F" w:rsidRDefault="00962B36" w:rsidP="00962B36">
      <w:pPr>
        <w:pStyle w:val="SingleTxtG"/>
        <w:spacing w:line="240" w:lineRule="auto"/>
        <w:ind w:left="2268"/>
      </w:pPr>
      <w:r w:rsidRPr="00A2547F">
        <w:t>В таком случае применяются следующие дополнительные положения:</w:t>
      </w:r>
    </w:p>
    <w:p w:rsidR="00962B36" w:rsidRDefault="00962B36" w:rsidP="00962B36">
      <w:pPr>
        <w:pStyle w:val="SingleTxtG"/>
        <w:numPr>
          <w:ilvl w:val="0"/>
          <w:numId w:val="22"/>
        </w:numPr>
        <w:spacing w:line="240" w:lineRule="auto"/>
      </w:pPr>
      <w:r w:rsidRPr="00A2547F">
        <w:t>по просьбе изготовителя и с согласия компетентного органа при определении коэффициента регенерации К</w:t>
      </w:r>
      <w:r>
        <w:t>i</w:t>
      </w:r>
      <w:r w:rsidRPr="00A2547F">
        <w:t xml:space="preserve"> для транспортных средств класса 2 и класса 3 может быть исключена фаза сверхвысокой скорости ("</w:t>
      </w:r>
      <w:r>
        <w:t>Extra</w:t>
      </w:r>
      <w:r w:rsidRPr="00A2547F">
        <w:t xml:space="preserve"> </w:t>
      </w:r>
      <w:r>
        <w:t>High</w:t>
      </w:r>
      <w:r w:rsidRPr="00A2547F">
        <w:t>");</w:t>
      </w:r>
    </w:p>
    <w:p w:rsidR="00962B36" w:rsidRPr="00A2547F" w:rsidRDefault="00962B36" w:rsidP="00962B36">
      <w:pPr>
        <w:pStyle w:val="SingleTxtG"/>
        <w:numPr>
          <w:ilvl w:val="0"/>
          <w:numId w:val="22"/>
        </w:numPr>
        <w:spacing w:line="240" w:lineRule="auto"/>
      </w:pPr>
      <w:r w:rsidRPr="00A2547F">
        <w:t xml:space="preserve">вместо критерия, описанного в пункте 7.1.4.2 настоящих Правил, используют критерий, основанный на массе транспортного средства при испытании согласно ВПИМ: масса каждого транспортного средства в семействе при испытании не должна превышать аналогичной массы транспортного средства, используемого при демонстрационном испытании на подтверждение </w:t>
      </w:r>
      <w:r>
        <w:t>Ki, плюс 250 кг;</w:t>
      </w:r>
    </w:p>
    <w:p w:rsidR="00962B36" w:rsidRPr="00A2547F" w:rsidRDefault="00962B36" w:rsidP="00962B36">
      <w:pPr>
        <w:pStyle w:val="SingleTxtG"/>
        <w:numPr>
          <w:ilvl w:val="0"/>
          <w:numId w:val="22"/>
        </w:numPr>
        <w:spacing w:line="240" w:lineRule="auto"/>
      </w:pPr>
      <w:r w:rsidRPr="00A2547F">
        <w:t>аддитивные и мультипликативные значения К</w:t>
      </w:r>
      <w:r>
        <w:t>i</w:t>
      </w:r>
      <w:r w:rsidRPr="00A2547F">
        <w:t xml:space="preserve"> актуальны и должны применяться соответствующим образом.</w:t>
      </w:r>
    </w:p>
    <w:p w:rsidR="00962B36" w:rsidRPr="00A2547F" w:rsidRDefault="00962B36" w:rsidP="00962B36">
      <w:pPr>
        <w:pStyle w:val="SingleTxtG"/>
        <w:keepNext/>
        <w:keepLines/>
        <w:spacing w:line="240" w:lineRule="auto"/>
        <w:ind w:left="2268" w:hanging="1134"/>
      </w:pPr>
      <w:r w:rsidRPr="00145B3B">
        <w:lastRenderedPageBreak/>
        <w:t>14.2</w:t>
      </w:r>
      <w:r w:rsidRPr="00145B3B">
        <w:tab/>
      </w:r>
      <w:r w:rsidRPr="00A2547F">
        <w:tab/>
        <w:t xml:space="preserve">Альтернативная процедура для испытания типа </w:t>
      </w:r>
      <w:r>
        <w:t>V</w:t>
      </w:r>
    </w:p>
    <w:p w:rsidR="00962B36" w:rsidRDefault="00962B36" w:rsidP="00962B36">
      <w:pPr>
        <w:pStyle w:val="SingleTxtG"/>
        <w:spacing w:line="240" w:lineRule="auto"/>
        <w:ind w:left="2268"/>
      </w:pPr>
      <w:r w:rsidRPr="00A2547F">
        <w:tab/>
        <w:t xml:space="preserve">Для ресурсного испытания в качестве альтернативы процедурам испытаний на определение дорожной нагрузки и класс инерционной массы и испытания типа </w:t>
      </w:r>
      <w:r>
        <w:t>I</w:t>
      </w:r>
      <w:r w:rsidRPr="00A2547F">
        <w:t>, предусмотренным настоящими Правилами, могут использоваться процедуры ВПИМ, изложенные в поправке 4 к ГТП № 15 ООН.</w:t>
      </w:r>
    </w:p>
    <w:p w:rsidR="00962B36" w:rsidRDefault="00962B36" w:rsidP="00962B36">
      <w:pPr>
        <w:pStyle w:val="SingleTxtG"/>
        <w:spacing w:line="240" w:lineRule="auto"/>
        <w:ind w:left="2268"/>
      </w:pPr>
      <w:r w:rsidRPr="00A2547F">
        <w:tab/>
        <w:t>В таком случае применяются следующие дополнительные положения:</w:t>
      </w:r>
    </w:p>
    <w:p w:rsidR="00962B36" w:rsidRPr="00A2547F" w:rsidRDefault="00962B36" w:rsidP="00962B36">
      <w:pPr>
        <w:pStyle w:val="SingleTxtG"/>
        <w:spacing w:line="240" w:lineRule="auto"/>
        <w:ind w:left="2829" w:hanging="561"/>
      </w:pPr>
      <w:r w:rsidRPr="0030084D">
        <w:t>a</w:t>
      </w:r>
      <w:r w:rsidRPr="00A2547F">
        <w:t>)</w:t>
      </w:r>
      <w:r w:rsidRPr="00A2547F">
        <w:tab/>
        <w:t xml:space="preserve">ссылки на испытание типа </w:t>
      </w:r>
      <w:r>
        <w:t>I</w:t>
      </w:r>
      <w:r w:rsidRPr="00A2547F">
        <w:t>, содержащиеся в пункте 2.3.1.7 приложения 9 к настоящим Правилам, рассматриваются в качестве ссылок на испытание типа 1, предусмотренное в попра</w:t>
      </w:r>
      <w:r>
        <w:t>вке 4 к ГТП </w:t>
      </w:r>
      <w:r w:rsidRPr="00A2547F">
        <w:t>№ 15 ООН;</w:t>
      </w:r>
    </w:p>
    <w:p w:rsidR="00962B36" w:rsidRPr="00A2547F" w:rsidRDefault="00962B36" w:rsidP="00962B36">
      <w:pPr>
        <w:pStyle w:val="SingleTxtG"/>
        <w:spacing w:line="240" w:lineRule="auto"/>
        <w:ind w:left="2829" w:hanging="570"/>
      </w:pPr>
      <w:r w:rsidRPr="0030084D">
        <w:t>b</w:t>
      </w:r>
      <w:r w:rsidRPr="00A2547F">
        <w:t>)</w:t>
      </w:r>
      <w:r w:rsidRPr="00A2547F">
        <w:tab/>
        <w:t xml:space="preserve">ссылки на испытание типа </w:t>
      </w:r>
      <w:r>
        <w:t>I</w:t>
      </w:r>
      <w:r w:rsidRPr="00A2547F">
        <w:t>, содержащиеся в пункте 2.3.2.6 приложения 9 к настоящим Правилам, рассматриваются в качестве ссылок на испытание типа 1, пре</w:t>
      </w:r>
      <w:r>
        <w:t>дусмотренное в поправке 4 к ГТП </w:t>
      </w:r>
      <w:r w:rsidRPr="00A2547F">
        <w:t>№ 15 ООН;</w:t>
      </w:r>
    </w:p>
    <w:p w:rsidR="00962B36" w:rsidRPr="00A2547F" w:rsidRDefault="00962B36" w:rsidP="00962B36">
      <w:pPr>
        <w:pStyle w:val="SingleTxtG"/>
        <w:spacing w:line="240" w:lineRule="auto"/>
        <w:ind w:left="2829" w:hanging="570"/>
      </w:pPr>
      <w:r w:rsidRPr="0030084D">
        <w:t>c</w:t>
      </w:r>
      <w:r w:rsidRPr="00A2547F">
        <w:t>)</w:t>
      </w:r>
      <w:r w:rsidRPr="00A2547F">
        <w:tab/>
        <w:t xml:space="preserve">ссылки на испытание типа </w:t>
      </w:r>
      <w:r>
        <w:t>I</w:t>
      </w:r>
      <w:r w:rsidRPr="00A2547F">
        <w:t>, содержащиеся в пункте 3.1 приложения 9 к настоящим Правилам, рассматриваются в качестве ссылок на испытание типа 1, пре</w:t>
      </w:r>
      <w:r>
        <w:t>дусмотренное в поправке 4 к ГТП </w:t>
      </w:r>
      <w:r w:rsidRPr="00A2547F">
        <w:t>№ 15 ООН;</w:t>
      </w:r>
    </w:p>
    <w:p w:rsidR="00962B36" w:rsidRPr="00A2547F" w:rsidRDefault="00962B36" w:rsidP="00962B36">
      <w:pPr>
        <w:pStyle w:val="SingleTxtG"/>
        <w:spacing w:line="240" w:lineRule="auto"/>
        <w:ind w:left="2829" w:hanging="570"/>
      </w:pPr>
      <w:r w:rsidRPr="0030084D">
        <w:t>d</w:t>
      </w:r>
      <w:r w:rsidRPr="00A2547F">
        <w:t>)</w:t>
      </w:r>
      <w:r w:rsidRPr="00A2547F">
        <w:tab/>
        <w:t>ссылка, содержащаяся в пункте 6.3.1.2 приложения 9 к настоящим Правилам, на методы, которые описаны в добавлении 7 к приложению 4а, рассматривается в качестве ссылки на приложение 4 к поправке 4 к ГТП № 15 ООН;</w:t>
      </w:r>
    </w:p>
    <w:p w:rsidR="00962B36" w:rsidRPr="00A2547F" w:rsidRDefault="00962B36" w:rsidP="00962B36">
      <w:pPr>
        <w:pStyle w:val="SingleTxtG"/>
        <w:spacing w:line="240" w:lineRule="auto"/>
        <w:ind w:left="2829" w:hanging="570"/>
      </w:pPr>
      <w:r w:rsidRPr="0030084D">
        <w:t>e</w:t>
      </w:r>
      <w:r w:rsidRPr="00A2547F">
        <w:t>)</w:t>
      </w:r>
      <w:r w:rsidRPr="00A2547F">
        <w:tab/>
        <w:t>ссылка на приложение 4а, содержащаяся в пункте 6.3.1.4 приложения 9 к настоящим Прави</w:t>
      </w:r>
      <w:r w:rsidR="00D55098">
        <w:t>лам, рассматривается в качестве </w:t>
      </w:r>
      <w:r w:rsidRPr="00A2547F">
        <w:t>ссылки на приложение 4, содержащееся в поправке 4 к ГТП № 15 ООН;</w:t>
      </w:r>
    </w:p>
    <w:p w:rsidR="00962B36" w:rsidRPr="00862AAF" w:rsidRDefault="00962B36" w:rsidP="00962B36">
      <w:pPr>
        <w:pStyle w:val="SingleTxtG"/>
        <w:spacing w:line="240" w:lineRule="auto"/>
        <w:ind w:left="2829" w:hanging="570"/>
      </w:pPr>
      <w:r w:rsidRPr="0030084D">
        <w:t>f</w:t>
      </w:r>
      <w:r w:rsidRPr="00862AAF">
        <w:t>)</w:t>
      </w:r>
      <w:r w:rsidRPr="00862AAF">
        <w:tab/>
        <w:t xml:space="preserve">используют коэффициенты дорожной нагрузки для транспортных средств </w:t>
      </w:r>
      <w:r>
        <w:t>L</w:t>
      </w:r>
      <w:r w:rsidRPr="00862AAF">
        <w:t xml:space="preserve"> (</w:t>
      </w:r>
      <w:r>
        <w:t>VL</w:t>
      </w:r>
      <w:r w:rsidRPr="00862AAF">
        <w:t xml:space="preserve">); </w:t>
      </w:r>
      <w:bookmarkStart w:id="2" w:name="OLE_LINK10"/>
      <w:r w:rsidRPr="00862AAF">
        <w:t xml:space="preserve">если коэффициент </w:t>
      </w:r>
      <w:r>
        <w:t>VL</w:t>
      </w:r>
      <w:r w:rsidRPr="00862AAF">
        <w:t xml:space="preserve"> отсутствует или если общая нагрузка транспортного средства</w:t>
      </w:r>
      <w:r>
        <w:t xml:space="preserve"> Н</w:t>
      </w:r>
      <w:r w:rsidRPr="00862AAF">
        <w:t xml:space="preserve"> (</w:t>
      </w:r>
      <w:r>
        <w:t>VH</w:t>
      </w:r>
      <w:r w:rsidRPr="00862AAF">
        <w:t xml:space="preserve">) на скорости 80 км/ч превышает общую нагрузку </w:t>
      </w:r>
      <w:r>
        <w:t>VL</w:t>
      </w:r>
      <w:r w:rsidRPr="00862AAF">
        <w:t xml:space="preserve"> на скорости 80 км/ч + 5%, </w:t>
      </w:r>
      <w:r>
        <w:t xml:space="preserve">то </w:t>
      </w:r>
      <w:r w:rsidRPr="00862AAF">
        <w:t xml:space="preserve">используют коэффициент </w:t>
      </w:r>
      <w:r>
        <w:t xml:space="preserve">VH. </w:t>
      </w:r>
      <w:r w:rsidRPr="00862AAF">
        <w:t xml:space="preserve">Коэффициенты </w:t>
      </w:r>
      <w:r>
        <w:t>VL</w:t>
      </w:r>
      <w:r w:rsidRPr="00862AAF">
        <w:t xml:space="preserve"> и </w:t>
      </w:r>
      <w:r>
        <w:t>VH</w:t>
      </w:r>
      <w:r w:rsidRPr="00862AAF">
        <w:t xml:space="preserve"> определены в пункте 4.2.1.1.2 </w:t>
      </w:r>
      <w:r>
        <w:t>приложения 4 к поправке 4 к ГТП </w:t>
      </w:r>
      <w:r w:rsidRPr="00862AAF">
        <w:t>№</w:t>
      </w:r>
      <w:r>
        <w:t> </w:t>
      </w:r>
      <w:r w:rsidRPr="00862AAF">
        <w:t>15 ООН;</w:t>
      </w:r>
    </w:p>
    <w:bookmarkEnd w:id="2"/>
    <w:p w:rsidR="00962B36" w:rsidRPr="00862AAF" w:rsidRDefault="00962B36" w:rsidP="00962B36">
      <w:pPr>
        <w:pStyle w:val="SingleTxtG"/>
        <w:spacing w:line="240" w:lineRule="auto"/>
        <w:ind w:left="2829" w:hanging="570"/>
      </w:pPr>
      <w:r w:rsidRPr="0030084D">
        <w:t>g</w:t>
      </w:r>
      <w:r w:rsidRPr="00862AAF">
        <w:t>)</w:t>
      </w:r>
      <w:r w:rsidRPr="00862AAF">
        <w:tab/>
        <w:t>для транспортных средств класса 2 и класса 3 используют все четыре этапа ВЦИМГ;</w:t>
      </w:r>
    </w:p>
    <w:p w:rsidR="00962B36" w:rsidRPr="00862AAF" w:rsidRDefault="00962B36" w:rsidP="00962B36">
      <w:pPr>
        <w:pStyle w:val="SingleTxtG"/>
        <w:spacing w:line="240" w:lineRule="auto"/>
        <w:ind w:left="2829" w:hanging="570"/>
      </w:pPr>
      <w:r w:rsidRPr="0030084D">
        <w:t>h</w:t>
      </w:r>
      <w:r w:rsidRPr="00862AAF">
        <w:t>)</w:t>
      </w:r>
      <w:r w:rsidRPr="00862AAF">
        <w:tab/>
        <w:t xml:space="preserve">аддитивные и мультипликативные значения коэффициента </w:t>
      </w:r>
      <w:r>
        <w:t>DF</w:t>
      </w:r>
      <w:r w:rsidRPr="00862AAF">
        <w:t xml:space="preserve"> актуальны и должны применяться соответствующим образом.</w:t>
      </w:r>
    </w:p>
    <w:p w:rsidR="00962B36" w:rsidRPr="00862AAF" w:rsidRDefault="00962B36" w:rsidP="00962B36">
      <w:pPr>
        <w:pStyle w:val="SingleTxtG"/>
        <w:spacing w:line="240" w:lineRule="auto"/>
        <w:ind w:left="2268" w:hanging="1134"/>
      </w:pPr>
      <w:r w:rsidRPr="00145B3B">
        <w:t>14.3</w:t>
      </w:r>
      <w:r w:rsidRPr="00145B3B">
        <w:tab/>
      </w:r>
      <w:r w:rsidRPr="00862AAF">
        <w:t xml:space="preserve">Альтернативная процедура для испытания типа </w:t>
      </w:r>
      <w:r>
        <w:t>VI</w:t>
      </w:r>
    </w:p>
    <w:p w:rsidR="00962B36" w:rsidRDefault="00962B36" w:rsidP="00962B36">
      <w:pPr>
        <w:pStyle w:val="SingleTxtG"/>
        <w:spacing w:line="240" w:lineRule="auto"/>
        <w:ind w:left="2268"/>
      </w:pPr>
      <w:r w:rsidRPr="00182D74">
        <w:t>В качестве альтернативы коэффициентам дорожной нагрузки и классу инерционной массы, предусмотренным в добавлении 7 к приложению 4а к настоящим Правилам, могут использоваться коэффициенты дорожной нагрузки и испытательная масса согласно ВПИМ, описанные в приложении 4 к поправке 4 к ГТП № 15 ООН.</w:t>
      </w:r>
    </w:p>
    <w:p w:rsidR="00962B36" w:rsidRPr="00182D74" w:rsidRDefault="00962B36" w:rsidP="00962B36">
      <w:pPr>
        <w:pStyle w:val="SingleTxtG"/>
        <w:spacing w:line="240" w:lineRule="auto"/>
        <w:ind w:left="2268"/>
      </w:pPr>
      <w:r w:rsidRPr="00182D74">
        <w:tab/>
        <w:t>В таком случае применяются следующие дополнительные положения:</w:t>
      </w:r>
    </w:p>
    <w:p w:rsidR="00962B36" w:rsidRPr="004E475A" w:rsidRDefault="00962B36" w:rsidP="00962B36">
      <w:pPr>
        <w:pStyle w:val="SingleTxtG"/>
        <w:spacing w:line="240" w:lineRule="auto"/>
        <w:ind w:left="2268"/>
      </w:pPr>
      <w:r w:rsidRPr="00182D74">
        <w:tab/>
      </w:r>
      <w:r>
        <w:t>И</w:t>
      </w:r>
      <w:r w:rsidRPr="00182D74">
        <w:t xml:space="preserve">спользуют коэффициенты дорожной нагрузки для транспортных средств </w:t>
      </w:r>
      <w:r>
        <w:t>L</w:t>
      </w:r>
      <w:r w:rsidRPr="00182D74">
        <w:t xml:space="preserve"> (</w:t>
      </w:r>
      <w:r>
        <w:t>VL</w:t>
      </w:r>
      <w:r w:rsidRPr="00182D74">
        <w:t>).</w:t>
      </w:r>
      <w:r>
        <w:t xml:space="preserve"> </w:t>
      </w:r>
      <w:r w:rsidRPr="004E475A">
        <w:t xml:space="preserve">Если коэффициент </w:t>
      </w:r>
      <w:r>
        <w:t>VL</w:t>
      </w:r>
      <w:r w:rsidRPr="004E475A">
        <w:t xml:space="preserve"> отсутствует, то используют коэффициент </w:t>
      </w:r>
      <w:r>
        <w:t>VH</w:t>
      </w:r>
      <w:r w:rsidRPr="004E475A">
        <w:t>.</w:t>
      </w:r>
      <w:r>
        <w:t xml:space="preserve"> Коэффициенты </w:t>
      </w:r>
      <w:r w:rsidRPr="0030084D">
        <w:t>VL</w:t>
      </w:r>
      <w:r w:rsidRPr="004E475A">
        <w:t xml:space="preserve"> </w:t>
      </w:r>
      <w:r>
        <w:t>и</w:t>
      </w:r>
      <w:r w:rsidRPr="004E475A">
        <w:t xml:space="preserve"> </w:t>
      </w:r>
      <w:r w:rsidRPr="0030084D">
        <w:t>VH</w:t>
      </w:r>
      <w:r>
        <w:t xml:space="preserve"> определены в пункте </w:t>
      </w:r>
      <w:r w:rsidRPr="004E475A">
        <w:t>4.2.1.1.2</w:t>
      </w:r>
      <w:r>
        <w:t xml:space="preserve"> приложения 4 к поправке 4 к ГТП № 15 ООН. </w:t>
      </w:r>
      <w:r w:rsidRPr="004E475A">
        <w:t>Динамометр регулируют с целью имитации работы транспортного средства на дороге при –7 °С.</w:t>
      </w:r>
      <w:r>
        <w:t xml:space="preserve"> </w:t>
      </w:r>
      <w:r w:rsidRPr="004E475A">
        <w:t>Такая регулировка может основываться на определении силы воздействия на дорогу при –7 °С.</w:t>
      </w:r>
      <w:r>
        <w:t xml:space="preserve"> </w:t>
      </w:r>
      <w:r w:rsidRPr="004E475A">
        <w:t xml:space="preserve">В качестве альтернативного варианта может регулироваться общее сопротивление движению при </w:t>
      </w:r>
      <w:r w:rsidR="00641794">
        <w:br/>
      </w:r>
      <w:r w:rsidRPr="004E475A">
        <w:t xml:space="preserve">10-процентном снижении данного показателя с поправкой на время </w:t>
      </w:r>
      <w:r w:rsidRPr="004E475A">
        <w:lastRenderedPageBreak/>
        <w:t>движения накатом.</w:t>
      </w:r>
      <w:r>
        <w:t xml:space="preserve"> </w:t>
      </w:r>
      <w:r w:rsidRPr="004E475A">
        <w:t>Техническая служба может одобрять использование других методов определения сопротивления движению</w:t>
      </w:r>
      <w:r>
        <w:t>.</w:t>
      </w:r>
    </w:p>
    <w:p w:rsidR="00962B36" w:rsidRPr="004E475A" w:rsidRDefault="00962B36" w:rsidP="00962B36">
      <w:pPr>
        <w:pStyle w:val="SingleTxtG"/>
        <w:spacing w:line="240" w:lineRule="auto"/>
        <w:ind w:left="2268" w:hanging="1134"/>
      </w:pPr>
      <w:r w:rsidRPr="00145B3B">
        <w:t>14.4</w:t>
      </w:r>
      <w:r w:rsidRPr="00145B3B">
        <w:tab/>
      </w:r>
      <w:r w:rsidRPr="004E475A">
        <w:t>Альтернативная процедура для испытания БД</w:t>
      </w:r>
    </w:p>
    <w:p w:rsidR="00962B36" w:rsidRDefault="00962B36" w:rsidP="00962B36">
      <w:pPr>
        <w:pStyle w:val="SingleTxtG"/>
        <w:keepNext/>
        <w:keepLines/>
        <w:spacing w:line="240" w:lineRule="auto"/>
        <w:ind w:left="2268"/>
      </w:pPr>
      <w:r w:rsidRPr="004E475A">
        <w:t xml:space="preserve">В качестве альтернативы испытаниям типа </w:t>
      </w:r>
      <w:r>
        <w:t>I</w:t>
      </w:r>
      <w:r w:rsidRPr="004E475A">
        <w:t xml:space="preserve">, предусмотренным настоящими Правилами, могут быть использованы испытания типа </w:t>
      </w:r>
      <w:r>
        <w:t>I</w:t>
      </w:r>
      <w:r w:rsidRPr="004E475A">
        <w:t xml:space="preserve">, изложенные в приложении 6 к поправке 4 к ГТП № 15 ООН. </w:t>
      </w:r>
    </w:p>
    <w:p w:rsidR="00962B36" w:rsidRPr="004E475A" w:rsidRDefault="00962B36" w:rsidP="00962B36">
      <w:pPr>
        <w:pStyle w:val="SingleTxtG"/>
        <w:keepNext/>
        <w:keepLines/>
        <w:spacing w:line="240" w:lineRule="auto"/>
        <w:ind w:left="2268"/>
      </w:pPr>
      <w:r w:rsidRPr="004E475A">
        <w:t>В таком случае применяются следующие дополнительные положения:</w:t>
      </w:r>
    </w:p>
    <w:p w:rsidR="00962B36" w:rsidRPr="004E475A" w:rsidRDefault="00962B36" w:rsidP="00962B36">
      <w:pPr>
        <w:pStyle w:val="SingleTxtG"/>
        <w:spacing w:line="240" w:lineRule="auto"/>
        <w:ind w:left="2268"/>
      </w:pPr>
      <w:r w:rsidRPr="004E475A">
        <w:tab/>
        <w:t xml:space="preserve">Ссылка на испытания типа </w:t>
      </w:r>
      <w:r>
        <w:t>I</w:t>
      </w:r>
      <w:r w:rsidRPr="004E475A">
        <w:t xml:space="preserve">, охарактеризованные в разделе 2.1.3 добавления 1 к приложению 11 к настоящим Правилам, рассматривается в качестве ссылки на испытание типа </w:t>
      </w:r>
      <w:r>
        <w:t>I</w:t>
      </w:r>
      <w:r w:rsidRPr="004E475A">
        <w:t>, предусмотренное в поправке 4 к ГТП № 15 ООН, для каждой отдельной неисправности, подлежащей демонстрации.</w:t>
      </w:r>
    </w:p>
    <w:p w:rsidR="00962B36" w:rsidRPr="00B90A61" w:rsidRDefault="00962B36" w:rsidP="00962B36">
      <w:pPr>
        <w:pStyle w:val="SingleTxtG"/>
        <w:spacing w:line="240" w:lineRule="auto"/>
        <w:ind w:left="2268"/>
      </w:pPr>
      <w:r w:rsidRPr="00B90A61">
        <w:t>Для транспортных средств класса 2 и класса 3 используют все четыре этапа ВЦИМГ.</w:t>
      </w:r>
    </w:p>
    <w:p w:rsidR="00962B36" w:rsidRDefault="00962B36" w:rsidP="00962B36">
      <w:pPr>
        <w:pStyle w:val="SingleTxtG"/>
        <w:spacing w:line="240" w:lineRule="auto"/>
        <w:ind w:left="2268"/>
      </w:pPr>
      <w:r w:rsidRPr="004E475A">
        <w:t xml:space="preserve">Порядок использования дополнительных циклов предварительной подготовки или альтернативных методов предварительной подготовки указывается в документации, касающейся официального утверждения типа. </w:t>
      </w:r>
    </w:p>
    <w:p w:rsidR="00962B36" w:rsidRPr="00B90A61" w:rsidRDefault="00962B36" w:rsidP="00962B36">
      <w:pPr>
        <w:pStyle w:val="SingleTxtG"/>
        <w:spacing w:line="240" w:lineRule="auto"/>
        <w:ind w:left="2268" w:hanging="1134"/>
      </w:pPr>
      <w:r w:rsidRPr="004E475A">
        <w:t>14.4.1</w:t>
      </w:r>
      <w:r w:rsidRPr="004E475A">
        <w:tab/>
        <w:t xml:space="preserve">Испытания типа </w:t>
      </w:r>
      <w:r>
        <w:t>I</w:t>
      </w:r>
      <w:r w:rsidRPr="004E475A">
        <w:t xml:space="preserve">, упомянутые в пункте 3.3.3.2 приложения 11, рассматриваются в качестве идентичных испытаниям типа 1, которые использовались по крайней мере в ходе двух циклов подряд после введения условий с пропусками зажигания в двигателе в соответствии с пунктом 6.3.1.2 добавления 1 к приложению </w:t>
      </w:r>
      <w:r w:rsidRPr="00B90A61">
        <w:t>11.</w:t>
      </w:r>
    </w:p>
    <w:p w:rsidR="00962B36" w:rsidRPr="00B90A61" w:rsidRDefault="00962B36" w:rsidP="00962B36">
      <w:pPr>
        <w:pStyle w:val="SingleTxtG"/>
        <w:spacing w:line="240" w:lineRule="auto"/>
        <w:ind w:left="2268" w:hanging="1134"/>
      </w:pPr>
      <w:r w:rsidRPr="00B90A61">
        <w:t>14.4.2</w:t>
      </w:r>
      <w:r w:rsidRPr="00B90A61">
        <w:tab/>
        <w:t>Пункт 6.2.2 добавления 1 к приложению 11 читать следующим образом:</w:t>
      </w:r>
    </w:p>
    <w:p w:rsidR="00962B36" w:rsidRDefault="00962B36" w:rsidP="00962B36">
      <w:pPr>
        <w:pStyle w:val="para"/>
        <w:ind w:firstLine="0"/>
        <w:rPr>
          <w:lang w:val="ru-RU"/>
        </w:rPr>
      </w:pPr>
      <w:r w:rsidRPr="000D2EFA">
        <w:rPr>
          <w:lang w:val="ru-RU"/>
        </w:rPr>
        <w:t>"По просьбе изготовителя могут использоваться альтернативные и/или дополнительные методы предварительной подготовки"</w:t>
      </w:r>
      <w:r>
        <w:rPr>
          <w:lang w:val="ru-RU"/>
        </w:rPr>
        <w:t>.</w:t>
      </w:r>
      <w:r w:rsidRPr="000D2EFA">
        <w:rPr>
          <w:lang w:val="ru-RU"/>
        </w:rPr>
        <w:t>»</w:t>
      </w:r>
    </w:p>
    <w:p w:rsidR="00962B36" w:rsidRPr="000D2EFA" w:rsidRDefault="00962B36" w:rsidP="00962B36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t>Добавление</w:t>
      </w:r>
      <w:r w:rsidRPr="000D2EFA">
        <w:rPr>
          <w:i/>
          <w:lang w:val="ru-RU"/>
        </w:rPr>
        <w:t xml:space="preserve"> 6</w:t>
      </w:r>
    </w:p>
    <w:p w:rsidR="00962B36" w:rsidRPr="000D2EFA" w:rsidRDefault="00962B36" w:rsidP="00962B36">
      <w:pPr>
        <w:pStyle w:val="para"/>
        <w:ind w:left="1134" w:firstLine="0"/>
        <w:rPr>
          <w:iCs/>
          <w:lang w:val="ru-RU"/>
        </w:rPr>
      </w:pPr>
      <w:r w:rsidRPr="000D2EFA">
        <w:rPr>
          <w:i/>
          <w:lang w:val="ru-RU"/>
        </w:rPr>
        <w:t xml:space="preserve">Пункт 1 </w:t>
      </w:r>
      <w:r w:rsidRPr="00CB1B4B">
        <w:rPr>
          <w:iCs/>
          <w:lang w:val="ru-RU"/>
        </w:rPr>
        <w:t>изменить следующим образом</w:t>
      </w:r>
      <w:r w:rsidRPr="000D2EFA">
        <w:rPr>
          <w:iCs/>
          <w:lang w:val="ru-RU"/>
        </w:rPr>
        <w:t>:</w:t>
      </w:r>
    </w:p>
    <w:p w:rsidR="00962B36" w:rsidRPr="003E4511" w:rsidRDefault="00962B36" w:rsidP="00962B36">
      <w:pPr>
        <w:pStyle w:val="SingleTxtG"/>
        <w:spacing w:line="240" w:lineRule="auto"/>
        <w:ind w:left="2268" w:hanging="1134"/>
      </w:pPr>
      <w:r w:rsidRPr="003E4511">
        <w:rPr>
          <w:iCs/>
        </w:rPr>
        <w:t>«</w:t>
      </w:r>
      <w:r w:rsidRPr="0030084D">
        <w:rPr>
          <w:iCs/>
          <w:lang w:val="de-DE"/>
        </w:rPr>
        <w:t>1.</w:t>
      </w:r>
      <w:r w:rsidRPr="0030084D">
        <w:rPr>
          <w:iCs/>
          <w:lang w:val="de-DE"/>
        </w:rPr>
        <w:tab/>
      </w:r>
      <w:r w:rsidRPr="000C339C">
        <w:t>Введение</w:t>
      </w:r>
      <w:r w:rsidRPr="003E4511">
        <w:t xml:space="preserve"> </w:t>
      </w:r>
    </w:p>
    <w:p w:rsidR="00962B36" w:rsidRPr="00145B3B" w:rsidRDefault="00962B36" w:rsidP="00962B36">
      <w:pPr>
        <w:pStyle w:val="SingleTxtGR"/>
        <w:tabs>
          <w:tab w:val="clear" w:pos="1701"/>
        </w:tabs>
        <w:ind w:left="2268" w:hanging="1134"/>
        <w:rPr>
          <w:iCs/>
        </w:rPr>
      </w:pPr>
      <w:r>
        <w:tab/>
      </w:r>
      <w:r w:rsidRPr="000D2EFA">
        <w:t xml:space="preserve">В настоящем </w:t>
      </w:r>
      <w:r>
        <w:t>добавлении</w:t>
      </w:r>
      <w:r w:rsidRPr="000D2EFA">
        <w:t xml:space="preserve"> содержатся требования, предъявляемые к транспортным средствам, на которых предусматривается использование соответствующего реагента для системы последующего ограничения выбросов</w:t>
      </w:r>
      <w:r w:rsidRPr="000D2EFA">
        <w:rPr>
          <w:iCs/>
        </w:rPr>
        <w:t xml:space="preserve">. </w:t>
      </w:r>
      <w:r>
        <w:rPr>
          <w:iCs/>
        </w:rPr>
        <w:t>Любая</w:t>
      </w:r>
      <w:r w:rsidRPr="00F311BC">
        <w:rPr>
          <w:iCs/>
        </w:rPr>
        <w:t xml:space="preserve"> </w:t>
      </w:r>
      <w:r>
        <w:rPr>
          <w:iCs/>
        </w:rPr>
        <w:t>ссылка</w:t>
      </w:r>
      <w:r w:rsidRPr="00F311BC">
        <w:rPr>
          <w:iCs/>
        </w:rPr>
        <w:t xml:space="preserve"> </w:t>
      </w:r>
      <w:r>
        <w:rPr>
          <w:iCs/>
        </w:rPr>
        <w:t>на "заправочную</w:t>
      </w:r>
      <w:r w:rsidRPr="00F311BC">
        <w:rPr>
          <w:iCs/>
        </w:rPr>
        <w:t xml:space="preserve"> </w:t>
      </w:r>
      <w:r>
        <w:rPr>
          <w:iCs/>
        </w:rPr>
        <w:t>емкость"</w:t>
      </w:r>
      <w:r w:rsidRPr="00F311BC">
        <w:rPr>
          <w:iCs/>
        </w:rPr>
        <w:t xml:space="preserve"> </w:t>
      </w:r>
      <w:r>
        <w:rPr>
          <w:iCs/>
        </w:rPr>
        <w:t>относится</w:t>
      </w:r>
      <w:r w:rsidRPr="00F311BC">
        <w:rPr>
          <w:iCs/>
        </w:rPr>
        <w:t xml:space="preserve"> </w:t>
      </w:r>
      <w:r>
        <w:rPr>
          <w:iCs/>
        </w:rPr>
        <w:t>также</w:t>
      </w:r>
      <w:r w:rsidRPr="00F311BC">
        <w:rPr>
          <w:iCs/>
        </w:rPr>
        <w:t xml:space="preserve"> </w:t>
      </w:r>
      <w:r>
        <w:rPr>
          <w:iCs/>
        </w:rPr>
        <w:t>к</w:t>
      </w:r>
      <w:r w:rsidRPr="00F311BC">
        <w:rPr>
          <w:iCs/>
        </w:rPr>
        <w:t xml:space="preserve"> </w:t>
      </w:r>
      <w:r>
        <w:rPr>
          <w:iCs/>
        </w:rPr>
        <w:t>другим</w:t>
      </w:r>
      <w:r w:rsidRPr="00F311BC">
        <w:rPr>
          <w:iCs/>
        </w:rPr>
        <w:t xml:space="preserve"> </w:t>
      </w:r>
      <w:r>
        <w:rPr>
          <w:iCs/>
        </w:rPr>
        <w:t>емкостям</w:t>
      </w:r>
      <w:r w:rsidRPr="00F311BC">
        <w:rPr>
          <w:iCs/>
        </w:rPr>
        <w:t xml:space="preserve">, </w:t>
      </w:r>
      <w:r>
        <w:rPr>
          <w:iCs/>
        </w:rPr>
        <w:t>в</w:t>
      </w:r>
      <w:r w:rsidRPr="00F311BC">
        <w:rPr>
          <w:iCs/>
        </w:rPr>
        <w:t xml:space="preserve"> </w:t>
      </w:r>
      <w:r>
        <w:rPr>
          <w:iCs/>
        </w:rPr>
        <w:t>которых хранится реагент».</w:t>
      </w:r>
      <w:r w:rsidRPr="0030084D">
        <w:rPr>
          <w:iCs/>
        </w:rPr>
        <w:t>  </w:t>
      </w:r>
    </w:p>
    <w:p w:rsidR="00962B36" w:rsidRPr="00AE239B" w:rsidRDefault="00962B36" w:rsidP="00962B36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t>Включить новые пункты</w:t>
      </w:r>
      <w:r w:rsidRPr="00AE239B">
        <w:rPr>
          <w:i/>
          <w:lang w:val="ru-RU"/>
        </w:rPr>
        <w:t xml:space="preserve"> 1.1 </w:t>
      </w:r>
      <w:r>
        <w:rPr>
          <w:i/>
          <w:lang w:val="ru-RU"/>
        </w:rPr>
        <w:t>и</w:t>
      </w:r>
      <w:r w:rsidRPr="00AE239B">
        <w:rPr>
          <w:i/>
          <w:lang w:val="ru-RU"/>
        </w:rPr>
        <w:t xml:space="preserve"> 1.2 </w:t>
      </w:r>
      <w:r>
        <w:rPr>
          <w:iCs/>
          <w:lang w:val="ru-RU"/>
        </w:rPr>
        <w:t>следующего содержания</w:t>
      </w:r>
      <w:r w:rsidRPr="00AE239B">
        <w:rPr>
          <w:iCs/>
          <w:lang w:val="ru-RU"/>
        </w:rPr>
        <w:t>:</w:t>
      </w:r>
    </w:p>
    <w:p w:rsidR="00962B36" w:rsidRPr="00AE239B" w:rsidRDefault="00962B36" w:rsidP="00962B36">
      <w:pPr>
        <w:pStyle w:val="SingleTxtG"/>
        <w:ind w:left="2268" w:hanging="1134"/>
      </w:pPr>
      <w:r>
        <w:t>«</w:t>
      </w:r>
      <w:r w:rsidRPr="00AE239B">
        <w:t>1.1</w:t>
      </w:r>
      <w:r w:rsidRPr="00AE239B">
        <w:tab/>
        <w:t>Вместимость заправочной емкости должна быть такой, чтобы не было необходимости заправлять полную емкость при средней дальности пробега с 5 полными топливными баками при условии, что емкость можно легко пополнить (например, без использования инструментов и без удаления обшивки транспортного средства.</w:t>
      </w:r>
      <w:r>
        <w:t xml:space="preserve"> </w:t>
      </w:r>
      <w:r w:rsidRPr="00AE239B">
        <w:t>Открытие внутреннего щитка для получения доступа в целях пополнения реагентом не должно толковаться как удаление обшивки).</w:t>
      </w:r>
      <w:r>
        <w:t xml:space="preserve"> </w:t>
      </w:r>
      <w:r w:rsidRPr="00AE239B">
        <w:t>Если считается, что емкость невозможно легко пополнить, как описано выше, минимальная вместимость емкости должна быть по крайней мере эквивалентной среднему пробегу с 15 полными топливными баками.</w:t>
      </w:r>
      <w:r>
        <w:t xml:space="preserve"> </w:t>
      </w:r>
      <w:r w:rsidRPr="00AE239B">
        <w:t xml:space="preserve">Однако если в случае, предусмотренном в пункте 3.5 настоящего </w:t>
      </w:r>
      <w:r>
        <w:t>добавления</w:t>
      </w:r>
      <w:r w:rsidRPr="00AE239B">
        <w:t>, изготовитель предпочитает активировать систему предупреждения на расстоянии, которое не может быть менее 2 400 км, прежде чем в емкости закончится реагент, то вышеуказанные ограничения в отношении минимальной вместимости емкости не применяются.</w:t>
      </w:r>
    </w:p>
    <w:p w:rsidR="00962B36" w:rsidRDefault="00962B36" w:rsidP="0037502A">
      <w:pPr>
        <w:pStyle w:val="SingleTxtG"/>
        <w:pageBreakBefore/>
        <w:ind w:left="2268" w:hanging="1134"/>
      </w:pPr>
      <w:r w:rsidRPr="00AE239B">
        <w:lastRenderedPageBreak/>
        <w:t>1.2</w:t>
      </w:r>
      <w:r w:rsidRPr="00AE239B">
        <w:tab/>
        <w:t xml:space="preserve">В контексте настоящего </w:t>
      </w:r>
      <w:r>
        <w:t>добавления</w:t>
      </w:r>
      <w:r w:rsidRPr="00AE239B">
        <w:t xml:space="preserve"> термин </w:t>
      </w:r>
      <w:r>
        <w:rPr>
          <w:iCs/>
        </w:rPr>
        <w:t>"</w:t>
      </w:r>
      <w:r w:rsidRPr="00AE239B">
        <w:t>средняя дальность пробега</w:t>
      </w:r>
      <w:r>
        <w:rPr>
          <w:iCs/>
        </w:rPr>
        <w:t>"</w:t>
      </w:r>
      <w:r w:rsidRPr="00AE239B">
        <w:t xml:space="preserve"> рассчитывается исходя из расхода топлива или реагента в ходе испытания типа 1 для пробега с топливным баком и пробега с емкостью для реагента соответственно»</w:t>
      </w:r>
      <w:r>
        <w:t>.</w:t>
      </w:r>
      <w:r w:rsidRPr="00AE239B">
        <w:t xml:space="preserve"> </w:t>
      </w:r>
    </w:p>
    <w:p w:rsidR="00962B36" w:rsidRPr="00AE239B" w:rsidRDefault="00962B36" w:rsidP="00962B36">
      <w:pPr>
        <w:pStyle w:val="para"/>
        <w:ind w:left="1134" w:firstLine="0"/>
        <w:rPr>
          <w:lang w:val="ru-RU"/>
        </w:rPr>
      </w:pPr>
      <w:r w:rsidRPr="00AE239B">
        <w:rPr>
          <w:i/>
          <w:lang w:val="ru-RU"/>
        </w:rPr>
        <w:t xml:space="preserve">Пункт 2.1 </w:t>
      </w:r>
      <w:r w:rsidRPr="00CB1B4B">
        <w:rPr>
          <w:iCs/>
          <w:lang w:val="ru-RU"/>
        </w:rPr>
        <w:t>изменить следующим образом</w:t>
      </w:r>
      <w:r w:rsidRPr="00AE239B">
        <w:rPr>
          <w:lang w:val="ru-RU"/>
        </w:rPr>
        <w:t>:</w:t>
      </w:r>
    </w:p>
    <w:p w:rsidR="00962B36" w:rsidRPr="00B90A61" w:rsidRDefault="00962B36" w:rsidP="00962B36">
      <w:pPr>
        <w:pStyle w:val="SingleTxtG"/>
        <w:ind w:left="2268" w:hanging="1134"/>
      </w:pPr>
      <w:r>
        <w:t>«</w:t>
      </w:r>
      <w:r w:rsidRPr="00AE239B">
        <w:t>2.1</w:t>
      </w:r>
      <w:r w:rsidRPr="00AE239B">
        <w:tab/>
        <w:t xml:space="preserve">На транспортном средстве устанавливают на приборной доске специальный индикатор, </w:t>
      </w:r>
      <w:r>
        <w:t>информирующий</w:t>
      </w:r>
      <w:r w:rsidRPr="00AE239B">
        <w:t xml:space="preserve"> водител</w:t>
      </w:r>
      <w:r>
        <w:t>я</w:t>
      </w:r>
      <w:r w:rsidRPr="00AE239B">
        <w:t xml:space="preserve"> о </w:t>
      </w:r>
      <w:r>
        <w:t xml:space="preserve">том, что </w:t>
      </w:r>
      <w:r w:rsidRPr="00AE239B">
        <w:t>уровн</w:t>
      </w:r>
      <w:r>
        <w:t>и</w:t>
      </w:r>
      <w:r w:rsidRPr="00AE239B">
        <w:t xml:space="preserve"> реагента </w:t>
      </w:r>
      <w:r>
        <w:t>ниже предельных величин, указанных в пункте 3.5 настоящего добавления».</w:t>
      </w:r>
    </w:p>
    <w:p w:rsidR="00962B36" w:rsidRPr="00B90A61" w:rsidRDefault="00962B36" w:rsidP="00962B36">
      <w:pPr>
        <w:pStyle w:val="para"/>
        <w:keepNext/>
        <w:keepLines/>
        <w:ind w:left="1134" w:firstLine="0"/>
        <w:rPr>
          <w:lang w:val="ru-RU"/>
        </w:rPr>
      </w:pPr>
      <w:r w:rsidRPr="00B90A61">
        <w:rPr>
          <w:i/>
          <w:lang w:val="ru-RU"/>
        </w:rPr>
        <w:t xml:space="preserve">Пункт 3.1 </w:t>
      </w:r>
      <w:r w:rsidRPr="00CB1B4B">
        <w:rPr>
          <w:iCs/>
          <w:lang w:val="ru-RU"/>
        </w:rPr>
        <w:t>изменить</w:t>
      </w:r>
      <w:r w:rsidRPr="00B90A61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B90A61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B90A61">
        <w:rPr>
          <w:lang w:val="ru-RU"/>
        </w:rPr>
        <w:t>:</w:t>
      </w:r>
    </w:p>
    <w:p w:rsidR="00962B36" w:rsidRPr="00B90A61" w:rsidRDefault="00962B36" w:rsidP="00962B36">
      <w:pPr>
        <w:pStyle w:val="SingleTxtG"/>
        <w:ind w:left="2268" w:hanging="1134"/>
      </w:pPr>
      <w:r>
        <w:t>«</w:t>
      </w:r>
      <w:r w:rsidRPr="00B90A61">
        <w:t>3.1</w:t>
      </w:r>
      <w:r w:rsidRPr="00B90A61">
        <w:tab/>
        <w:t>Транспортное средство должно иметь систему предупреждения, состоящую из визуальных сигналов, котор</w:t>
      </w:r>
      <w:r>
        <w:t>ая</w:t>
      </w:r>
      <w:r w:rsidRPr="00B90A61">
        <w:t xml:space="preserve"> информиру</w:t>
      </w:r>
      <w:r>
        <w:t>е</w:t>
      </w:r>
      <w:r w:rsidRPr="00B90A61">
        <w:t>т водителя</w:t>
      </w:r>
      <w:r>
        <w:t xml:space="preserve"> о том</w:t>
      </w:r>
      <w:r w:rsidRPr="00B90A61">
        <w:t xml:space="preserve">, </w:t>
      </w:r>
      <w:r>
        <w:t>что</w:t>
      </w:r>
      <w:r w:rsidRPr="00B90A61">
        <w:t xml:space="preserve"> обнаружена аномалия в дозированной подаче реагента, например в случае чрезмерно высоких выбросов, о низком уровне реагента, о прерывании подачи реагента или о том, что данный реагент не соответствует качеству, указанному изготовителем.</w:t>
      </w:r>
      <w:r>
        <w:t xml:space="preserve"> </w:t>
      </w:r>
      <w:r w:rsidRPr="00B90A61">
        <w:t>Для привлечения внимания водителя эта система предупреждения может также включать звуковой компонент сигнала»</w:t>
      </w:r>
      <w:r>
        <w:t>.</w:t>
      </w:r>
    </w:p>
    <w:p w:rsidR="00962B36" w:rsidRPr="00B90A61" w:rsidRDefault="00962B36" w:rsidP="00962B36">
      <w:pPr>
        <w:pStyle w:val="para"/>
        <w:ind w:left="1134" w:firstLine="0"/>
        <w:rPr>
          <w:lang w:val="ru-RU"/>
        </w:rPr>
      </w:pPr>
      <w:r w:rsidRPr="00B90A61">
        <w:rPr>
          <w:i/>
          <w:lang w:val="ru-RU"/>
        </w:rPr>
        <w:t>Пункт 3.4</w:t>
      </w:r>
      <w:r w:rsidRPr="00B90A61">
        <w:rPr>
          <w:lang w:val="ru-RU"/>
        </w:rPr>
        <w:t xml:space="preserve"> </w:t>
      </w:r>
      <w:r>
        <w:rPr>
          <w:lang w:val="ru-RU"/>
        </w:rPr>
        <w:t>изменить</w:t>
      </w:r>
      <w:r w:rsidRPr="00B90A61">
        <w:rPr>
          <w:lang w:val="ru-RU"/>
        </w:rPr>
        <w:t xml:space="preserve"> </w:t>
      </w:r>
      <w:r>
        <w:rPr>
          <w:lang w:val="ru-RU"/>
        </w:rPr>
        <w:t>последнее</w:t>
      </w:r>
      <w:r w:rsidRPr="00B90A61">
        <w:rPr>
          <w:lang w:val="ru-RU"/>
        </w:rPr>
        <w:t xml:space="preserve"> </w:t>
      </w:r>
      <w:r>
        <w:rPr>
          <w:lang w:val="ru-RU"/>
        </w:rPr>
        <w:t>предложение следующим образом</w:t>
      </w:r>
      <w:r w:rsidRPr="00B90A61">
        <w:rPr>
          <w:lang w:val="ru-RU"/>
        </w:rPr>
        <w:t>:</w:t>
      </w:r>
    </w:p>
    <w:p w:rsidR="00962B36" w:rsidRDefault="00962B36" w:rsidP="00962B36">
      <w:pPr>
        <w:pStyle w:val="para"/>
        <w:rPr>
          <w:lang w:val="ru-RU"/>
        </w:rPr>
      </w:pPr>
      <w:r>
        <w:rPr>
          <w:lang w:val="ru-RU"/>
        </w:rPr>
        <w:t>«</w:t>
      </w:r>
      <w:r w:rsidRPr="00B90A61">
        <w:rPr>
          <w:lang w:val="ru-RU"/>
        </w:rPr>
        <w:t>3.4</w:t>
      </w:r>
      <w:r w:rsidRPr="00B90A61">
        <w:rPr>
          <w:lang w:val="ru-RU"/>
        </w:rPr>
        <w:tab/>
        <w:t xml:space="preserve">…Непрерывный сигнал системы предупреждения может </w:t>
      </w:r>
      <w:r>
        <w:rPr>
          <w:lang w:val="ru-RU"/>
        </w:rPr>
        <w:t xml:space="preserve">временно </w:t>
      </w:r>
      <w:r w:rsidRPr="00B90A61">
        <w:rPr>
          <w:lang w:val="ru-RU"/>
        </w:rPr>
        <w:t>прерываться другими сигналами предупреждения при условии, что они содержат важную информацию, связанную с безопасностью»</w:t>
      </w:r>
      <w:r>
        <w:rPr>
          <w:lang w:val="ru-RU"/>
        </w:rPr>
        <w:t>.</w:t>
      </w:r>
      <w:r w:rsidRPr="00B90A61">
        <w:rPr>
          <w:lang w:val="ru-RU"/>
        </w:rPr>
        <w:t xml:space="preserve"> </w:t>
      </w:r>
    </w:p>
    <w:p w:rsidR="00962B36" w:rsidRPr="003E4511" w:rsidRDefault="00962B36" w:rsidP="00962B36">
      <w:pPr>
        <w:pStyle w:val="para"/>
        <w:ind w:left="1134" w:firstLine="0"/>
        <w:rPr>
          <w:lang w:val="ru-RU"/>
        </w:rPr>
      </w:pPr>
      <w:r w:rsidRPr="003E4511">
        <w:rPr>
          <w:i/>
          <w:lang w:val="ru-RU"/>
        </w:rPr>
        <w:t xml:space="preserve">Пункт 3.5 </w:t>
      </w:r>
      <w:r w:rsidRPr="00CB1B4B">
        <w:rPr>
          <w:iCs/>
          <w:lang w:val="ru-RU"/>
        </w:rPr>
        <w:t>изменить</w:t>
      </w:r>
      <w:r w:rsidRPr="003E4511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3E4511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3E4511">
        <w:rPr>
          <w:lang w:val="ru-RU"/>
        </w:rPr>
        <w:t>:</w:t>
      </w:r>
    </w:p>
    <w:p w:rsidR="00962B36" w:rsidRPr="00B90A61" w:rsidRDefault="00962B36" w:rsidP="00962B36">
      <w:pPr>
        <w:pStyle w:val="SingleTxtG"/>
        <w:ind w:left="2268" w:hanging="1134"/>
      </w:pPr>
      <w:r w:rsidRPr="00B90A61">
        <w:t>«3.5</w:t>
      </w:r>
      <w:r w:rsidRPr="00B90A61">
        <w:tab/>
        <w:t>Система предупреждения должна включаться на расстоянии, эквивалентном дальности пробега не менее 2 400 км до того момента, как в е</w:t>
      </w:r>
      <w:r>
        <w:t>мкости закончится реагент, или –</w:t>
      </w:r>
      <w:r w:rsidRPr="00B90A61">
        <w:t xml:space="preserve"> по выбору изготовителя </w:t>
      </w:r>
      <w:r>
        <w:t>–</w:t>
      </w:r>
      <w:r w:rsidRPr="00B90A61">
        <w:t xml:space="preserve"> не позднее того момента, когда </w:t>
      </w:r>
      <w:r>
        <w:t>количество</w:t>
      </w:r>
      <w:r w:rsidRPr="00B90A61">
        <w:t xml:space="preserve"> реагента в заправочной емкости достигнет одного из следующих уровней:</w:t>
      </w:r>
    </w:p>
    <w:p w:rsidR="00962B36" w:rsidRDefault="00962B36" w:rsidP="00962B36">
      <w:pPr>
        <w:pStyle w:val="SingleTxtG"/>
        <w:ind w:left="2835" w:hanging="567"/>
      </w:pPr>
      <w:r w:rsidRPr="0030084D">
        <w:t>a</w:t>
      </w:r>
      <w:r w:rsidRPr="00B90A61">
        <w:t xml:space="preserve">) </w:t>
      </w:r>
      <w:r w:rsidRPr="00B90A61">
        <w:tab/>
        <w:t>уровня, который, как ожидается, является достаточным для прохождения расстояния, соответствующего 150% средней дальности пробега с полным топливным баком; или</w:t>
      </w:r>
    </w:p>
    <w:p w:rsidR="00962B36" w:rsidRPr="00B90A61" w:rsidRDefault="00962B36" w:rsidP="00962B36">
      <w:pPr>
        <w:pStyle w:val="SingleTxtG"/>
        <w:ind w:left="2835" w:hanging="567"/>
      </w:pPr>
      <w:r w:rsidRPr="0030084D">
        <w:t>b</w:t>
      </w:r>
      <w:r w:rsidRPr="00B90A61">
        <w:t xml:space="preserve">) </w:t>
      </w:r>
      <w:r w:rsidRPr="00B90A61">
        <w:tab/>
        <w:t>10% от вместимости заправочной емкости с реагентом,</w:t>
      </w:r>
    </w:p>
    <w:p w:rsidR="00962B36" w:rsidRDefault="00962B36" w:rsidP="00962B36">
      <w:pPr>
        <w:pStyle w:val="para"/>
        <w:ind w:left="1701" w:firstLine="567"/>
        <w:rPr>
          <w:lang w:val="ru-RU"/>
        </w:rPr>
      </w:pPr>
      <w:r w:rsidRPr="00B90A61">
        <w:rPr>
          <w:lang w:val="ru-RU"/>
        </w:rPr>
        <w:t>в зависимости от того, что произойдет раньше»</w:t>
      </w:r>
      <w:r>
        <w:rPr>
          <w:lang w:val="ru-RU"/>
        </w:rPr>
        <w:t>.</w:t>
      </w:r>
    </w:p>
    <w:p w:rsidR="00962B36" w:rsidRPr="00B90A61" w:rsidRDefault="00962B36" w:rsidP="00962B36">
      <w:pPr>
        <w:pStyle w:val="para"/>
        <w:ind w:left="1134" w:firstLine="0"/>
        <w:rPr>
          <w:lang w:val="ru-RU"/>
        </w:rPr>
      </w:pPr>
      <w:r w:rsidRPr="00B90A61">
        <w:rPr>
          <w:i/>
          <w:lang w:val="ru-RU"/>
        </w:rPr>
        <w:t xml:space="preserve">Пункт 5.5 </w:t>
      </w:r>
      <w:r w:rsidRPr="00CB1B4B">
        <w:rPr>
          <w:iCs/>
          <w:lang w:val="ru-RU"/>
        </w:rPr>
        <w:t>изменить следующим образом</w:t>
      </w:r>
      <w:r w:rsidRPr="00B90A61">
        <w:rPr>
          <w:lang w:val="ru-RU"/>
        </w:rPr>
        <w:t>:</w:t>
      </w:r>
    </w:p>
    <w:p w:rsidR="00962B36" w:rsidRDefault="00962B36" w:rsidP="00962B36">
      <w:pPr>
        <w:pStyle w:val="SingleTxtGR"/>
        <w:tabs>
          <w:tab w:val="clear" w:pos="1701"/>
        </w:tabs>
        <w:ind w:left="2268" w:hanging="1134"/>
      </w:pPr>
      <w:r>
        <w:t>«</w:t>
      </w:r>
      <w:r w:rsidRPr="005E75B0">
        <w:t xml:space="preserve">5.5 </w:t>
      </w:r>
      <w:r w:rsidRPr="005E75B0">
        <w:tab/>
        <w:t xml:space="preserve">В случае прерывания процесса дозировки реагента включается система предупреждения водителя, указанная в пункте 3, которая высвечивает соответствующее предупреждение. </w:t>
      </w:r>
      <w:r w:rsidRPr="00D92EE7">
        <w:t>Если прерывание подачи реагента инициируется системой двигателя, поскольку транспортное средство работает в таком режиме, когда дозированная подача реагента с учетом параметров выбросов, производимых транспортным средством, не требуется, включать систему предупреждения водителя, предусмотренную в пункте 3, необязательно при условии, что изготовитель</w:t>
      </w:r>
      <w:r w:rsidRPr="00F41903">
        <w:t xml:space="preserve"> четко проинформировал орган по официальному утверждению типа о случаях применения таких режимов работы. Если не более чем через 50 км после включения системы предупреждения дозировка реагента не изменяется на требуемую, то применяют предписания пункта 8 ниже, касающиеся стимулирования действий водителя</w:t>
      </w:r>
      <w:r>
        <w:t>».</w:t>
      </w:r>
    </w:p>
    <w:p w:rsidR="00962B36" w:rsidRPr="00CB1B4B" w:rsidRDefault="00962B36" w:rsidP="0037502A">
      <w:pPr>
        <w:pStyle w:val="para"/>
        <w:keepNext/>
        <w:keepLines/>
        <w:pageBreakBefore/>
        <w:ind w:left="1134" w:firstLine="0"/>
        <w:rPr>
          <w:lang w:val="ru-RU"/>
        </w:rPr>
      </w:pPr>
      <w:r w:rsidRPr="00CB1B4B">
        <w:rPr>
          <w:i/>
          <w:lang w:val="ru-RU"/>
        </w:rPr>
        <w:lastRenderedPageBreak/>
        <w:t>Пункт</w:t>
      </w:r>
      <w:r>
        <w:rPr>
          <w:i/>
          <w:lang w:val="ru-RU"/>
        </w:rPr>
        <w:t xml:space="preserve"> 6.2</w:t>
      </w:r>
      <w:r w:rsidRPr="00CB1B4B">
        <w:rPr>
          <w:i/>
          <w:lang w:val="ru-RU"/>
        </w:rPr>
        <w:t>,</w:t>
      </w:r>
      <w:r w:rsidRPr="00CB1B4B">
        <w:rPr>
          <w:lang w:val="ru-RU"/>
        </w:rPr>
        <w:t xml:space="preserve"> </w:t>
      </w:r>
      <w:r w:rsidRPr="00CB1B4B">
        <w:rPr>
          <w:iCs/>
          <w:lang w:val="ru-RU"/>
        </w:rPr>
        <w:t xml:space="preserve">изменить </w:t>
      </w:r>
      <w:r>
        <w:rPr>
          <w:iCs/>
          <w:lang w:val="ru-RU"/>
        </w:rPr>
        <w:t xml:space="preserve">первый подпункт </w:t>
      </w:r>
      <w:r w:rsidRPr="00CB1B4B">
        <w:rPr>
          <w:iCs/>
          <w:lang w:val="ru-RU"/>
        </w:rPr>
        <w:t>следующим образом</w:t>
      </w:r>
      <w:r w:rsidRPr="00CB1B4B">
        <w:rPr>
          <w:lang w:val="ru-RU"/>
        </w:rPr>
        <w:t>:</w:t>
      </w:r>
    </w:p>
    <w:p w:rsidR="00962B36" w:rsidRPr="00D92EE7" w:rsidRDefault="00962B36" w:rsidP="00962B36">
      <w:pPr>
        <w:pStyle w:val="SingleTxtGR"/>
        <w:tabs>
          <w:tab w:val="clear" w:pos="1701"/>
        </w:tabs>
        <w:ind w:left="2268" w:hanging="1134"/>
      </w:pPr>
      <w:r>
        <w:t>«</w:t>
      </w:r>
      <w:r w:rsidRPr="0030084D">
        <w:t>6.2</w:t>
      </w:r>
      <w:r w:rsidRPr="0030084D">
        <w:tab/>
      </w:r>
      <w:r w:rsidRPr="00F41903">
        <w:t xml:space="preserve">Изготовитель должен подтвердить, что использование датчиков, указанных в пункте 6.1 выше, и любых других датчиков на транспортном средстве обеспечивает включение системы предупреждения водителя, указанной в пункте 3 выше, высвечивание информации с соответствующим предупреждением (например, </w:t>
      </w:r>
      <w:r>
        <w:rPr>
          <w:iCs/>
        </w:rPr>
        <w:t>"</w:t>
      </w:r>
      <w:r w:rsidRPr="00F41903">
        <w:t>уровень выбросов слишком высок − проверить мочевину</w:t>
      </w:r>
      <w:r>
        <w:rPr>
          <w:iCs/>
        </w:rPr>
        <w:t>"</w:t>
      </w:r>
      <w:r w:rsidRPr="00F41903">
        <w:t xml:space="preserve">, </w:t>
      </w:r>
      <w:r>
        <w:rPr>
          <w:iCs/>
        </w:rPr>
        <w:t>«</w:t>
      </w:r>
      <w:r w:rsidRPr="00F41903">
        <w:t xml:space="preserve">уровень выбросов слишком высок − проверить </w:t>
      </w:r>
      <w:r>
        <w:t>"</w:t>
      </w:r>
      <w:r w:rsidRPr="00F41903">
        <w:t>адблю</w:t>
      </w:r>
      <w:r>
        <w:t>"»</w:t>
      </w:r>
      <w:r w:rsidRPr="00F41903">
        <w:t xml:space="preserve">, </w:t>
      </w:r>
      <w:r>
        <w:rPr>
          <w:iCs/>
        </w:rPr>
        <w:t>"</w:t>
      </w:r>
      <w:r w:rsidRPr="00F41903">
        <w:t>уровень выбросов слишком высок − проверить реагент</w:t>
      </w:r>
      <w:r>
        <w:rPr>
          <w:iCs/>
        </w:rPr>
        <w:t>"</w:t>
      </w:r>
      <w:r w:rsidRPr="00F41903">
        <w:t>) и включение системы стимулирования действий водителя, указанной в пункте 8.3 ниже, в случае возникновения ситуаций, упомянутых в пунктах 4.2, 5.4 или 5.5 выше</w:t>
      </w:r>
      <w:r>
        <w:t>».</w:t>
      </w:r>
    </w:p>
    <w:p w:rsidR="00962B36" w:rsidRPr="00D92EE7" w:rsidRDefault="00962B36" w:rsidP="00962B36">
      <w:pPr>
        <w:pStyle w:val="para"/>
        <w:ind w:left="1134" w:firstLine="0"/>
        <w:rPr>
          <w:lang w:val="ru-RU"/>
        </w:rPr>
      </w:pPr>
      <w:r w:rsidRPr="00D92EE7">
        <w:rPr>
          <w:i/>
          <w:lang w:val="ru-RU"/>
        </w:rPr>
        <w:t>Пункт 6</w:t>
      </w:r>
      <w:r>
        <w:rPr>
          <w:i/>
          <w:lang w:val="ru-RU"/>
        </w:rPr>
        <w:t>.2</w:t>
      </w:r>
      <w:r w:rsidRPr="00D92EE7">
        <w:rPr>
          <w:i/>
          <w:lang w:val="ru-RU"/>
        </w:rPr>
        <w:t xml:space="preserve">, </w:t>
      </w:r>
      <w:r w:rsidRPr="00D92EE7">
        <w:rPr>
          <w:lang w:val="ru-RU"/>
        </w:rPr>
        <w:t>включить второй подпункт следующего содержания:</w:t>
      </w:r>
    </w:p>
    <w:p w:rsidR="00962B36" w:rsidRPr="00D92EE7" w:rsidRDefault="00962B36" w:rsidP="00962B36">
      <w:pPr>
        <w:pStyle w:val="SingleTxtG"/>
        <w:ind w:left="2268" w:hanging="1134"/>
      </w:pPr>
      <w:r w:rsidRPr="00D92EE7">
        <w:tab/>
        <w:t xml:space="preserve">«Для целей настоящего пункта такие ситуации, как предполагается, возникают в случае превышения применимых предельных значений выбросов </w:t>
      </w:r>
      <w:r w:rsidRPr="00F41903">
        <w:t>NO</w:t>
      </w:r>
      <w:r w:rsidRPr="00D720A2">
        <w:rPr>
          <w:vertAlign w:val="subscript"/>
        </w:rPr>
        <w:t>x</w:t>
      </w:r>
      <w:r w:rsidRPr="00D92EE7">
        <w:t xml:space="preserve">, указанных в таблицах в пункте 5.3.1.4 настоящих Правил, умноженных на коэффициент 1,5. Выбросы </w:t>
      </w:r>
      <w:r w:rsidRPr="00F41903">
        <w:t>NO</w:t>
      </w:r>
      <w:r w:rsidRPr="00D720A2">
        <w:rPr>
          <w:vertAlign w:val="subscript"/>
        </w:rPr>
        <w:t>x</w:t>
      </w:r>
      <w:r w:rsidRPr="00D92EE7">
        <w:t xml:space="preserve"> в ходе испытаний, проводимых с целью продемонстрировать соблюдение этих требований, не должны более чем на 20% превышать вышеуказанный предел»</w:t>
      </w:r>
      <w:r>
        <w:t>.</w:t>
      </w:r>
    </w:p>
    <w:p w:rsidR="00962B36" w:rsidRPr="003E4511" w:rsidRDefault="00962B36" w:rsidP="00962B36">
      <w:pPr>
        <w:pStyle w:val="para"/>
        <w:ind w:left="1134" w:firstLine="0"/>
        <w:rPr>
          <w:lang w:val="ru-RU"/>
        </w:rPr>
      </w:pPr>
      <w:r w:rsidRPr="003E4511">
        <w:rPr>
          <w:i/>
          <w:lang w:val="ru-RU"/>
        </w:rPr>
        <w:t xml:space="preserve">Пункт 8.2 </w:t>
      </w:r>
      <w:r w:rsidRPr="00CB1B4B">
        <w:rPr>
          <w:iCs/>
          <w:lang w:val="ru-RU"/>
        </w:rPr>
        <w:t>изменить</w:t>
      </w:r>
      <w:r w:rsidRPr="003E4511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3E4511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3E4511">
        <w:rPr>
          <w:lang w:val="ru-RU"/>
        </w:rPr>
        <w:t>:</w:t>
      </w:r>
    </w:p>
    <w:p w:rsidR="00962B36" w:rsidRPr="00F41903" w:rsidRDefault="00962B36" w:rsidP="00962B36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Pr="00F41903">
        <w:t>8.2</w:t>
      </w:r>
      <w:r w:rsidRPr="00F41903">
        <w:tab/>
        <w:t>Система стимулирования действий водителя включается самое позднее в тот момент, когда уровень реагента в заправочной емкости достигает:</w:t>
      </w:r>
    </w:p>
    <w:p w:rsidR="00962B36" w:rsidRPr="00F8744F" w:rsidRDefault="00962B36" w:rsidP="00962B36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Pr="00D92EE7">
        <w:t xml:space="preserve">a) </w:t>
      </w:r>
      <w:r w:rsidRPr="00D92EE7">
        <w:tab/>
        <w:t>в случае включения системы предупреждения по крайней мере за 2 400 км до предполагаемого момента полной выработки реагента в заправочной емкости – уровня, который, как ожидается, будет достаточным для</w:t>
      </w:r>
      <w:r w:rsidRPr="00F41903">
        <w:t xml:space="preserve"> средней дальности пробега транспортного средства с полным топливным баком</w:t>
      </w:r>
      <w:r w:rsidRPr="00F8744F">
        <w:t>;</w:t>
      </w:r>
    </w:p>
    <w:p w:rsidR="00962B36" w:rsidRPr="00D92EE7" w:rsidRDefault="00962B36" w:rsidP="00962B36">
      <w:pPr>
        <w:pStyle w:val="SingleTxtGR"/>
        <w:tabs>
          <w:tab w:val="clear" w:pos="1701"/>
        </w:tabs>
        <w:ind w:left="2835" w:hanging="1701"/>
      </w:pPr>
      <w:r>
        <w:tab/>
      </w:r>
      <w:r w:rsidRPr="00D92EE7">
        <w:t xml:space="preserve">b) </w:t>
      </w:r>
      <w:r w:rsidRPr="00D92EE7">
        <w:tab/>
        <w:t xml:space="preserve">в случае включения системы предупреждения на уровне, указанном в пункте 3.5 а), – уровня, который, как ожидается, будет достаточен для прохождения расстояния, соответствующего 75% средней дальности пробега транспортного средства с полным топливным баком; </w:t>
      </w:r>
    </w:p>
    <w:p w:rsidR="00962B36" w:rsidRPr="00D92EE7" w:rsidRDefault="00962B36" w:rsidP="00962B36">
      <w:pPr>
        <w:pStyle w:val="SingleTxtGR"/>
        <w:tabs>
          <w:tab w:val="clear" w:pos="1701"/>
        </w:tabs>
        <w:ind w:left="2835" w:hanging="1701"/>
      </w:pPr>
      <w:r w:rsidRPr="00D92EE7">
        <w:tab/>
        <w:t xml:space="preserve">c) </w:t>
      </w:r>
      <w:r w:rsidRPr="00D92EE7">
        <w:tab/>
        <w:t>в случае включения системы предупреждения на уровне, указанном в пункте 3.5 b), – уровня, соответствующего 5% вместимости емкости с реагентом;</w:t>
      </w:r>
    </w:p>
    <w:p w:rsidR="00962B36" w:rsidRPr="00A82A64" w:rsidRDefault="00962B36" w:rsidP="00962B36">
      <w:pPr>
        <w:pStyle w:val="SingleTxtGR"/>
        <w:tabs>
          <w:tab w:val="clear" w:pos="1701"/>
        </w:tabs>
        <w:ind w:left="2835" w:hanging="1701"/>
      </w:pPr>
      <w:r w:rsidRPr="00D92EE7">
        <w:tab/>
        <w:t xml:space="preserve">d) </w:t>
      </w:r>
      <w:r w:rsidRPr="00D92EE7">
        <w:tab/>
        <w:t>в случае включения системы предупреждения до достижения уровней, указанных в пунктах 3.5 а) и 3.5 b), – одного из уровней, указанных в подпунктах а) или b) настоящего пункта, в зависимости от того, какой из них будет достигнут раньше.</w:t>
      </w:r>
      <w:r w:rsidRPr="00A82A64">
        <w:t xml:space="preserve"> </w:t>
      </w:r>
    </w:p>
    <w:p w:rsidR="00962B36" w:rsidRPr="00D92EE7" w:rsidRDefault="00962B36" w:rsidP="00962B36">
      <w:pPr>
        <w:pStyle w:val="SingleTxtGR"/>
        <w:tabs>
          <w:tab w:val="clear" w:pos="1701"/>
        </w:tabs>
        <w:ind w:left="2268" w:hanging="1134"/>
      </w:pPr>
      <w:r>
        <w:tab/>
      </w:r>
      <w:r w:rsidRPr="00D92EE7">
        <w:t>В случае использования альтернативног</w:t>
      </w:r>
      <w:r>
        <w:t>о варианта, описанного в пункте </w:t>
      </w:r>
      <w:r w:rsidRPr="00D92EE7">
        <w:t>6.1, система должна включаться при возникновении неполадок, указанных в пунктах 4 или 5, или при достижении уровней выбросов NO</w:t>
      </w:r>
      <w:r w:rsidRPr="00D92EE7">
        <w:rPr>
          <w:vertAlign w:val="subscript"/>
        </w:rPr>
        <w:t>x</w:t>
      </w:r>
      <w:r w:rsidRPr="00D92EE7">
        <w:t>, указанных в пункте 6.2.</w:t>
      </w:r>
    </w:p>
    <w:p w:rsidR="00962B36" w:rsidRPr="00F41903" w:rsidRDefault="00962B36" w:rsidP="00962B36">
      <w:pPr>
        <w:pStyle w:val="SingleTxtGR"/>
        <w:tabs>
          <w:tab w:val="clear" w:pos="1701"/>
        </w:tabs>
        <w:ind w:left="2268" w:hanging="1134"/>
      </w:pPr>
      <w:r>
        <w:tab/>
      </w:r>
      <w:r w:rsidRPr="00F41903">
        <w:t xml:space="preserve">В случае выявления факта отсутствия реагента в заправочной емкости и </w:t>
      </w:r>
      <w:r w:rsidRPr="00D92EE7">
        <w:t>сбоев, указанных в пунктах 4, 5 или 6 выше, применяются</w:t>
      </w:r>
      <w:r w:rsidRPr="00F41903">
        <w:t xml:space="preserve"> требования пункта 7 выше, касающиеся записи в блоке памяти информации о неполадках</w:t>
      </w:r>
      <w:r>
        <w:t>».</w:t>
      </w:r>
      <w:r w:rsidRPr="00F41903">
        <w:t xml:space="preserve"> </w:t>
      </w:r>
    </w:p>
    <w:p w:rsidR="00962B36" w:rsidRPr="00D92EE7" w:rsidRDefault="00962B36" w:rsidP="00962B36">
      <w:pPr>
        <w:pStyle w:val="para"/>
        <w:ind w:left="1134" w:firstLine="0"/>
        <w:rPr>
          <w:lang w:val="ru-RU"/>
        </w:rPr>
      </w:pPr>
      <w:r w:rsidRPr="00D92EE7">
        <w:rPr>
          <w:i/>
          <w:lang w:val="ru-RU"/>
        </w:rPr>
        <w:t xml:space="preserve">Пункт 8.3.1 </w:t>
      </w:r>
      <w:r w:rsidRPr="00CB1B4B">
        <w:rPr>
          <w:iCs/>
          <w:lang w:val="ru-RU"/>
        </w:rPr>
        <w:t>изменить</w:t>
      </w:r>
      <w:r w:rsidRPr="00D92EE7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D92EE7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D92EE7">
        <w:rPr>
          <w:lang w:val="ru-RU"/>
        </w:rPr>
        <w:t>:</w:t>
      </w:r>
    </w:p>
    <w:p w:rsidR="00962B36" w:rsidRPr="00D92EE7" w:rsidRDefault="00962B36" w:rsidP="00962B36">
      <w:pPr>
        <w:pStyle w:val="SingleTxtG"/>
        <w:ind w:left="2268" w:hanging="1134"/>
      </w:pPr>
      <w:r w:rsidRPr="00D92EE7">
        <w:t>«8.3.1</w:t>
      </w:r>
      <w:r w:rsidRPr="00D92EE7">
        <w:tab/>
        <w:t xml:space="preserve">Метод </w:t>
      </w:r>
      <w:r>
        <w:rPr>
          <w:iCs/>
        </w:rPr>
        <w:t>"</w:t>
      </w:r>
      <w:r w:rsidRPr="00D92EE7">
        <w:t>блокировки запуска двигателя после обратного отсчета</w:t>
      </w:r>
      <w:r>
        <w:rPr>
          <w:iCs/>
        </w:rPr>
        <w:t>"</w:t>
      </w:r>
      <w:r w:rsidRPr="00D92EE7">
        <w:t xml:space="preserve"> предусматривает обратный отсчет до повторного запуска или оставшееся расстояние пробега после активации системы стимулирования действий водителя. В этот отсчет не включаются случаи запуска двигателя по </w:t>
      </w:r>
      <w:r w:rsidRPr="00D92EE7">
        <w:lastRenderedPageBreak/>
        <w:t xml:space="preserve">команде системы управления транспортным средством, такой как система </w:t>
      </w:r>
      <w:r>
        <w:rPr>
          <w:iCs/>
        </w:rPr>
        <w:t>"</w:t>
      </w:r>
      <w:r w:rsidRPr="00D92EE7">
        <w:t>старт−стоп</w:t>
      </w:r>
      <w:r>
        <w:rPr>
          <w:iCs/>
        </w:rPr>
        <w:t>"</w:t>
      </w:r>
      <w:r w:rsidRPr="00D92EE7">
        <w:t xml:space="preserve">. </w:t>
      </w:r>
    </w:p>
    <w:p w:rsidR="00962B36" w:rsidRPr="00D77BFD" w:rsidRDefault="00962B36" w:rsidP="00962B36">
      <w:pPr>
        <w:pStyle w:val="SingleTxtG"/>
        <w:ind w:left="2268" w:hanging="1134"/>
      </w:pPr>
      <w:r w:rsidRPr="00D92EE7">
        <w:t>8.3.1.1</w:t>
      </w:r>
      <w:r w:rsidRPr="00D92EE7">
        <w:tab/>
      </w:r>
      <w:r>
        <w:t>В</w:t>
      </w:r>
      <w:r w:rsidRPr="00D92EE7">
        <w:t xml:space="preserve"> случае включения системы </w:t>
      </w:r>
      <w:r>
        <w:t>предупреждения</w:t>
      </w:r>
      <w:r w:rsidRPr="00D92EE7">
        <w:t xml:space="preserve"> по крайней мере за 2</w:t>
      </w:r>
      <w:r>
        <w:t> </w:t>
      </w:r>
      <w:r w:rsidRPr="00D92EE7">
        <w:t>400</w:t>
      </w:r>
      <w:r>
        <w:t> </w:t>
      </w:r>
      <w:r w:rsidRPr="00D92EE7">
        <w:t>км до предполагаемого момента полной выработки реагента в заправочной емкости</w:t>
      </w:r>
      <w:r>
        <w:t xml:space="preserve"> или сбоев, описанных в пунктах 4 либо 5, или </w:t>
      </w:r>
      <w:r w:rsidRPr="00D77BFD">
        <w:t xml:space="preserve">при достижении уровней выбросов </w:t>
      </w:r>
      <w:r w:rsidRPr="00D92EE7">
        <w:t>NO</w:t>
      </w:r>
      <w:r w:rsidRPr="00D92EE7">
        <w:rPr>
          <w:vertAlign w:val="subscript"/>
        </w:rPr>
        <w:t>x</w:t>
      </w:r>
      <w:r w:rsidRPr="00D77BFD">
        <w:t>, указанных в пункте 6.2</w:t>
      </w:r>
      <w:r>
        <w:t xml:space="preserve">, </w:t>
      </w:r>
      <w:bookmarkStart w:id="3" w:name="OLE_LINK20"/>
      <w:bookmarkStart w:id="4" w:name="OLE_LINK21"/>
      <w:r>
        <w:t>п</w:t>
      </w:r>
      <w:r w:rsidRPr="00D77BFD">
        <w:t>овторный запуск двигателя блокируется сразу же после того, как</w:t>
      </w:r>
      <w:bookmarkEnd w:id="3"/>
      <w:bookmarkEnd w:id="4"/>
      <w:r>
        <w:t xml:space="preserve"> транспортное средство проходит расстояние, которое</w:t>
      </w:r>
      <w:r w:rsidRPr="00D77BFD">
        <w:t>, как ожидается, будет достаточным для средней дальности пробега транспортного средства с полным топливным баком после включения системы стимулирования</w:t>
      </w:r>
      <w:r>
        <w:t>.</w:t>
      </w:r>
    </w:p>
    <w:p w:rsidR="00962B36" w:rsidRDefault="00962B36" w:rsidP="00962B36">
      <w:pPr>
        <w:pStyle w:val="SingleTxtG"/>
        <w:ind w:left="2268" w:hanging="1134"/>
      </w:pPr>
      <w:r w:rsidRPr="009711ED">
        <w:t>8.3.1.2</w:t>
      </w:r>
      <w:r w:rsidRPr="009711ED">
        <w:tab/>
      </w:r>
      <w:r>
        <w:t>В</w:t>
      </w:r>
      <w:r w:rsidRPr="009711ED">
        <w:t xml:space="preserve"> случае включения системы стимулирования действий водителя на уровне, указанном в пункте 8.2 </w:t>
      </w:r>
      <w:r>
        <w:t>b</w:t>
      </w:r>
      <w:r w:rsidRPr="009711ED">
        <w:t xml:space="preserve">), </w:t>
      </w:r>
      <w:r>
        <w:t>п</w:t>
      </w:r>
      <w:r w:rsidRPr="00D77BFD">
        <w:t>овторный запуск двигателя блокируется сразу же после того, как</w:t>
      </w:r>
      <w:r w:rsidRPr="009711ED">
        <w:t xml:space="preserve"> транспортное средство прошло расстояние, которое, как ожидается, будет достаточным для прохождения расстояния, соответствующего 75% средней дальности пробега транспортного средства с полным топливным баком после включения системы стимулирования</w:t>
      </w:r>
      <w:r>
        <w:t>.</w:t>
      </w:r>
      <w:r w:rsidRPr="009711ED">
        <w:t xml:space="preserve"> </w:t>
      </w:r>
    </w:p>
    <w:p w:rsidR="00962B36" w:rsidRDefault="00962B36" w:rsidP="00962B36">
      <w:pPr>
        <w:pStyle w:val="SingleTxtG"/>
        <w:ind w:left="2268" w:hanging="1134"/>
      </w:pPr>
      <w:r w:rsidRPr="009711ED">
        <w:t>8.3.1.3</w:t>
      </w:r>
      <w:r w:rsidRPr="009711ED">
        <w:tab/>
      </w:r>
      <w:r>
        <w:t>В</w:t>
      </w:r>
      <w:r w:rsidRPr="009711ED">
        <w:t xml:space="preserve"> случае включения системы стимулирования действий водителя на уровне, указанном в пункте 8.2 с), </w:t>
      </w:r>
      <w:r>
        <w:t>п</w:t>
      </w:r>
      <w:r w:rsidRPr="00D77BFD">
        <w:t>овторный запуск двигателя блокируется сразу же после того, как</w:t>
      </w:r>
      <w:r w:rsidRPr="009711ED">
        <w:t xml:space="preserve"> транспортное средство прошло расстояние, которое, как ожидается, будет достаточным для средней дальности пробега транспортного средства с 5% объема реагента в заправочной емкости после включения системы стимулирования</w:t>
      </w:r>
      <w:r>
        <w:t>.</w:t>
      </w:r>
      <w:r w:rsidRPr="009711ED">
        <w:t xml:space="preserve"> </w:t>
      </w:r>
    </w:p>
    <w:p w:rsidR="00962B36" w:rsidRDefault="00962B36" w:rsidP="00962B36">
      <w:pPr>
        <w:pStyle w:val="SingleTxtG"/>
        <w:ind w:left="2268" w:hanging="1134"/>
        <w:rPr>
          <w:iCs/>
        </w:rPr>
      </w:pPr>
      <w:r w:rsidRPr="00A43FCD">
        <w:t>8.3.1.4</w:t>
      </w:r>
      <w:r w:rsidRPr="00A43FCD">
        <w:tab/>
      </w:r>
      <w:r>
        <w:t>Кроме</w:t>
      </w:r>
      <w:r w:rsidRPr="00A43FCD">
        <w:t xml:space="preserve"> </w:t>
      </w:r>
      <w:r>
        <w:t>того</w:t>
      </w:r>
      <w:r w:rsidRPr="00A43FCD">
        <w:t xml:space="preserve">, </w:t>
      </w:r>
      <w:r>
        <w:t>п</w:t>
      </w:r>
      <w:r w:rsidRPr="00D77BFD">
        <w:t>овторный</w:t>
      </w:r>
      <w:r w:rsidRPr="00A43FCD">
        <w:t xml:space="preserve"> </w:t>
      </w:r>
      <w:r w:rsidRPr="00D77BFD">
        <w:t>запуск</w:t>
      </w:r>
      <w:r w:rsidRPr="00A43FCD">
        <w:t xml:space="preserve"> </w:t>
      </w:r>
      <w:r w:rsidRPr="00D77BFD">
        <w:t>двигателя</w:t>
      </w:r>
      <w:r w:rsidRPr="00A43FCD">
        <w:t xml:space="preserve"> </w:t>
      </w:r>
      <w:r w:rsidRPr="00D77BFD">
        <w:t>блокируется</w:t>
      </w:r>
      <w:r w:rsidRPr="00A43FCD">
        <w:t xml:space="preserve"> </w:t>
      </w:r>
      <w:r w:rsidRPr="00D77BFD">
        <w:t>сразу</w:t>
      </w:r>
      <w:r w:rsidRPr="00A43FCD">
        <w:t xml:space="preserve"> </w:t>
      </w:r>
      <w:r w:rsidRPr="00D77BFD">
        <w:t>же</w:t>
      </w:r>
      <w:r w:rsidRPr="00A43FCD">
        <w:t xml:space="preserve"> </w:t>
      </w:r>
      <w:r w:rsidRPr="00D77BFD">
        <w:t>после</w:t>
      </w:r>
      <w:r w:rsidRPr="00A43FCD">
        <w:t xml:space="preserve"> полной выработки реагента в заправочной емкости</w:t>
      </w:r>
      <w:r>
        <w:t>, если это происходит до ситуаций, указанных в пунктах</w:t>
      </w:r>
      <w:r w:rsidRPr="00D77BFD">
        <w:t xml:space="preserve"> </w:t>
      </w:r>
      <w:r w:rsidRPr="00A43FCD">
        <w:rPr>
          <w:iCs/>
        </w:rPr>
        <w:t>8.3.1.1, 8.3.1.2</w:t>
      </w:r>
      <w:r>
        <w:rPr>
          <w:iCs/>
        </w:rPr>
        <w:t xml:space="preserve"> или</w:t>
      </w:r>
      <w:r w:rsidRPr="00A43FCD">
        <w:rPr>
          <w:iCs/>
        </w:rPr>
        <w:t xml:space="preserve"> 8.3.1</w:t>
      </w:r>
      <w:r>
        <w:rPr>
          <w:iCs/>
        </w:rPr>
        <w:t>».</w:t>
      </w:r>
    </w:p>
    <w:p w:rsidR="00962B36" w:rsidRPr="00A43FCD" w:rsidRDefault="00962B36" w:rsidP="00962B36">
      <w:pPr>
        <w:pStyle w:val="SingleTxtG"/>
      </w:pPr>
      <w:r w:rsidRPr="00A43FCD">
        <w:rPr>
          <w:i/>
        </w:rPr>
        <w:t xml:space="preserve">Пункт 8.3.4 </w:t>
      </w:r>
      <w:r w:rsidRPr="00CB1B4B">
        <w:rPr>
          <w:iCs/>
        </w:rPr>
        <w:t>изменить</w:t>
      </w:r>
      <w:r w:rsidRPr="00A43FCD">
        <w:rPr>
          <w:iCs/>
        </w:rPr>
        <w:t xml:space="preserve"> </w:t>
      </w:r>
      <w:r w:rsidRPr="00CB1B4B">
        <w:rPr>
          <w:iCs/>
        </w:rPr>
        <w:t>следующим</w:t>
      </w:r>
      <w:r w:rsidRPr="00A43FCD">
        <w:rPr>
          <w:iCs/>
        </w:rPr>
        <w:t xml:space="preserve"> </w:t>
      </w:r>
      <w:r w:rsidRPr="00CB1B4B">
        <w:rPr>
          <w:iCs/>
        </w:rPr>
        <w:t>образом</w:t>
      </w:r>
      <w:r w:rsidRPr="00A43FCD">
        <w:t>:</w:t>
      </w:r>
    </w:p>
    <w:p w:rsidR="00962B36" w:rsidRPr="00A43FCD" w:rsidRDefault="00962B36" w:rsidP="00962B36">
      <w:pPr>
        <w:pStyle w:val="SingleTxtG"/>
        <w:ind w:left="2268" w:hanging="1134"/>
      </w:pPr>
      <w:r>
        <w:t>«</w:t>
      </w:r>
      <w:r w:rsidRPr="00A43FCD">
        <w:t>8.3.4</w:t>
      </w:r>
      <w:r w:rsidRPr="00A43FCD">
        <w:tab/>
        <w:t xml:space="preserve">Метод </w:t>
      </w:r>
      <w:r>
        <w:rPr>
          <w:iCs/>
        </w:rPr>
        <w:t>"</w:t>
      </w:r>
      <w:r w:rsidRPr="00A43FCD">
        <w:t>ограничения эффективности</w:t>
      </w:r>
      <w:r>
        <w:rPr>
          <w:iCs/>
        </w:rPr>
        <w:t>"</w:t>
      </w:r>
      <w:r w:rsidRPr="00A43FCD">
        <w:t xml:space="preserve"> предусматривает ограничение скорости транспортного средства после активации системы контроля. Степень ограничения скорости должна быть заметна для водителя и существенно ограничивать максимальную скорость транспортного средства.</w:t>
      </w:r>
      <w:r>
        <w:t xml:space="preserve"> </w:t>
      </w:r>
      <w:r w:rsidRPr="00A43FCD">
        <w:t>Такое ограничение начинает действовать постепенно или после запуска двигателя</w:t>
      </w:r>
      <w:r>
        <w:t xml:space="preserve">. </w:t>
      </w:r>
      <w:r w:rsidRPr="00A43FCD">
        <w:t>Незадолго до блокировки запуска двигателя скорость транспортного средства должна составлять не более 50 км/ч.</w:t>
      </w:r>
    </w:p>
    <w:p w:rsidR="00962B36" w:rsidRDefault="00962B36" w:rsidP="00962B36">
      <w:pPr>
        <w:pStyle w:val="SingleTxtG"/>
        <w:ind w:left="2268" w:hanging="1134"/>
      </w:pPr>
      <w:r w:rsidRPr="00A43FCD">
        <w:t>8.3.4.1</w:t>
      </w:r>
      <w:r w:rsidRPr="00A43FCD">
        <w:tab/>
      </w:r>
      <w:r>
        <w:t>В</w:t>
      </w:r>
      <w:r w:rsidRPr="00D92EE7">
        <w:t xml:space="preserve"> случае включения системы </w:t>
      </w:r>
      <w:r>
        <w:t>предупреждения</w:t>
      </w:r>
      <w:r w:rsidRPr="00D92EE7">
        <w:t xml:space="preserve"> по крайней мере за 2</w:t>
      </w:r>
      <w:r>
        <w:t> </w:t>
      </w:r>
      <w:r w:rsidRPr="00D92EE7">
        <w:t>400</w:t>
      </w:r>
      <w:r>
        <w:t> </w:t>
      </w:r>
      <w:r w:rsidRPr="00D92EE7">
        <w:t>км до предполагаемого момента полной выработки реагента в заправочной емкости</w:t>
      </w:r>
      <w:r>
        <w:t xml:space="preserve"> или сбоев, описанных в пунктах 4 либо 5, или </w:t>
      </w:r>
      <w:r w:rsidRPr="00D77BFD">
        <w:t xml:space="preserve">при достижении уровней выбросов </w:t>
      </w:r>
      <w:r w:rsidRPr="00D92EE7">
        <w:t>NO</w:t>
      </w:r>
      <w:r w:rsidRPr="00D92EE7">
        <w:rPr>
          <w:vertAlign w:val="subscript"/>
        </w:rPr>
        <w:t>x</w:t>
      </w:r>
      <w:r w:rsidRPr="00D77BFD">
        <w:t>, указанных в пункте 6.2</w:t>
      </w:r>
      <w:r>
        <w:t>, п</w:t>
      </w:r>
      <w:r w:rsidRPr="00D77BFD">
        <w:t>овторный запуск двигателя блокируется сразу же после того, как</w:t>
      </w:r>
      <w:r>
        <w:t xml:space="preserve"> транспортное средство проходит расстояние, которое</w:t>
      </w:r>
      <w:r w:rsidRPr="00D77BFD">
        <w:t>, как ожидается, будет достаточным для средней дальности пробега транспортного средства с полным топливным баком после включения системы стимулирования</w:t>
      </w:r>
      <w:r>
        <w:t>.</w:t>
      </w:r>
    </w:p>
    <w:p w:rsidR="00962B36" w:rsidRDefault="00962B36" w:rsidP="00962B36">
      <w:pPr>
        <w:pStyle w:val="SingleTxtG"/>
        <w:ind w:left="2268" w:hanging="1134"/>
      </w:pPr>
      <w:r w:rsidRPr="00A43FCD">
        <w:t>8.3.4.2</w:t>
      </w:r>
      <w:r w:rsidRPr="00A43FCD">
        <w:tab/>
      </w:r>
      <w:r>
        <w:t>В</w:t>
      </w:r>
      <w:r w:rsidRPr="009711ED">
        <w:t xml:space="preserve"> случае включения системы стимулирования действий водителя на уровне, указанном в пункте 8.2 </w:t>
      </w:r>
      <w:r>
        <w:t>b</w:t>
      </w:r>
      <w:r w:rsidRPr="009711ED">
        <w:t xml:space="preserve">), </w:t>
      </w:r>
      <w:r>
        <w:t>п</w:t>
      </w:r>
      <w:r w:rsidRPr="00D77BFD">
        <w:t>овторный запуск двигателя блокируется сразу же после того, как</w:t>
      </w:r>
      <w:r w:rsidRPr="009711ED">
        <w:t xml:space="preserve"> транспортное средство прошло расстояние, которое, как ожидается, будет достаточным для прохождения расстояния, соответствующего 75% средней дальности пробега транспортного средства с полным топливным баком после включения системы стимулирования</w:t>
      </w:r>
      <w:r>
        <w:t>.</w:t>
      </w:r>
      <w:r w:rsidRPr="009711ED">
        <w:t xml:space="preserve"> </w:t>
      </w:r>
    </w:p>
    <w:p w:rsidR="00962B36" w:rsidRDefault="00962B36" w:rsidP="00962B36">
      <w:pPr>
        <w:pStyle w:val="SingleTxtG"/>
        <w:ind w:left="2268" w:hanging="1134"/>
      </w:pPr>
      <w:r w:rsidRPr="00A43FCD">
        <w:t>8.3.4.3</w:t>
      </w:r>
      <w:r w:rsidRPr="00A43FCD">
        <w:tab/>
      </w:r>
      <w:r>
        <w:t>В</w:t>
      </w:r>
      <w:r w:rsidRPr="009711ED">
        <w:t xml:space="preserve"> случае включения системы стимулирования действий водителя на уровне, указанном в пункте 8.2 с), </w:t>
      </w:r>
      <w:r>
        <w:t>п</w:t>
      </w:r>
      <w:r w:rsidRPr="00D77BFD">
        <w:t>овторный запуск двигателя блокируется сразу же после того, как</w:t>
      </w:r>
      <w:r w:rsidRPr="009711ED">
        <w:t xml:space="preserve"> транспортное средство прошло расстояние, которое, как ожидается, будет достаточным для средней </w:t>
      </w:r>
      <w:r w:rsidRPr="009711ED">
        <w:lastRenderedPageBreak/>
        <w:t>дальности пробега транспортного средства с 5% объема реагента в заправочной емкости после включения системы стимулирования</w:t>
      </w:r>
      <w:r>
        <w:t>.</w:t>
      </w:r>
      <w:r w:rsidRPr="009711ED">
        <w:t xml:space="preserve"> </w:t>
      </w:r>
    </w:p>
    <w:p w:rsidR="00962B36" w:rsidRPr="00E11A94" w:rsidRDefault="00962B36" w:rsidP="00962B36">
      <w:pPr>
        <w:pStyle w:val="SingleTxtG"/>
        <w:ind w:left="2259" w:hanging="1125"/>
      </w:pPr>
      <w:r w:rsidRPr="00A43FCD">
        <w:t>8.3.4.4</w:t>
      </w:r>
      <w:r w:rsidRPr="00A43FCD">
        <w:tab/>
      </w:r>
      <w:r>
        <w:tab/>
        <w:t>Кроме</w:t>
      </w:r>
      <w:r w:rsidRPr="00A43FCD">
        <w:t xml:space="preserve"> </w:t>
      </w:r>
      <w:r>
        <w:t>того</w:t>
      </w:r>
      <w:r w:rsidRPr="00A43FCD">
        <w:t xml:space="preserve">, </w:t>
      </w:r>
      <w:r>
        <w:t>п</w:t>
      </w:r>
      <w:r w:rsidRPr="00D77BFD">
        <w:t>овторный</w:t>
      </w:r>
      <w:r w:rsidRPr="00A43FCD">
        <w:t xml:space="preserve"> </w:t>
      </w:r>
      <w:r w:rsidRPr="00D77BFD">
        <w:t>запуск</w:t>
      </w:r>
      <w:r w:rsidRPr="00A43FCD">
        <w:t xml:space="preserve"> </w:t>
      </w:r>
      <w:r w:rsidRPr="00D77BFD">
        <w:t>двигателя</w:t>
      </w:r>
      <w:r w:rsidRPr="00A43FCD">
        <w:t xml:space="preserve"> </w:t>
      </w:r>
      <w:r w:rsidRPr="00D77BFD">
        <w:t>блокируется</w:t>
      </w:r>
      <w:r w:rsidRPr="00A43FCD">
        <w:t xml:space="preserve"> </w:t>
      </w:r>
      <w:r w:rsidRPr="00D77BFD">
        <w:t>сразу</w:t>
      </w:r>
      <w:r w:rsidRPr="00A43FCD">
        <w:t xml:space="preserve"> </w:t>
      </w:r>
      <w:r w:rsidRPr="00D77BFD">
        <w:t>же</w:t>
      </w:r>
      <w:r w:rsidRPr="00A43FCD">
        <w:t xml:space="preserve"> </w:t>
      </w:r>
      <w:r w:rsidRPr="00D77BFD">
        <w:t>после</w:t>
      </w:r>
      <w:r w:rsidRPr="00A43FCD">
        <w:t xml:space="preserve"> полной выработки реагента в заправочной емкости</w:t>
      </w:r>
      <w:r>
        <w:t>, если это происходит до ситуаций, указанных в пунктах</w:t>
      </w:r>
      <w:r w:rsidRPr="00D77BFD">
        <w:t xml:space="preserve"> </w:t>
      </w:r>
      <w:r w:rsidRPr="00152668">
        <w:rPr>
          <w:iCs/>
        </w:rPr>
        <w:t xml:space="preserve">8.3.4.1, 8.3.4.2 </w:t>
      </w:r>
      <w:r>
        <w:rPr>
          <w:iCs/>
        </w:rPr>
        <w:t>или</w:t>
      </w:r>
      <w:r w:rsidRPr="00152668">
        <w:rPr>
          <w:iCs/>
        </w:rPr>
        <w:t xml:space="preserve"> 8.3.4.3</w:t>
      </w:r>
      <w:r>
        <w:rPr>
          <w:iCs/>
        </w:rPr>
        <w:t>».</w:t>
      </w:r>
    </w:p>
    <w:p w:rsidR="00962B36" w:rsidRPr="00152668" w:rsidRDefault="00962B36" w:rsidP="00962B36">
      <w:pPr>
        <w:pStyle w:val="SingleTxtG"/>
        <w:tabs>
          <w:tab w:val="left" w:pos="1985"/>
        </w:tabs>
        <w:ind w:left="1985" w:hanging="851"/>
      </w:pPr>
      <w:r w:rsidRPr="00152668">
        <w:rPr>
          <w:i/>
        </w:rPr>
        <w:t xml:space="preserve">Пункт 8.4 </w:t>
      </w:r>
      <w:r w:rsidRPr="00CB1B4B">
        <w:rPr>
          <w:iCs/>
        </w:rPr>
        <w:t>изменить</w:t>
      </w:r>
      <w:r w:rsidRPr="00152668">
        <w:rPr>
          <w:iCs/>
        </w:rPr>
        <w:t xml:space="preserve"> </w:t>
      </w:r>
      <w:r w:rsidRPr="00CB1B4B">
        <w:rPr>
          <w:iCs/>
        </w:rPr>
        <w:t>следующим</w:t>
      </w:r>
      <w:r w:rsidRPr="00152668">
        <w:rPr>
          <w:iCs/>
        </w:rPr>
        <w:t xml:space="preserve"> </w:t>
      </w:r>
      <w:r w:rsidRPr="00CB1B4B">
        <w:rPr>
          <w:iCs/>
        </w:rPr>
        <w:t>образом</w:t>
      </w:r>
      <w:r w:rsidRPr="00152668">
        <w:t>:</w:t>
      </w:r>
    </w:p>
    <w:p w:rsidR="00962B36" w:rsidRDefault="00962B36" w:rsidP="00962B36">
      <w:pPr>
        <w:pStyle w:val="SingleTxtGR"/>
        <w:tabs>
          <w:tab w:val="clear" w:pos="1701"/>
        </w:tabs>
        <w:ind w:left="2268" w:hanging="1134"/>
      </w:pPr>
      <w:r>
        <w:t>«</w:t>
      </w:r>
      <w:r w:rsidRPr="00F41903">
        <w:t>8.4</w:t>
      </w:r>
      <w:r w:rsidRPr="00F41903">
        <w:tab/>
        <w:t xml:space="preserve">После </w:t>
      </w:r>
      <w:r w:rsidRPr="00152668">
        <w:t>блокировки запуска двигателя системой стимулирования действий водителя система стимулирования деактивируется только после устранения сбоев, указанных в пунктах 4, 5 или 6 настоящего добавления, или в том случае, если количество реагента, добавленного в транспортное средство, отвечает по крайней мере одному из следующих критериев:</w:t>
      </w:r>
    </w:p>
    <w:p w:rsidR="00962B36" w:rsidRPr="00152668" w:rsidRDefault="00962B36" w:rsidP="00962B36">
      <w:pPr>
        <w:pStyle w:val="SingleTxtGR"/>
        <w:tabs>
          <w:tab w:val="clear" w:pos="1701"/>
        </w:tabs>
        <w:ind w:left="2835" w:hanging="1701"/>
      </w:pPr>
      <w:r>
        <w:tab/>
      </w:r>
      <w:r w:rsidRPr="00152668">
        <w:t>a)</w:t>
      </w:r>
      <w:r w:rsidRPr="00152668">
        <w:tab/>
        <w:t>количеств</w:t>
      </w:r>
      <w:r>
        <w:t>о</w:t>
      </w:r>
      <w:r w:rsidRPr="00152668">
        <w:t>, как ожидается, достаточно для прохождения расстояния, соответствующего 150% средней дальности пробега с полным топливным баком; или</w:t>
      </w:r>
    </w:p>
    <w:p w:rsidR="00962B36" w:rsidRPr="00152668" w:rsidRDefault="00962B36" w:rsidP="00962B36">
      <w:pPr>
        <w:pStyle w:val="SingleTxtGR"/>
        <w:tabs>
          <w:tab w:val="clear" w:pos="1701"/>
        </w:tabs>
        <w:ind w:left="2829" w:hanging="1695"/>
      </w:pPr>
      <w:r w:rsidRPr="00152668">
        <w:tab/>
        <w:t>b)</w:t>
      </w:r>
      <w:bookmarkStart w:id="5" w:name="_GoBack"/>
      <w:bookmarkEnd w:id="5"/>
      <w:r w:rsidRPr="00152668">
        <w:tab/>
        <w:t>количество составляет не менее 10% вместимости емкости с реагентом.</w:t>
      </w:r>
    </w:p>
    <w:p w:rsidR="00962B36" w:rsidRDefault="00962B36" w:rsidP="0087257F">
      <w:pPr>
        <w:pStyle w:val="SingleTxtGR"/>
        <w:tabs>
          <w:tab w:val="clear" w:pos="1701"/>
        </w:tabs>
        <w:ind w:left="2268" w:hanging="1134"/>
      </w:pPr>
      <w:r>
        <w:tab/>
      </w:r>
      <w:r w:rsidRPr="00152668">
        <w:t>После ремонта, проведенного в целях устранения неисправности, вызвавшей включение БД-системы в соответствии с пунктом 7.2 выше, систему стимулирования можно перезагрузить через последовательный порт БД (например, с помощью универсального сканирующего устройства) в целях восстановления функции запуска двигателя транспортного средства для проведения самодиагностики. Транспортное средство должно пройти не менее</w:t>
      </w:r>
      <w:r w:rsidRPr="00F41903">
        <w:t> </w:t>
      </w:r>
      <w:r w:rsidRPr="00152668">
        <w:t>50 км для подтверждения устранения неисправности в результате ремонта. Если после этого подтверждения неисправность остается, система стимулирования действий водителя полностью реактивируется»</w:t>
      </w:r>
      <w:r>
        <w:t>.</w:t>
      </w:r>
    </w:p>
    <w:p w:rsidR="00962B36" w:rsidRPr="00152668" w:rsidRDefault="00962B36" w:rsidP="00962B36">
      <w:pPr>
        <w:pStyle w:val="SingleTxtG"/>
        <w:tabs>
          <w:tab w:val="left" w:pos="1985"/>
        </w:tabs>
        <w:ind w:left="1985" w:hanging="851"/>
      </w:pPr>
      <w:r w:rsidRPr="00261185">
        <w:rPr>
          <w:i/>
          <w:iCs/>
        </w:rPr>
        <w:t>Исключить п</w:t>
      </w:r>
      <w:r w:rsidRPr="00152668">
        <w:rPr>
          <w:i/>
        </w:rPr>
        <w:t>ункт 8.6</w:t>
      </w:r>
      <w:r>
        <w:rPr>
          <w:i/>
        </w:rPr>
        <w:t xml:space="preserve"> и изменить нумерацию п</w:t>
      </w:r>
      <w:r w:rsidRPr="00152668">
        <w:rPr>
          <w:i/>
        </w:rPr>
        <w:t>ункт</w:t>
      </w:r>
      <w:r>
        <w:rPr>
          <w:i/>
        </w:rPr>
        <w:t>ов</w:t>
      </w:r>
      <w:r w:rsidRPr="00152668">
        <w:rPr>
          <w:i/>
        </w:rPr>
        <w:t xml:space="preserve"> 8.7</w:t>
      </w:r>
      <w:r>
        <w:rPr>
          <w:i/>
        </w:rPr>
        <w:t xml:space="preserve"> и</w:t>
      </w:r>
      <w:r w:rsidRPr="00152668">
        <w:rPr>
          <w:i/>
        </w:rPr>
        <w:t xml:space="preserve"> 8.8</w:t>
      </w:r>
      <w:r>
        <w:rPr>
          <w:i/>
        </w:rPr>
        <w:t xml:space="preserve"> на</w:t>
      </w:r>
      <w:r w:rsidRPr="00152668">
        <w:rPr>
          <w:i/>
        </w:rPr>
        <w:t xml:space="preserve"> 8.6</w:t>
      </w:r>
      <w:r>
        <w:rPr>
          <w:i/>
        </w:rPr>
        <w:t xml:space="preserve"> и</w:t>
      </w:r>
      <w:r w:rsidRPr="00152668">
        <w:rPr>
          <w:i/>
        </w:rPr>
        <w:t xml:space="preserve"> 8.7.</w:t>
      </w:r>
    </w:p>
    <w:p w:rsidR="00962B36" w:rsidRPr="00E11A94" w:rsidRDefault="00962B36" w:rsidP="00962B36">
      <w:pPr>
        <w:keepNext/>
        <w:keepLines/>
        <w:tabs>
          <w:tab w:val="left" w:pos="1985"/>
        </w:tabs>
        <w:spacing w:after="120"/>
        <w:ind w:left="1985" w:right="1134" w:hanging="851"/>
        <w:jc w:val="both"/>
      </w:pPr>
      <w:r w:rsidRPr="00E11A94">
        <w:rPr>
          <w:i/>
        </w:rPr>
        <w:t xml:space="preserve">Пункт 9.3 </w:t>
      </w:r>
      <w:r w:rsidRPr="00CB1B4B">
        <w:rPr>
          <w:iCs/>
        </w:rPr>
        <w:t>изменить</w:t>
      </w:r>
      <w:r w:rsidRPr="00E11A94">
        <w:rPr>
          <w:iCs/>
        </w:rPr>
        <w:t xml:space="preserve"> </w:t>
      </w:r>
      <w:r w:rsidRPr="00CB1B4B">
        <w:rPr>
          <w:iCs/>
        </w:rPr>
        <w:t>следующим</w:t>
      </w:r>
      <w:r w:rsidRPr="00E11A94">
        <w:rPr>
          <w:iCs/>
        </w:rPr>
        <w:t xml:space="preserve"> </w:t>
      </w:r>
      <w:r w:rsidRPr="00CB1B4B">
        <w:rPr>
          <w:iCs/>
        </w:rPr>
        <w:t>образом</w:t>
      </w:r>
      <w:r w:rsidRPr="00E11A94">
        <w:t>:</w:t>
      </w:r>
    </w:p>
    <w:p w:rsidR="00962B36" w:rsidRPr="00F41903" w:rsidRDefault="00962B36" w:rsidP="00962B36">
      <w:pPr>
        <w:pStyle w:val="SingleTxtGR"/>
        <w:tabs>
          <w:tab w:val="clear" w:pos="1701"/>
        </w:tabs>
        <w:ind w:left="2268" w:hanging="1134"/>
      </w:pPr>
      <w:r>
        <w:t>«</w:t>
      </w:r>
      <w:r w:rsidRPr="00F41903">
        <w:t>9.3</w:t>
      </w:r>
      <w:r w:rsidRPr="00F41903">
        <w:tab/>
        <w:t xml:space="preserve">В инструкциях указывается, подлежат ли потребляемые реагенты </w:t>
      </w:r>
      <w:r w:rsidRPr="00152668">
        <w:t>пополнению оператором транспортного средства в интервале между работами по обычному техническому обслуживанию. В них также указывается, каким образом оператору транспортного средства следует пополнять</w:t>
      </w:r>
      <w:r w:rsidRPr="00F41903">
        <w:t xml:space="preserve"> реагентом заправочную емкость. Эта информация должна также содержать указание на примерный показатель расхода реагента для данного типа транспортного средства и интервалы, через которые его следует пополнять</w:t>
      </w:r>
      <w:r>
        <w:t>».</w:t>
      </w:r>
    </w:p>
    <w:p w:rsidR="00962B36" w:rsidRPr="00152668" w:rsidRDefault="00962B36" w:rsidP="00962B36">
      <w:pPr>
        <w:keepNext/>
        <w:keepLines/>
        <w:tabs>
          <w:tab w:val="left" w:pos="1985"/>
        </w:tabs>
        <w:spacing w:after="120"/>
        <w:ind w:left="1985" w:right="1134" w:hanging="851"/>
        <w:jc w:val="both"/>
      </w:pPr>
      <w:r w:rsidRPr="00152668">
        <w:rPr>
          <w:i/>
        </w:rPr>
        <w:t xml:space="preserve">Пункт 9.4 </w:t>
      </w:r>
      <w:r w:rsidRPr="00CB1B4B">
        <w:rPr>
          <w:iCs/>
        </w:rPr>
        <w:t>изменить</w:t>
      </w:r>
      <w:r w:rsidRPr="00152668">
        <w:rPr>
          <w:iCs/>
        </w:rPr>
        <w:t xml:space="preserve"> </w:t>
      </w:r>
      <w:r w:rsidRPr="00CB1B4B">
        <w:rPr>
          <w:iCs/>
        </w:rPr>
        <w:t>следующим</w:t>
      </w:r>
      <w:r w:rsidRPr="00152668">
        <w:rPr>
          <w:iCs/>
        </w:rPr>
        <w:t xml:space="preserve"> </w:t>
      </w:r>
      <w:r w:rsidRPr="00CB1B4B">
        <w:rPr>
          <w:iCs/>
        </w:rPr>
        <w:t>образом</w:t>
      </w:r>
      <w:r w:rsidRPr="00152668">
        <w:t>:</w:t>
      </w:r>
    </w:p>
    <w:p w:rsidR="00962B36" w:rsidRPr="00F41903" w:rsidRDefault="00962B36" w:rsidP="00962B36">
      <w:pPr>
        <w:pStyle w:val="SingleTxtGR"/>
        <w:tabs>
          <w:tab w:val="clear" w:pos="1701"/>
        </w:tabs>
        <w:ind w:left="2268" w:hanging="1134"/>
      </w:pPr>
      <w:r>
        <w:t>«</w:t>
      </w:r>
      <w:r w:rsidRPr="00F41903">
        <w:t xml:space="preserve">9.4 </w:t>
      </w:r>
      <w:r w:rsidRPr="00F41903">
        <w:tab/>
        <w:t xml:space="preserve">В инструкциях должно быть указано, что использование и </w:t>
      </w:r>
      <w:r w:rsidRPr="00D134C8">
        <w:t>пополнение</w:t>
      </w:r>
      <w:r w:rsidRPr="00F41903">
        <w:t xml:space="preserve"> требуемого реагента, отвечающего конкретным спецификациям, являются обязательным условием обеспечения соответствия транспортного средства свидетельству о соответствии, выданному на данный тип транспортного средства</w:t>
      </w:r>
      <w:r>
        <w:t>».</w:t>
      </w:r>
    </w:p>
    <w:p w:rsidR="00962B36" w:rsidRPr="00D134C8" w:rsidRDefault="00962B36" w:rsidP="00962B36">
      <w:pPr>
        <w:tabs>
          <w:tab w:val="left" w:pos="1985"/>
        </w:tabs>
        <w:spacing w:after="120"/>
        <w:ind w:left="1985" w:right="1134" w:hanging="851"/>
        <w:jc w:val="both"/>
      </w:pPr>
      <w:r w:rsidRPr="00D134C8">
        <w:rPr>
          <w:i/>
        </w:rPr>
        <w:t xml:space="preserve">Пункт 10 </w:t>
      </w:r>
      <w:r w:rsidRPr="00CB1B4B">
        <w:rPr>
          <w:iCs/>
        </w:rPr>
        <w:t>изменить</w:t>
      </w:r>
      <w:r w:rsidRPr="00D134C8">
        <w:rPr>
          <w:iCs/>
        </w:rPr>
        <w:t xml:space="preserve"> </w:t>
      </w:r>
      <w:r w:rsidRPr="00CB1B4B">
        <w:rPr>
          <w:iCs/>
        </w:rPr>
        <w:t>следующим</w:t>
      </w:r>
      <w:r w:rsidRPr="00D134C8">
        <w:rPr>
          <w:iCs/>
        </w:rPr>
        <w:t xml:space="preserve"> </w:t>
      </w:r>
      <w:r w:rsidRPr="00CB1B4B">
        <w:rPr>
          <w:iCs/>
        </w:rPr>
        <w:t>образом</w:t>
      </w:r>
      <w:r w:rsidRPr="00D134C8">
        <w:t>:</w:t>
      </w:r>
    </w:p>
    <w:p w:rsidR="00962B36" w:rsidRPr="00F41903" w:rsidRDefault="00962B36" w:rsidP="00962B36">
      <w:pPr>
        <w:pStyle w:val="SingleTxtGR"/>
        <w:tabs>
          <w:tab w:val="clear" w:pos="1701"/>
        </w:tabs>
        <w:ind w:left="2268" w:hanging="1134"/>
      </w:pPr>
      <w:r>
        <w:t>«</w:t>
      </w:r>
      <w:r w:rsidRPr="00F41903">
        <w:t>10.</w:t>
      </w:r>
      <w:r w:rsidRPr="00F41903">
        <w:tab/>
        <w:t>Условия эксплуатации системы последующего ограничения выбросов</w:t>
      </w:r>
    </w:p>
    <w:p w:rsidR="00962B36" w:rsidRDefault="00962B36" w:rsidP="00962B36">
      <w:pPr>
        <w:pStyle w:val="SingleTxtGR"/>
        <w:tabs>
          <w:tab w:val="clear" w:pos="1701"/>
        </w:tabs>
        <w:ind w:left="2268" w:hanging="1134"/>
      </w:pPr>
      <w:r w:rsidRPr="00F41903">
        <w:tab/>
        <w:t xml:space="preserve">Изготовители обеспечивают работоспособность системы ограничения выбросов в любых условиях окружающей среды, особенно при низких температурах воздуха. Это предусматривает принятие мер по предотвращению полного замерзания реагента во время стоянки продолжительностью до 7 дней при температуре 258 К (−15 °C) и при заполненной реагентом заправочной емкости на 50%. Если реагент замерзает, изготовитель принимает меры к тому, </w:t>
      </w:r>
      <w:r w:rsidRPr="0005427D">
        <w:t xml:space="preserve">чтобы реагент находился в сжиженном состоянии и был подготовлен для обеспечения </w:t>
      </w:r>
      <w:r w:rsidRPr="0005427D">
        <w:lastRenderedPageBreak/>
        <w:t>правильной работы системы стимулирования выбросов</w:t>
      </w:r>
      <w:r w:rsidRPr="00F41903">
        <w:t xml:space="preserve"> не позднее чем через 20 минут после запуска двигателя при температуре 258 К (−15 °C), измеряемой внутри емкости с реагентом</w:t>
      </w:r>
      <w:r>
        <w:t>».</w:t>
      </w:r>
    </w:p>
    <w:p w:rsidR="00962B36" w:rsidRPr="00B90A61" w:rsidRDefault="00962B36" w:rsidP="00962B36">
      <w:pPr>
        <w:pStyle w:val="para"/>
        <w:spacing w:line="240" w:lineRule="auto"/>
        <w:ind w:left="1134" w:firstLine="0"/>
        <w:rPr>
          <w:i/>
          <w:lang w:val="ru-RU"/>
        </w:rPr>
      </w:pPr>
      <w:r>
        <w:rPr>
          <w:i/>
          <w:lang w:val="ru-RU"/>
        </w:rPr>
        <w:t>Приложение</w:t>
      </w:r>
      <w:r w:rsidRPr="00B90A61">
        <w:rPr>
          <w:i/>
          <w:lang w:val="ru-RU"/>
        </w:rPr>
        <w:t xml:space="preserve"> 4</w:t>
      </w:r>
      <w:r>
        <w:rPr>
          <w:i/>
          <w:lang w:val="en-US"/>
        </w:rPr>
        <w:t>A</w:t>
      </w:r>
      <w:r w:rsidRPr="00B90A61">
        <w:rPr>
          <w:i/>
          <w:lang w:val="ru-RU"/>
        </w:rPr>
        <w:t xml:space="preserve">, </w:t>
      </w:r>
      <w:r>
        <w:rPr>
          <w:i/>
          <w:lang w:val="ru-RU"/>
        </w:rPr>
        <w:t>добавление</w:t>
      </w:r>
      <w:r w:rsidRPr="00B90A61">
        <w:rPr>
          <w:i/>
          <w:lang w:val="ru-RU"/>
        </w:rPr>
        <w:t xml:space="preserve"> 2</w:t>
      </w:r>
    </w:p>
    <w:p w:rsidR="00962B36" w:rsidRPr="00B90A61" w:rsidRDefault="00962B36" w:rsidP="00962B36">
      <w:pPr>
        <w:pStyle w:val="para"/>
        <w:spacing w:line="240" w:lineRule="auto"/>
        <w:ind w:left="1134" w:firstLine="0"/>
        <w:rPr>
          <w:i/>
          <w:lang w:val="ru-RU"/>
        </w:rPr>
      </w:pPr>
      <w:r w:rsidRPr="00B90A61">
        <w:rPr>
          <w:i/>
          <w:lang w:val="ru-RU"/>
        </w:rPr>
        <w:t xml:space="preserve">Пункт 1.3.5 </w:t>
      </w:r>
      <w:r w:rsidRPr="00CB1B4B">
        <w:rPr>
          <w:iCs/>
          <w:lang w:val="ru-RU"/>
        </w:rPr>
        <w:t>изменить следующим образом</w:t>
      </w:r>
      <w:r w:rsidRPr="00B90A61">
        <w:rPr>
          <w:lang w:val="ru-RU"/>
        </w:rPr>
        <w:t>:</w:t>
      </w:r>
    </w:p>
    <w:p w:rsidR="00962B36" w:rsidRPr="0005427D" w:rsidRDefault="00962B36" w:rsidP="00962B36">
      <w:pPr>
        <w:keepLines/>
        <w:spacing w:after="120" w:line="240" w:lineRule="auto"/>
        <w:ind w:left="2268" w:right="1134" w:hanging="1134"/>
      </w:pPr>
      <w:r>
        <w:t>«</w:t>
      </w:r>
      <w:r w:rsidRPr="0005427D">
        <w:t xml:space="preserve">1.3.5 </w:t>
      </w:r>
      <w:r w:rsidRPr="0005427D">
        <w:tab/>
        <w:t>Измерение объема в системе первичного разбавления</w:t>
      </w:r>
    </w:p>
    <w:p w:rsidR="00962B36" w:rsidRDefault="00962B36" w:rsidP="00962B36">
      <w:pPr>
        <w:pStyle w:val="SingleTxtGR"/>
        <w:tabs>
          <w:tab w:val="clear" w:pos="1701"/>
        </w:tabs>
        <w:ind w:left="2268" w:hanging="1134"/>
      </w:pPr>
      <w:r w:rsidRPr="00E11A94">
        <w:tab/>
      </w:r>
      <w:r w:rsidRPr="0005427D">
        <w:t>Метод измерения общего объема разбавленных отработавших газов, поступающих в отборник проб постоянного объема, должен обеспечивать точность измерения в ±2% во всех режимах работы.</w:t>
      </w:r>
      <w:r>
        <w:t xml:space="preserve"> </w:t>
      </w:r>
      <w:r w:rsidRPr="0005427D">
        <w:t>Если устройство не позволяет компенсировать изменения температуры смеси отработавших газов и разбавляющего воздуха в момент измерения, то используют теплообменник для поддержания температуры в пределах</w:t>
      </w:r>
      <w:r>
        <w:t> </w:t>
      </w:r>
      <w:r w:rsidRPr="0005427D">
        <w:t>±6</w:t>
      </w:r>
      <w:r>
        <w:t> </w:t>
      </w:r>
      <w:r w:rsidRPr="0005427D">
        <w:t>К от предусмотренной рабочей температуры.</w:t>
      </w:r>
    </w:p>
    <w:p w:rsidR="00962B36" w:rsidRDefault="00962B36" w:rsidP="00962B36">
      <w:pPr>
        <w:pStyle w:val="SingleTxtGR"/>
        <w:tabs>
          <w:tab w:val="clear" w:pos="1701"/>
        </w:tabs>
        <w:ind w:left="2268" w:hanging="1134"/>
      </w:pPr>
      <w:r>
        <w:tab/>
      </w:r>
      <w:r w:rsidRPr="00BF2A2A">
        <w:t>При необходимости допускается использование определенных средств защиты устройства для измерения объема, например сепаратора циклонного типа, фильтра основного потока и т.</w:t>
      </w:r>
      <w:r>
        <w:rPr>
          <w:lang w:val="en-US"/>
        </w:rPr>
        <w:t> </w:t>
      </w:r>
      <w:r w:rsidRPr="00BF2A2A">
        <w:t>п.</w:t>
      </w:r>
    </w:p>
    <w:p w:rsidR="00962B36" w:rsidRPr="00BF2A2A" w:rsidRDefault="00962B36" w:rsidP="00962B36">
      <w:pPr>
        <w:pStyle w:val="SingleTxtGR"/>
        <w:tabs>
          <w:tab w:val="clear" w:pos="1701"/>
        </w:tabs>
        <w:ind w:left="2268" w:hanging="1134"/>
      </w:pPr>
      <w:r>
        <w:tab/>
      </w:r>
      <w:r w:rsidRPr="00BF2A2A">
        <w:t xml:space="preserve">Непосредственно перед устройством для измерения объема устанавливают температурный датчик. Точность и погрешность работы этого температурного датчика должны составлять ±1 °C, а время реагирования </w:t>
      </w:r>
      <w:r w:rsidRPr="0005427D">
        <w:t>1,0 секунда или менее</w:t>
      </w:r>
      <w:r w:rsidRPr="00BF2A2A">
        <w:t xml:space="preserve"> при изменении указанной температуры на 62% (величина, измеряемая в </w:t>
      </w:r>
      <w:r>
        <w:t xml:space="preserve">воде или </w:t>
      </w:r>
      <w:r w:rsidRPr="00BF2A2A">
        <w:t>силиконовом масле).</w:t>
      </w:r>
    </w:p>
    <w:p w:rsidR="00962B36" w:rsidRPr="00BF2A2A" w:rsidRDefault="00962B36" w:rsidP="00962B36">
      <w:pPr>
        <w:pStyle w:val="SingleTxtGR"/>
        <w:tabs>
          <w:tab w:val="clear" w:pos="1701"/>
        </w:tabs>
        <w:ind w:left="2268" w:hanging="1134"/>
      </w:pPr>
      <w:r>
        <w:tab/>
      </w:r>
      <w:r w:rsidRPr="00BF2A2A">
        <w:t>Измерение перепада давления в системе по сравнению с атмосферным давлением проводят перед и, если это необходимо, за устройством для измерения объема.</w:t>
      </w:r>
    </w:p>
    <w:p w:rsidR="00962B36" w:rsidRDefault="00962B36" w:rsidP="00962B36">
      <w:pPr>
        <w:pStyle w:val="SingleTxtGR"/>
        <w:tabs>
          <w:tab w:val="clear" w:pos="1701"/>
        </w:tabs>
        <w:ind w:left="2268" w:hanging="1134"/>
      </w:pPr>
      <w:r>
        <w:tab/>
      </w:r>
      <w:r w:rsidRPr="00E11A94">
        <w:t>В ходе испытания точность и погрешность измерений давления должна составлять ±0,4 кПа»</w:t>
      </w:r>
      <w:r>
        <w:t>.</w:t>
      </w:r>
    </w:p>
    <w:p w:rsidR="00962B36" w:rsidRPr="003E4511" w:rsidRDefault="00962B36" w:rsidP="00962B3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62B36" w:rsidRPr="003E4511" w:rsidSect="00F764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EF" w:rsidRPr="00A312BC" w:rsidRDefault="00D209EF" w:rsidP="00A312BC"/>
  </w:endnote>
  <w:endnote w:type="continuationSeparator" w:id="0">
    <w:p w:rsidR="00D209EF" w:rsidRPr="00A312BC" w:rsidRDefault="00D209E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25" w:rsidRPr="00F76425" w:rsidRDefault="00F76425">
    <w:pPr>
      <w:pStyle w:val="a8"/>
    </w:pPr>
    <w:r w:rsidRPr="00F76425">
      <w:rPr>
        <w:b/>
        <w:sz w:val="18"/>
      </w:rPr>
      <w:fldChar w:fldCharType="begin"/>
    </w:r>
    <w:r w:rsidRPr="00F76425">
      <w:rPr>
        <w:b/>
        <w:sz w:val="18"/>
      </w:rPr>
      <w:instrText xml:space="preserve"> PAGE  \* MERGEFORMAT </w:instrText>
    </w:r>
    <w:r w:rsidRPr="00F76425">
      <w:rPr>
        <w:b/>
        <w:sz w:val="18"/>
      </w:rPr>
      <w:fldChar w:fldCharType="separate"/>
    </w:r>
    <w:r w:rsidR="00FE31F2">
      <w:rPr>
        <w:b/>
        <w:noProof/>
        <w:sz w:val="18"/>
      </w:rPr>
      <w:t>8</w:t>
    </w:r>
    <w:r w:rsidRPr="00F76425">
      <w:rPr>
        <w:b/>
        <w:sz w:val="18"/>
      </w:rPr>
      <w:fldChar w:fldCharType="end"/>
    </w:r>
    <w:r>
      <w:rPr>
        <w:b/>
        <w:sz w:val="18"/>
      </w:rPr>
      <w:tab/>
    </w:r>
    <w:r>
      <w:t>GE.19-10447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25" w:rsidRPr="00F76425" w:rsidRDefault="00F76425" w:rsidP="00F76425">
    <w:pPr>
      <w:pStyle w:val="a8"/>
      <w:tabs>
        <w:tab w:val="clear" w:pos="9639"/>
        <w:tab w:val="right" w:pos="9638"/>
      </w:tabs>
      <w:rPr>
        <w:b/>
        <w:sz w:val="18"/>
      </w:rPr>
    </w:pPr>
    <w:r>
      <w:t>GE.19-10447</w:t>
    </w:r>
    <w:r>
      <w:tab/>
    </w:r>
    <w:r w:rsidRPr="00F76425">
      <w:rPr>
        <w:b/>
        <w:sz w:val="18"/>
      </w:rPr>
      <w:fldChar w:fldCharType="begin"/>
    </w:r>
    <w:r w:rsidRPr="00F76425">
      <w:rPr>
        <w:b/>
        <w:sz w:val="18"/>
      </w:rPr>
      <w:instrText xml:space="preserve"> PAGE  \* MERGEFORMAT </w:instrText>
    </w:r>
    <w:r w:rsidRPr="00F76425">
      <w:rPr>
        <w:b/>
        <w:sz w:val="18"/>
      </w:rPr>
      <w:fldChar w:fldCharType="separate"/>
    </w:r>
    <w:r w:rsidR="00FE31F2">
      <w:rPr>
        <w:b/>
        <w:noProof/>
        <w:sz w:val="18"/>
      </w:rPr>
      <w:t>9</w:t>
    </w:r>
    <w:r w:rsidRPr="00F764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76425" w:rsidRDefault="00F76425" w:rsidP="00F7642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19-10447  (R)</w:t>
    </w:r>
    <w:r w:rsidR="00605CEF">
      <w:t xml:space="preserve">  260619  260619</w:t>
    </w:r>
    <w:r>
      <w:br/>
    </w:r>
    <w:r w:rsidRPr="00F76425">
      <w:rPr>
        <w:rFonts w:ascii="C39T30Lfz" w:hAnsi="C39T30Lfz"/>
        <w:kern w:val="14"/>
        <w:sz w:val="56"/>
      </w:rPr>
      <w:t></w:t>
    </w:r>
    <w:r w:rsidRPr="00F76425">
      <w:rPr>
        <w:rFonts w:ascii="C39T30Lfz" w:hAnsi="C39T30Lfz"/>
        <w:kern w:val="14"/>
        <w:sz w:val="56"/>
      </w:rPr>
      <w:t></w:t>
    </w:r>
    <w:r w:rsidRPr="00F76425">
      <w:rPr>
        <w:rFonts w:ascii="C39T30Lfz" w:hAnsi="C39T30Lfz"/>
        <w:kern w:val="14"/>
        <w:sz w:val="56"/>
      </w:rPr>
      <w:t></w:t>
    </w:r>
    <w:r w:rsidRPr="00F76425">
      <w:rPr>
        <w:rFonts w:ascii="C39T30Lfz" w:hAnsi="C39T30Lfz"/>
        <w:kern w:val="14"/>
        <w:sz w:val="56"/>
      </w:rPr>
      <w:t></w:t>
    </w:r>
    <w:r w:rsidRPr="00F76425">
      <w:rPr>
        <w:rFonts w:ascii="C39T30Lfz" w:hAnsi="C39T30Lfz"/>
        <w:kern w:val="14"/>
        <w:sz w:val="56"/>
      </w:rPr>
      <w:t></w:t>
    </w:r>
    <w:r w:rsidRPr="00F76425">
      <w:rPr>
        <w:rFonts w:ascii="C39T30Lfz" w:hAnsi="C39T30Lfz"/>
        <w:kern w:val="14"/>
        <w:sz w:val="56"/>
      </w:rPr>
      <w:t></w:t>
    </w:r>
    <w:r w:rsidRPr="00F76425">
      <w:rPr>
        <w:rFonts w:ascii="C39T30Lfz" w:hAnsi="C39T30Lfz"/>
        <w:kern w:val="14"/>
        <w:sz w:val="56"/>
      </w:rPr>
      <w:t></w:t>
    </w:r>
    <w:r w:rsidRPr="00F76425">
      <w:rPr>
        <w:rFonts w:ascii="C39T30Lfz" w:hAnsi="C39T30Lfz"/>
        <w:kern w:val="14"/>
        <w:sz w:val="56"/>
      </w:rPr>
      <w:t></w:t>
    </w:r>
    <w:r w:rsidRPr="00F7642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2/Rev.5/Amend.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5/Amend.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EF" w:rsidRPr="001075E9" w:rsidRDefault="00D209E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209EF" w:rsidRDefault="00D209E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05CEF" w:rsidRPr="00605CEF" w:rsidRDefault="00605CEF" w:rsidP="00605CEF">
      <w:pPr>
        <w:pStyle w:val="ad"/>
      </w:pPr>
      <w:r>
        <w:tab/>
      </w:r>
      <w:r w:rsidRPr="00605CEF">
        <w:rPr>
          <w:rStyle w:val="aa"/>
          <w:sz w:val="20"/>
          <w:vertAlign w:val="baseline"/>
        </w:rPr>
        <w:t>*</w:t>
      </w:r>
      <w:r w:rsidRPr="00605CEF">
        <w:rPr>
          <w:rStyle w:val="aa"/>
          <w:vertAlign w:val="baseline"/>
        </w:rPr>
        <w:tab/>
      </w:r>
      <w:r w:rsidRPr="00605CEF">
        <w:t>Прежние названия Соглашения:</w:t>
      </w:r>
    </w:p>
    <w:p w:rsidR="00605CEF" w:rsidRPr="00605CEF" w:rsidRDefault="00605CEF" w:rsidP="00605CEF">
      <w:pPr>
        <w:pStyle w:val="ad"/>
      </w:pPr>
      <w:r w:rsidRPr="00605CEF">
        <w:tab/>
      </w:r>
      <w:r w:rsidRPr="00605CEF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 (первоначальный вариант);</w:t>
      </w:r>
    </w:p>
    <w:p w:rsidR="00605CEF" w:rsidRPr="00605CEF" w:rsidRDefault="00605CEF" w:rsidP="00605CEF">
      <w:pPr>
        <w:pStyle w:val="ad"/>
        <w:rPr>
          <w:sz w:val="20"/>
        </w:rPr>
      </w:pPr>
      <w:r w:rsidRPr="00605CEF">
        <w:tab/>
      </w:r>
      <w:r w:rsidRPr="00605CEF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D55098">
        <w:t>едписаний, совершено в Женеве 5 </w:t>
      </w:r>
      <w:r w:rsidRPr="00605CEF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25" w:rsidRDefault="008B7CD4">
    <w:pPr>
      <w:pStyle w:val="a5"/>
    </w:pPr>
    <w:fldSimple w:instr=" TITLE  \* MERGEFORMAT ">
      <w:r w:rsidR="00FE31F2">
        <w:t>E/ECE/324/Rev.1/Add.82/Rev.5/Amend.8</w:t>
      </w:r>
    </w:fldSimple>
    <w:r w:rsidR="00F76425">
      <w:br/>
    </w:r>
    <w:fldSimple w:instr=" KEYWORDS  \* MERGEFORMAT ">
      <w:r w:rsidR="00FE31F2">
        <w:t>E/ECE/TRANS/505/Rev.1/Add.82/Rev.5/Amend.8</w:t>
      </w:r>
    </w:fldSimple>
  </w:p>
  <w:p w:rsidR="00FE2E9E" w:rsidRPr="00FE2E9E" w:rsidRDefault="00FE2E9E" w:rsidP="00FE2E9E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25" w:rsidRDefault="008B7CD4" w:rsidP="00F76425">
    <w:pPr>
      <w:pStyle w:val="a5"/>
      <w:jc w:val="right"/>
    </w:pPr>
    <w:fldSimple w:instr=" TITLE  \* MERGEFORMAT ">
      <w:r w:rsidR="00FE31F2">
        <w:t>E/ECE/324/Rev.1/Add.82/Rev.5/Amend.8</w:t>
      </w:r>
    </w:fldSimple>
    <w:r w:rsidR="00F76425">
      <w:br/>
    </w:r>
    <w:fldSimple w:instr=" KEYWORDS  \* MERGEFORMAT ">
      <w:r w:rsidR="00FE31F2">
        <w:t>E/ECE/TRANS/505/Rev.1/Add.82/Rev.5/Amend.8</w:t>
      </w:r>
    </w:fldSimple>
  </w:p>
  <w:p w:rsidR="00FE2E9E" w:rsidRPr="00FE2E9E" w:rsidRDefault="00FE2E9E" w:rsidP="00FE2E9E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C5BFA"/>
    <w:multiLevelType w:val="hybridMultilevel"/>
    <w:tmpl w:val="F5B4BC98"/>
    <w:lvl w:ilvl="0" w:tplc="259E90A8">
      <w:start w:val="1"/>
      <w:numFmt w:val="lowerLetter"/>
      <w:lvlText w:val="%1)"/>
      <w:lvlJc w:val="left"/>
      <w:pPr>
        <w:ind w:left="28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E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02A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5CEF"/>
    <w:rsid w:val="00617A43"/>
    <w:rsid w:val="006345DB"/>
    <w:rsid w:val="00640F49"/>
    <w:rsid w:val="00641794"/>
    <w:rsid w:val="00654D3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4EB3"/>
    <w:rsid w:val="0086445C"/>
    <w:rsid w:val="0087257F"/>
    <w:rsid w:val="00894693"/>
    <w:rsid w:val="008A08D7"/>
    <w:rsid w:val="008A37C8"/>
    <w:rsid w:val="008B6909"/>
    <w:rsid w:val="008B7CD4"/>
    <w:rsid w:val="008D53B6"/>
    <w:rsid w:val="008F7609"/>
    <w:rsid w:val="00906890"/>
    <w:rsid w:val="00911BE4"/>
    <w:rsid w:val="00951972"/>
    <w:rsid w:val="009608F3"/>
    <w:rsid w:val="00962B36"/>
    <w:rsid w:val="00987158"/>
    <w:rsid w:val="009A24AC"/>
    <w:rsid w:val="009C59D7"/>
    <w:rsid w:val="009C6FE6"/>
    <w:rsid w:val="009D7E7D"/>
    <w:rsid w:val="00A14DA8"/>
    <w:rsid w:val="00A24AAC"/>
    <w:rsid w:val="00A312BC"/>
    <w:rsid w:val="00A84021"/>
    <w:rsid w:val="00A84D35"/>
    <w:rsid w:val="00A917B3"/>
    <w:rsid w:val="00AB4B51"/>
    <w:rsid w:val="00AB566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5317"/>
    <w:rsid w:val="00D209EF"/>
    <w:rsid w:val="00D33D63"/>
    <w:rsid w:val="00D5253A"/>
    <w:rsid w:val="00D55098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0631"/>
    <w:rsid w:val="00E73F76"/>
    <w:rsid w:val="00EA2C9F"/>
    <w:rsid w:val="00EA420E"/>
    <w:rsid w:val="00EB1A06"/>
    <w:rsid w:val="00ED0BDA"/>
    <w:rsid w:val="00EE142A"/>
    <w:rsid w:val="00EF1360"/>
    <w:rsid w:val="00EF3220"/>
    <w:rsid w:val="00F2439E"/>
    <w:rsid w:val="00F2523A"/>
    <w:rsid w:val="00F43903"/>
    <w:rsid w:val="00F76425"/>
    <w:rsid w:val="00F94155"/>
    <w:rsid w:val="00F9783F"/>
    <w:rsid w:val="00FD2EF7"/>
    <w:rsid w:val="00FE2E9E"/>
    <w:rsid w:val="00FE31F2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85E43A-2A81-4146-B668-BFF48AA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,PP,Footnote Text Char,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,PP Знак,Footnote Text Char Знак,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HChGR">
    <w:name w:val="_ H _Ch_GR"/>
    <w:basedOn w:val="a"/>
    <w:next w:val="a"/>
    <w:qFormat/>
    <w:rsid w:val="00962B3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2B3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2B3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962B3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Char">
    <w:name w:val="_ Single Txt_G Char"/>
    <w:basedOn w:val="a0"/>
    <w:link w:val="SingleTxtG"/>
    <w:qFormat/>
    <w:rsid w:val="00962B36"/>
    <w:rPr>
      <w:lang w:val="ru-RU" w:eastAsia="en-US"/>
    </w:rPr>
  </w:style>
  <w:style w:type="character" w:customStyle="1" w:styleId="HChGChar">
    <w:name w:val="_ H _Ch_G Char"/>
    <w:link w:val="HChG"/>
    <w:locked/>
    <w:rsid w:val="00962B36"/>
    <w:rPr>
      <w:b/>
      <w:sz w:val="28"/>
      <w:lang w:val="ru-RU" w:eastAsia="ru-RU"/>
    </w:rPr>
  </w:style>
  <w:style w:type="character" w:customStyle="1" w:styleId="paraChar">
    <w:name w:val="para Char"/>
    <w:link w:val="para"/>
    <w:locked/>
    <w:rsid w:val="00962B36"/>
  </w:style>
  <w:style w:type="paragraph" w:customStyle="1" w:styleId="para">
    <w:name w:val="para"/>
    <w:basedOn w:val="a"/>
    <w:link w:val="paraChar"/>
    <w:qFormat/>
    <w:rsid w:val="00962B36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  <w:style w:type="character" w:customStyle="1" w:styleId="SingleTxtGR0">
    <w:name w:val="_ Single Txt_GR Знак"/>
    <w:link w:val="SingleTxtGR"/>
    <w:rsid w:val="00962B3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F6A06-309E-4E61-B31E-9F1F512531D5}"/>
</file>

<file path=customXml/itemProps2.xml><?xml version="1.0" encoding="utf-8"?>
<ds:datastoreItem xmlns:ds="http://schemas.openxmlformats.org/officeDocument/2006/customXml" ds:itemID="{3E138796-7EF0-423C-8ED8-17B09DB38348}"/>
</file>

<file path=customXml/itemProps3.xml><?xml version="1.0" encoding="utf-8"?>
<ds:datastoreItem xmlns:ds="http://schemas.openxmlformats.org/officeDocument/2006/customXml" ds:itemID="{0853C8A0-15BF-483C-AEBC-4A619710433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9</Pages>
  <Words>3473</Words>
  <Characters>19799</Characters>
  <Application>Microsoft Office Word</Application>
  <DocSecurity>0</DocSecurity>
  <Lines>164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E/ECE/324/Rev.1/Add.82/Rev.5/Amend.8</vt:lpstr>
      <vt:lpstr>A/</vt:lpstr>
      <vt:lpstr>A/</vt:lpstr>
    </vt:vector>
  </TitlesOfParts>
  <Company>DCM</Company>
  <LinksUpToDate>false</LinksUpToDate>
  <CharactersWithSpaces>23226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E/ECE/324/Rev.1/Add.82/Rev.5/Amend.8</dc:title>
  <dc:creator>Elena IZOTOVA</dc:creator>
  <cp:keywords>E/ECE/TRANS/505/Rev.1/Add.82/Rev.5/Amend.8</cp:keywords>
  <cp:lastModifiedBy>Elena Izotova</cp:lastModifiedBy>
  <cp:revision>3</cp:revision>
  <cp:lastPrinted>2019-06-26T13:09:00Z</cp:lastPrinted>
  <dcterms:created xsi:type="dcterms:W3CDTF">2019-06-26T13:09:00Z</dcterms:created>
  <dcterms:modified xsi:type="dcterms:W3CDTF">2019-06-26T13:10:00Z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