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A0D0F" w14:paraId="7B57333A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EBB3A2" w14:textId="77777777" w:rsidR="00DA0D0F" w:rsidRPr="00DA0D0F" w:rsidRDefault="00DA0D0F" w:rsidP="00DA0D0F">
            <w:pPr>
              <w:jc w:val="right"/>
              <w:rPr>
                <w:lang w:val="en-US"/>
              </w:rPr>
            </w:pPr>
            <w:r w:rsidRPr="00DA0D0F">
              <w:rPr>
                <w:sz w:val="40"/>
                <w:lang w:val="en-US"/>
              </w:rPr>
              <w:t>E</w:t>
            </w:r>
            <w:r w:rsidRPr="00DA0D0F">
              <w:rPr>
                <w:lang w:val="en-US"/>
              </w:rPr>
              <w:t>/ECE/324/Rev.1/Add.79/Rev.2/Amend.4−</w:t>
            </w:r>
            <w:r w:rsidRPr="00DA0D0F">
              <w:rPr>
                <w:sz w:val="40"/>
                <w:lang w:val="en-US"/>
              </w:rPr>
              <w:t>E</w:t>
            </w:r>
            <w:r w:rsidRPr="00DA0D0F">
              <w:rPr>
                <w:lang w:val="en-US"/>
              </w:rPr>
              <w:t>/ECE/TRANS/505/Rev.1/Add.79/Rev.2/Amend.4</w:t>
            </w:r>
          </w:p>
        </w:tc>
      </w:tr>
      <w:tr w:rsidR="00421A10" w:rsidRPr="00DB58B5" w14:paraId="54AE894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552F0E" w14:textId="77777777" w:rsidR="00421A10" w:rsidRPr="00DA0D0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FB1702" w14:textId="77777777" w:rsidR="00421A10" w:rsidRPr="00DB58B5" w:rsidRDefault="00DA0D0F" w:rsidP="00A27C92">
            <w:pPr>
              <w:spacing w:before="480" w:line="240" w:lineRule="exact"/>
            </w:pPr>
            <w:r>
              <w:t>1</w:t>
            </w:r>
            <w:r w:rsidRPr="00DA0D0F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46D57C2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709AF34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C05E5">
        <w:t>’</w:t>
      </w:r>
      <w:r w:rsidR="00421A10" w:rsidRPr="00583D68">
        <w:t xml:space="preserve">adoption </w:t>
      </w:r>
      <w:r w:rsidR="00DA0D0F" w:rsidRPr="00BD0091">
        <w:t>de Règlements techniques harmonisés de l</w:t>
      </w:r>
      <w:r w:rsidR="000C05E5">
        <w:t>’</w:t>
      </w:r>
      <w:r w:rsidR="00DA0D0F" w:rsidRPr="00BD0091">
        <w:t>ONU applicables aux véhicules à roues et aux équipements et pièces susceptibles d</w:t>
      </w:r>
      <w:r w:rsidR="000C05E5">
        <w:t>’</w:t>
      </w:r>
      <w:r w:rsidR="00DA0D0F" w:rsidRPr="00BD0091">
        <w:t>être montés ou utilisés sur les véhicules à roues et les </w:t>
      </w:r>
      <w:r w:rsidR="00DA0D0F" w:rsidRPr="00BD0091">
        <w:rPr>
          <w:iCs/>
        </w:rPr>
        <w:t>conditions</w:t>
      </w:r>
      <w:r w:rsidR="00DA0D0F" w:rsidRPr="00BD0091">
        <w:t> de reconnaissance réciproque des homologations délivrées conformément à ces Règlements</w:t>
      </w:r>
      <w:r w:rsidR="00442E31" w:rsidRPr="00442E31">
        <w:rPr>
          <w:rStyle w:val="Appelnotedebasdep"/>
          <w:sz w:val="20"/>
          <w:vertAlign w:val="baseline"/>
        </w:rPr>
        <w:footnoteReference w:customMarkFollows="1" w:id="2"/>
        <w:t>*</w:t>
      </w:r>
    </w:p>
    <w:p w14:paraId="1993241A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A0D0F" w:rsidRPr="00782EA4">
        <w:t xml:space="preserve">3, </w:t>
      </w:r>
      <w:r w:rsidR="00DA0D0F" w:rsidRPr="00320F0A">
        <w:t>comprenant les amendements entrés en vigueur le 14 septembre 2017</w:t>
      </w:r>
      <w:r w:rsidRPr="006549FF">
        <w:t>)</w:t>
      </w:r>
    </w:p>
    <w:p w14:paraId="3CDCB47D" w14:textId="77777777" w:rsidR="00421A10" w:rsidRPr="006549FF" w:rsidRDefault="0029791D" w:rsidP="0029791D">
      <w:pPr>
        <w:jc w:val="center"/>
      </w:pPr>
      <w:r>
        <w:t>_______________</w:t>
      </w:r>
    </w:p>
    <w:p w14:paraId="7A04FE5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A0D0F">
        <w:t xml:space="preserve">79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A0D0F">
        <w:t>80</w:t>
      </w:r>
    </w:p>
    <w:p w14:paraId="2C9E5521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A0D0F" w:rsidRPr="00782EA4">
        <w:t xml:space="preserve">2 </w:t>
      </w:r>
      <w:r w:rsidR="00DA0D0F">
        <w:t>−</w:t>
      </w:r>
      <w:r w:rsidR="00DA0D0F" w:rsidRPr="00782EA4">
        <w:t xml:space="preserve"> Amend</w:t>
      </w:r>
      <w:r w:rsidR="00DA0D0F">
        <w:t>e</w:t>
      </w:r>
      <w:r w:rsidR="00DA0D0F" w:rsidRPr="00782EA4">
        <w:t xml:space="preserve">ment </w:t>
      </w:r>
      <w:r w:rsidR="00DA0D0F">
        <w:t>4</w:t>
      </w:r>
    </w:p>
    <w:p w14:paraId="5134A0D7" w14:textId="77777777" w:rsidR="00421A10" w:rsidRPr="004A7E44" w:rsidRDefault="00DA0D0F" w:rsidP="0029791D">
      <w:pPr>
        <w:pStyle w:val="SingleTxtG"/>
        <w:spacing w:after="0"/>
      </w:pPr>
      <w:r>
        <w:rPr>
          <w:spacing w:val="-2"/>
        </w:rPr>
        <w:t xml:space="preserve">Série </w:t>
      </w:r>
      <w:r w:rsidRPr="00782EA4">
        <w:rPr>
          <w:spacing w:val="-2"/>
        </w:rPr>
        <w:t>0</w:t>
      </w:r>
      <w:r>
        <w:rPr>
          <w:spacing w:val="-2"/>
        </w:rPr>
        <w:t>4</w:t>
      </w:r>
      <w:r w:rsidRPr="00782EA4">
        <w:rPr>
          <w:spacing w:val="-2"/>
        </w:rPr>
        <w:t xml:space="preserve"> </w:t>
      </w:r>
      <w:r>
        <w:rPr>
          <w:spacing w:val="-2"/>
        </w:rPr>
        <w:t>d</w:t>
      </w:r>
      <w:r w:rsidR="000C05E5">
        <w:rPr>
          <w:spacing w:val="-2"/>
        </w:rPr>
        <w:t>’</w:t>
      </w:r>
      <w:r>
        <w:rPr>
          <w:spacing w:val="-2"/>
        </w:rPr>
        <w:t>amendements</w:t>
      </w:r>
      <w:r w:rsidRPr="00782EA4">
        <w:rPr>
          <w:spacing w:val="-2"/>
        </w:rPr>
        <w:t xml:space="preserve"> </w:t>
      </w:r>
      <w:r>
        <w:rPr>
          <w:spacing w:val="-2"/>
        </w:rPr>
        <w:t>−</w:t>
      </w:r>
      <w:r w:rsidRPr="00782EA4">
        <w:rPr>
          <w:spacing w:val="-2"/>
        </w:rPr>
        <w:t xml:space="preserve"> Date </w:t>
      </w:r>
      <w:r>
        <w:rPr>
          <w:spacing w:val="-2"/>
        </w:rPr>
        <w:t>d</w:t>
      </w:r>
      <w:r w:rsidR="000C05E5">
        <w:rPr>
          <w:spacing w:val="-2"/>
        </w:rPr>
        <w:t>’</w:t>
      </w:r>
      <w:r>
        <w:rPr>
          <w:spacing w:val="-2"/>
        </w:rPr>
        <w:t>entrée en vigueur</w:t>
      </w:r>
      <w:r>
        <w:rPr>
          <w:spacing w:val="-2"/>
        </w:rPr>
        <w:t xml:space="preserve"> </w:t>
      </w:r>
      <w:r w:rsidRPr="00782EA4">
        <w:rPr>
          <w:spacing w:val="-2"/>
        </w:rPr>
        <w:t xml:space="preserve">: </w:t>
      </w:r>
      <w:r w:rsidRPr="00782EA4">
        <w:t xml:space="preserve">29 </w:t>
      </w:r>
      <w:r>
        <w:t>mai</w:t>
      </w:r>
      <w:r w:rsidRPr="00782EA4">
        <w:t xml:space="preserve"> 2020</w:t>
      </w:r>
    </w:p>
    <w:p w14:paraId="6B0B2761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A0D0F" w:rsidRPr="00A57362">
        <w:rPr>
          <w:spacing w:val="-2"/>
        </w:rPr>
        <w:t>à l</w:t>
      </w:r>
      <w:r w:rsidR="000C05E5">
        <w:rPr>
          <w:spacing w:val="-2"/>
        </w:rPr>
        <w:t>’</w:t>
      </w:r>
      <w:r w:rsidR="00DA0D0F" w:rsidRPr="00A57362">
        <w:rPr>
          <w:spacing w:val="-2"/>
        </w:rPr>
        <w:t>homologation des sièges de véhicule de grandes dimensions pour le transport de voyageurs et de ces véhicules en ce qui concerne la résistance des sièges et de leurs ancrages</w:t>
      </w:r>
    </w:p>
    <w:p w14:paraId="25F294D3" w14:textId="77777777" w:rsidR="00DA0D0F" w:rsidRDefault="00DA0D0F" w:rsidP="00DA0D0F">
      <w:pPr>
        <w:pStyle w:val="SingleTxtG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7AA19" wp14:editId="75254723">
                <wp:simplePos x="0" y="0"/>
                <wp:positionH relativeFrom="margin">
                  <wp:posOffset>0</wp:posOffset>
                </wp:positionH>
                <wp:positionV relativeFrom="margin">
                  <wp:posOffset>6166347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80B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A80D46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7ABB3C0" wp14:editId="711BBE6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04B0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AA1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85.55pt;width:481.8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5OVj5N8AAAAJAQAADwAAAAAAAAAAAAAAAAB8BAAAZHJzL2Rvd25y&#10;ZXYueG1sUEsFBgAAAAAEAAQA8wAAAIgFAAAAAA==&#10;" stroked="f">
                <v:textbox inset="0,0,0,0">
                  <w:txbxContent>
                    <w:p w14:paraId="342780B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A80D46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7ABB3C0" wp14:editId="711BBE6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04B0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653F">
        <w:rPr>
          <w:spacing w:val="-2"/>
        </w:rPr>
        <w:t>Le présent document est communiqué uniquement à titre d</w:t>
      </w:r>
      <w:r w:rsidR="000C05E5">
        <w:rPr>
          <w:spacing w:val="-2"/>
        </w:rPr>
        <w:t>’</w:t>
      </w:r>
      <w:r w:rsidRPr="0067653F">
        <w:rPr>
          <w:spacing w:val="-2"/>
        </w:rPr>
        <w:t>information.</w:t>
      </w:r>
      <w:r>
        <w:rPr>
          <w:spacing w:val="-2"/>
        </w:rPr>
        <w:t xml:space="preserve"> </w:t>
      </w:r>
      <w:r w:rsidRPr="0067653F">
        <w:rPr>
          <w:spacing w:val="-2"/>
        </w:rPr>
        <w:t>Le texte authentique, juridiquement contraignant, est celui du document </w:t>
      </w:r>
      <w:r w:rsidRPr="00782EA4">
        <w:rPr>
          <w:spacing w:val="-6"/>
          <w:lang w:eastAsia="en-GB"/>
        </w:rPr>
        <w:t>ECE/TRANS/</w:t>
      </w:r>
      <w:r>
        <w:rPr>
          <w:spacing w:val="-6"/>
          <w:lang w:eastAsia="en-GB"/>
        </w:rPr>
        <w:t>WP.29/2019/103</w:t>
      </w:r>
      <w:r w:rsidRPr="00782EA4">
        <w:rPr>
          <w:spacing w:val="-6"/>
          <w:lang w:eastAsia="en-GB"/>
        </w:rPr>
        <w:t>.</w:t>
      </w:r>
    </w:p>
    <w:p w14:paraId="66441B5F" w14:textId="77777777" w:rsidR="00DA0D0F" w:rsidRPr="00567C3B" w:rsidRDefault="00DA0D0F" w:rsidP="00DA0D0F">
      <w:pPr>
        <w:pStyle w:val="SingleTxtG"/>
        <w:keepNext/>
        <w:rPr>
          <w:lang w:val="fr-FR"/>
        </w:rPr>
      </w:pPr>
      <w:r>
        <w:rPr>
          <w:lang w:eastAsia="en-GB"/>
        </w:rPr>
        <w:br w:type="page"/>
      </w:r>
      <w:r w:rsidRPr="005661BF">
        <w:rPr>
          <w:i/>
          <w:lang w:val="fr-FR"/>
        </w:rPr>
        <w:lastRenderedPageBreak/>
        <w:t>Paragraphe 4.3</w:t>
      </w:r>
      <w:r w:rsidRPr="00567C3B">
        <w:rPr>
          <w:lang w:val="fr-FR"/>
        </w:rPr>
        <w:t>,</w:t>
      </w:r>
      <w:r w:rsidRPr="00567C3B">
        <w:rPr>
          <w:iCs/>
          <w:lang w:val="fr-FR"/>
        </w:rPr>
        <w:t xml:space="preserve"> lire </w:t>
      </w:r>
      <w:r w:rsidRPr="00567C3B">
        <w:rPr>
          <w:lang w:val="fr-FR"/>
        </w:rPr>
        <w:t>:</w:t>
      </w:r>
    </w:p>
    <w:p w14:paraId="5DDAF89B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567C3B">
        <w:rPr>
          <w:rFonts w:eastAsia="Arial"/>
          <w:spacing w:val="9"/>
          <w:lang w:val="fr-FR"/>
        </w:rPr>
        <w:t>« 4</w:t>
      </w:r>
      <w:r w:rsidRPr="00567C3B">
        <w:rPr>
          <w:rFonts w:eastAsia="Arial"/>
          <w:lang w:val="fr-FR"/>
        </w:rPr>
        <w:t>.</w:t>
      </w:r>
      <w:r w:rsidRPr="00567C3B">
        <w:rPr>
          <w:rFonts w:eastAsia="Arial"/>
          <w:spacing w:val="9"/>
          <w:lang w:val="fr-FR"/>
        </w:rPr>
        <w:t>3</w:t>
      </w:r>
      <w:r w:rsidRPr="00567C3B">
        <w:rPr>
          <w:rFonts w:eastAsia="Arial"/>
          <w:lang w:val="fr-FR"/>
        </w:rPr>
        <w:tab/>
      </w:r>
      <w:r w:rsidRPr="00567C3B">
        <w:rPr>
          <w:lang w:val="fr-FR"/>
        </w:rPr>
        <w:t>Chaque type homologué reçoit un numéro d</w:t>
      </w:r>
      <w:r w:rsidR="000C05E5">
        <w:rPr>
          <w:lang w:val="fr-FR"/>
        </w:rPr>
        <w:t>’</w:t>
      </w:r>
      <w:r w:rsidRPr="00567C3B">
        <w:rPr>
          <w:lang w:val="fr-FR"/>
        </w:rPr>
        <w:t>homologation dont les deux premiers chiffres (actuellement 04, ce qui correspond à la série 04 d</w:t>
      </w:r>
      <w:r w:rsidR="000C05E5">
        <w:rPr>
          <w:lang w:val="fr-FR"/>
        </w:rPr>
        <w:t>’</w:t>
      </w:r>
      <w:r w:rsidRPr="00567C3B">
        <w:rPr>
          <w:lang w:val="fr-FR"/>
        </w:rPr>
        <w:t>amendements)</w:t>
      </w:r>
      <w:r>
        <w:rPr>
          <w:lang w:val="fr-FR"/>
        </w:rPr>
        <w:t xml:space="preserve"> </w:t>
      </w:r>
      <w:r w:rsidRPr="00567C3B">
        <w:rPr>
          <w:lang w:val="fr-FR"/>
        </w:rPr>
        <w:t>... ».</w:t>
      </w:r>
    </w:p>
    <w:p w14:paraId="34803E22" w14:textId="77777777" w:rsidR="00DA0D0F" w:rsidRPr="00567C3B" w:rsidRDefault="00DA0D0F" w:rsidP="00DA0D0F">
      <w:pPr>
        <w:pStyle w:val="SingleTxtG"/>
        <w:keepNext/>
        <w:rPr>
          <w:rFonts w:eastAsia="SimSun"/>
          <w:lang w:val="fr-FR"/>
        </w:rPr>
      </w:pPr>
      <w:r w:rsidRPr="00567C3B">
        <w:rPr>
          <w:rFonts w:eastAsia="SimSun"/>
          <w:i/>
          <w:lang w:val="fr-FR"/>
        </w:rPr>
        <w:t>Ajouter le nouveau paragraphe 5.5</w:t>
      </w:r>
      <w:r w:rsidRPr="00567C3B">
        <w:rPr>
          <w:rFonts w:eastAsia="SimSun"/>
          <w:lang w:val="fr-FR"/>
        </w:rPr>
        <w:t>,</w:t>
      </w:r>
      <w:r w:rsidRPr="00567C3B">
        <w:rPr>
          <w:rFonts w:eastAsia="SimSun"/>
          <w:iCs/>
          <w:lang w:val="fr-FR"/>
        </w:rPr>
        <w:t xml:space="preserve"> libellé comme suit </w:t>
      </w:r>
      <w:r w:rsidRPr="00567C3B">
        <w:rPr>
          <w:rFonts w:eastAsia="SimSun"/>
          <w:lang w:val="fr-FR"/>
        </w:rPr>
        <w:t>:</w:t>
      </w:r>
    </w:p>
    <w:p w14:paraId="36DC6070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rFonts w:eastAsia="SimSun"/>
          <w:lang w:val="fr-FR"/>
        </w:rPr>
      </w:pPr>
      <w:r w:rsidRPr="00567C3B">
        <w:rPr>
          <w:rFonts w:eastAsia="SimSun"/>
          <w:lang w:val="fr-FR"/>
        </w:rPr>
        <w:t>« 5.5</w:t>
      </w:r>
      <w:r w:rsidRPr="00567C3B">
        <w:rPr>
          <w:rFonts w:eastAsia="SimSun"/>
          <w:lang w:val="fr-FR"/>
        </w:rPr>
        <w:tab/>
        <w:t>L</w:t>
      </w:r>
      <w:r w:rsidR="000C05E5">
        <w:rPr>
          <w:rFonts w:eastAsia="SimSun"/>
          <w:lang w:val="fr-FR"/>
        </w:rPr>
        <w:t>’</w:t>
      </w:r>
      <w:r w:rsidRPr="00567C3B">
        <w:rPr>
          <w:rFonts w:eastAsia="SimSun"/>
          <w:lang w:val="fr-FR"/>
        </w:rPr>
        <w:t>essai statique décrit dans l</w:t>
      </w:r>
      <w:r w:rsidR="000C05E5">
        <w:rPr>
          <w:rFonts w:eastAsia="SimSun"/>
          <w:lang w:val="fr-FR"/>
        </w:rPr>
        <w:t>’</w:t>
      </w:r>
      <w:r w:rsidRPr="00567C3B">
        <w:rPr>
          <w:rFonts w:eastAsia="SimSun"/>
          <w:lang w:val="fr-FR"/>
        </w:rPr>
        <w:t>appendice 5 n</w:t>
      </w:r>
      <w:r w:rsidR="000C05E5">
        <w:rPr>
          <w:rFonts w:eastAsia="SimSun"/>
          <w:lang w:val="fr-FR"/>
        </w:rPr>
        <w:t>’</w:t>
      </w:r>
      <w:r w:rsidRPr="00567C3B">
        <w:rPr>
          <w:rFonts w:eastAsia="SimSun"/>
          <w:lang w:val="fr-FR"/>
        </w:rPr>
        <w:t>est pas autorisé si le siège est fixé à la structure du véhicule au moyen d</w:t>
      </w:r>
      <w:r w:rsidR="000C05E5">
        <w:rPr>
          <w:rFonts w:eastAsia="SimSun"/>
          <w:lang w:val="fr-FR"/>
        </w:rPr>
        <w:t>’</w:t>
      </w:r>
      <w:r w:rsidRPr="00567C3B">
        <w:rPr>
          <w:rFonts w:eastAsia="SimSun"/>
          <w:lang w:val="fr-FR"/>
        </w:rPr>
        <w:t>une pince mais sans fixation mécanique. Par fixation mécanique, on entend le verrouillage en place du siège qui l</w:t>
      </w:r>
      <w:r w:rsidR="000C05E5">
        <w:rPr>
          <w:rFonts w:eastAsia="SimSun"/>
          <w:lang w:val="fr-FR"/>
        </w:rPr>
        <w:t>’</w:t>
      </w:r>
      <w:r w:rsidRPr="00567C3B">
        <w:rPr>
          <w:rFonts w:eastAsia="SimSun"/>
          <w:lang w:val="fr-FR"/>
        </w:rPr>
        <w:t>empêche de se déplacer dans la direction de conduite du véhicule. ».</w:t>
      </w:r>
    </w:p>
    <w:p w14:paraId="3F6C8A78" w14:textId="77777777" w:rsidR="00DA0D0F" w:rsidRPr="00567C3B" w:rsidRDefault="00DA0D0F" w:rsidP="00DA0D0F">
      <w:pPr>
        <w:pStyle w:val="SingleTxtG"/>
        <w:keepNext/>
        <w:rPr>
          <w:rFonts w:eastAsia="Arial"/>
          <w:iCs/>
          <w:lang w:val="fr-FR"/>
        </w:rPr>
      </w:pPr>
      <w:r w:rsidRPr="00567C3B">
        <w:rPr>
          <w:rFonts w:eastAsia="Arial"/>
          <w:i/>
          <w:lang w:val="fr-FR"/>
        </w:rPr>
        <w:t>L</w:t>
      </w:r>
      <w:r w:rsidR="000C05E5">
        <w:rPr>
          <w:rFonts w:eastAsia="Arial"/>
          <w:i/>
          <w:lang w:val="fr-FR"/>
        </w:rPr>
        <w:t>’</w:t>
      </w:r>
      <w:r w:rsidRPr="00567C3B">
        <w:rPr>
          <w:rFonts w:eastAsia="Arial"/>
          <w:i/>
          <w:lang w:val="fr-FR"/>
        </w:rPr>
        <w:t xml:space="preserve">ancien paragraphe 5.5 </w:t>
      </w:r>
      <w:r w:rsidRPr="00567C3B">
        <w:rPr>
          <w:rFonts w:eastAsia="Arial"/>
          <w:iCs/>
          <w:lang w:val="fr-FR"/>
        </w:rPr>
        <w:t>devient le paragraphe 5.6.</w:t>
      </w:r>
    </w:p>
    <w:p w14:paraId="4208F902" w14:textId="77777777" w:rsidR="00DA0D0F" w:rsidRPr="00567C3B" w:rsidRDefault="00DA0D0F" w:rsidP="00DA0D0F">
      <w:pPr>
        <w:pStyle w:val="SingleTxtG"/>
        <w:keepNext/>
        <w:rPr>
          <w:rFonts w:eastAsia="Arial"/>
          <w:bCs/>
          <w:lang w:val="fr-FR"/>
        </w:rPr>
      </w:pPr>
      <w:r w:rsidRPr="00567C3B">
        <w:rPr>
          <w:rFonts w:eastAsia="Arial"/>
          <w:bCs/>
          <w:i/>
          <w:iCs/>
          <w:lang w:val="fr-FR"/>
        </w:rPr>
        <w:t>Paragraphe 8</w:t>
      </w:r>
      <w:r w:rsidRPr="00567C3B">
        <w:rPr>
          <w:rFonts w:eastAsia="Arial"/>
          <w:bCs/>
          <w:lang w:val="fr-FR"/>
        </w:rPr>
        <w:t>, lire :</w:t>
      </w:r>
    </w:p>
    <w:p w14:paraId="6D458C47" w14:textId="77777777" w:rsidR="00DA0D0F" w:rsidRPr="00567C3B" w:rsidRDefault="00DA0D0F" w:rsidP="00DA0D0F">
      <w:pPr>
        <w:pStyle w:val="HChG"/>
        <w:rPr>
          <w:lang w:val="fr-FR"/>
        </w:rPr>
      </w:pPr>
      <w:r w:rsidRPr="00567C3B">
        <w:rPr>
          <w:lang w:val="fr-FR"/>
        </w:rPr>
        <w:tab/>
      </w:r>
      <w:r w:rsidRPr="00567C3B">
        <w:rPr>
          <w:lang w:val="fr-FR"/>
        </w:rPr>
        <w:tab/>
      </w:r>
      <w:r w:rsidRPr="005661BF">
        <w:rPr>
          <w:b w:val="0"/>
          <w:sz w:val="20"/>
          <w:lang w:val="fr-FR"/>
        </w:rPr>
        <w:t>« </w:t>
      </w:r>
      <w:r w:rsidRPr="00567C3B">
        <w:rPr>
          <w:lang w:val="fr-FR"/>
        </w:rPr>
        <w:t>8.</w:t>
      </w:r>
      <w:r w:rsidRPr="00567C3B">
        <w:rPr>
          <w:lang w:val="fr-FR"/>
        </w:rPr>
        <w:tab/>
      </w:r>
      <w:r w:rsidRPr="00567C3B">
        <w:rPr>
          <w:lang w:val="fr-FR"/>
        </w:rPr>
        <w:tab/>
        <w:t>Conformité de la production</w:t>
      </w:r>
    </w:p>
    <w:p w14:paraId="202375BB" w14:textId="77777777" w:rsidR="00DA0D0F" w:rsidRPr="00567C3B" w:rsidRDefault="00DA0D0F" w:rsidP="00DA0D0F">
      <w:pPr>
        <w:pStyle w:val="SingleTxtG"/>
        <w:ind w:left="2268"/>
        <w:rPr>
          <w:rFonts w:eastAsia="SimSun"/>
          <w:lang w:val="fr-FR"/>
        </w:rPr>
      </w:pPr>
      <w:r w:rsidRPr="00567C3B">
        <w:rPr>
          <w:lang w:val="fr-FR"/>
        </w:rPr>
        <w:tab/>
        <w:t>Les procédures de contrôle de la conformité de la production doivent être conformes à celles indiquées dans l</w:t>
      </w:r>
      <w:r w:rsidR="000C05E5">
        <w:rPr>
          <w:lang w:val="fr-FR"/>
        </w:rPr>
        <w:t>’</w:t>
      </w:r>
      <w:r w:rsidRPr="00567C3B">
        <w:rPr>
          <w:lang w:val="fr-FR"/>
        </w:rPr>
        <w:t>annexe 1 de l</w:t>
      </w:r>
      <w:r w:rsidR="000C05E5">
        <w:rPr>
          <w:lang w:val="fr-FR"/>
        </w:rPr>
        <w:t>’</w:t>
      </w:r>
      <w:r w:rsidRPr="00567C3B">
        <w:rPr>
          <w:lang w:val="fr-FR"/>
        </w:rPr>
        <w:t>Accord (E/ECE/324-E/ECE/TRANS/505/Rev.3) et satisfaire aux prescriptions ci-après : ».</w:t>
      </w:r>
    </w:p>
    <w:p w14:paraId="0B685D2E" w14:textId="77777777" w:rsidR="00DA0D0F" w:rsidRPr="00567C3B" w:rsidRDefault="00DA0D0F" w:rsidP="00DA0D0F">
      <w:pPr>
        <w:pStyle w:val="SingleTxtG"/>
        <w:keepNext/>
        <w:rPr>
          <w:iCs/>
          <w:lang w:val="fr-FR"/>
        </w:rPr>
      </w:pPr>
      <w:r w:rsidRPr="00567C3B">
        <w:rPr>
          <w:rFonts w:eastAsia="SimSun"/>
          <w:i/>
          <w:lang w:val="fr-FR"/>
        </w:rPr>
        <w:t>Ajouter les nouveaux paragraphes 12.10 à 12.14</w:t>
      </w:r>
      <w:r w:rsidRPr="00567C3B">
        <w:rPr>
          <w:rFonts w:eastAsia="SimSun"/>
          <w:lang w:val="fr-FR"/>
        </w:rPr>
        <w:t>, libellés comme</w:t>
      </w:r>
      <w:r w:rsidRPr="00567C3B">
        <w:rPr>
          <w:rFonts w:eastAsia="SimSun"/>
          <w:iCs/>
          <w:lang w:val="fr-FR"/>
        </w:rPr>
        <w:t xml:space="preserve"> suit :</w:t>
      </w:r>
    </w:p>
    <w:p w14:paraId="3DCB63CF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rFonts w:eastAsia="Arial"/>
          <w:lang w:val="fr-FR"/>
        </w:rPr>
      </w:pPr>
      <w:r w:rsidRPr="00567C3B">
        <w:rPr>
          <w:rFonts w:eastAsia="Arial"/>
          <w:lang w:val="fr-FR"/>
        </w:rPr>
        <w:t>« 12.10</w:t>
      </w:r>
      <w:r w:rsidRPr="00567C3B">
        <w:rPr>
          <w:rFonts w:eastAsia="Arial"/>
          <w:lang w:val="fr-FR"/>
        </w:rPr>
        <w:tab/>
      </w:r>
      <w:r w:rsidRPr="00567C3B">
        <w:rPr>
          <w:rFonts w:eastAsia="Arial"/>
          <w:lang w:val="fr-FR"/>
        </w:rPr>
        <w:tab/>
        <w:t>À compter de la date officielle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entrée en vigueur de la série 04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amendements, aucune Partie contractante appliquant le présent Règlement ne pourra refuser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accorder ou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accepter une homologation de type en vertu dudit Règlement tel que modifié par la série 04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amendements.</w:t>
      </w:r>
    </w:p>
    <w:p w14:paraId="3EC0DB95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rFonts w:eastAsia="Arial"/>
          <w:lang w:val="fr-FR"/>
        </w:rPr>
      </w:pPr>
      <w:r w:rsidRPr="00567C3B">
        <w:rPr>
          <w:rFonts w:eastAsia="Arial"/>
          <w:lang w:val="fr-FR"/>
        </w:rPr>
        <w:t>12.11</w:t>
      </w:r>
      <w:r w:rsidRPr="00567C3B">
        <w:rPr>
          <w:rFonts w:eastAsia="Arial"/>
          <w:lang w:val="fr-FR"/>
        </w:rPr>
        <w:tab/>
        <w:t>À compter du 1</w:t>
      </w:r>
      <w:r w:rsidRPr="00567C3B">
        <w:rPr>
          <w:rFonts w:eastAsia="Arial"/>
          <w:vertAlign w:val="superscript"/>
          <w:lang w:val="fr-FR"/>
        </w:rPr>
        <w:t>er</w:t>
      </w:r>
      <w:r>
        <w:rPr>
          <w:rFonts w:eastAsia="Arial"/>
          <w:lang w:val="fr-FR"/>
        </w:rPr>
        <w:t> </w:t>
      </w:r>
      <w:r w:rsidRPr="00567C3B">
        <w:rPr>
          <w:rFonts w:eastAsia="Arial"/>
          <w:lang w:val="fr-FR"/>
        </w:rPr>
        <w:t>septembre 2021, les Parties contractantes appliquant le présent Règlement ne seront plus tenues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accepter les homologations de type établies conformément aux précédentes séries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amendements, délivrées pour la première fois après le 1</w:t>
      </w:r>
      <w:r w:rsidRPr="00567C3B">
        <w:rPr>
          <w:rFonts w:eastAsia="Arial"/>
          <w:vertAlign w:val="superscript"/>
          <w:lang w:val="fr-FR"/>
        </w:rPr>
        <w:t>er</w:t>
      </w:r>
      <w:r>
        <w:rPr>
          <w:rFonts w:eastAsia="Arial"/>
          <w:lang w:val="fr-FR"/>
        </w:rPr>
        <w:t> </w:t>
      </w:r>
      <w:r w:rsidRPr="00567C3B">
        <w:rPr>
          <w:rFonts w:eastAsia="Arial"/>
          <w:lang w:val="fr-FR"/>
        </w:rPr>
        <w:t>septembre 2021.</w:t>
      </w:r>
    </w:p>
    <w:p w14:paraId="07B4C5BD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rFonts w:eastAsia="Arial"/>
          <w:lang w:val="fr-FR"/>
        </w:rPr>
      </w:pPr>
      <w:r w:rsidRPr="00567C3B">
        <w:rPr>
          <w:rFonts w:eastAsia="Arial"/>
          <w:lang w:val="fr-FR"/>
        </w:rPr>
        <w:t>12.12</w:t>
      </w:r>
      <w:r w:rsidRPr="00567C3B">
        <w:rPr>
          <w:rFonts w:eastAsia="Arial"/>
          <w:lang w:val="fr-FR"/>
        </w:rPr>
        <w:tab/>
        <w:t>Jusqu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au 1</w:t>
      </w:r>
      <w:r w:rsidRPr="00567C3B">
        <w:rPr>
          <w:rFonts w:eastAsia="Arial"/>
          <w:vertAlign w:val="superscript"/>
          <w:lang w:val="fr-FR"/>
        </w:rPr>
        <w:t>er</w:t>
      </w:r>
      <w:r>
        <w:rPr>
          <w:rFonts w:eastAsia="Arial"/>
          <w:lang w:val="fr-FR"/>
        </w:rPr>
        <w:t> </w:t>
      </w:r>
      <w:r w:rsidRPr="00567C3B">
        <w:rPr>
          <w:rFonts w:eastAsia="Arial"/>
          <w:lang w:val="fr-FR"/>
        </w:rPr>
        <w:t>septembre 2022, les Parties contractantes appliquant le présent Règlement seront tenues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accepter les homologations de type établies conformément aux précédentes séries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amendements, délivrées pour la première fois avant le 1</w:t>
      </w:r>
      <w:r w:rsidRPr="00567C3B">
        <w:rPr>
          <w:rFonts w:eastAsia="Arial"/>
          <w:vertAlign w:val="superscript"/>
          <w:lang w:val="fr-FR"/>
        </w:rPr>
        <w:t>er</w:t>
      </w:r>
      <w:r>
        <w:rPr>
          <w:rFonts w:eastAsia="Arial"/>
          <w:lang w:val="fr-FR"/>
        </w:rPr>
        <w:t> </w:t>
      </w:r>
      <w:r w:rsidRPr="00567C3B">
        <w:rPr>
          <w:rFonts w:eastAsia="Arial"/>
          <w:lang w:val="fr-FR"/>
        </w:rPr>
        <w:t>septembre 2021.</w:t>
      </w:r>
    </w:p>
    <w:p w14:paraId="3D1298A3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rFonts w:eastAsia="Arial"/>
          <w:lang w:val="fr-FR"/>
        </w:rPr>
      </w:pPr>
      <w:r w:rsidRPr="00567C3B">
        <w:rPr>
          <w:rFonts w:eastAsia="Arial"/>
          <w:lang w:val="fr-FR"/>
        </w:rPr>
        <w:t>12.13</w:t>
      </w:r>
      <w:r w:rsidRPr="00567C3B">
        <w:rPr>
          <w:rFonts w:eastAsia="Arial"/>
          <w:lang w:val="fr-FR"/>
        </w:rPr>
        <w:tab/>
        <w:t>À compter du 1</w:t>
      </w:r>
      <w:r w:rsidRPr="00567C3B">
        <w:rPr>
          <w:rFonts w:eastAsia="Arial"/>
          <w:vertAlign w:val="superscript"/>
          <w:lang w:val="fr-FR"/>
        </w:rPr>
        <w:t>er</w:t>
      </w:r>
      <w:r w:rsidRPr="00567C3B">
        <w:rPr>
          <w:rFonts w:eastAsia="Arial"/>
          <w:lang w:val="fr-FR"/>
        </w:rPr>
        <w:t> septembre 2022, les Parties contractantes appliquant le présent Règlement ne seront plus tenues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accepter les homologations de type délivrées en vertu des précédentes séries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amendements audit Règlement.</w:t>
      </w:r>
    </w:p>
    <w:p w14:paraId="0D7668CE" w14:textId="77777777" w:rsidR="00DA0D0F" w:rsidRPr="00567C3B" w:rsidRDefault="00DA0D0F" w:rsidP="00DA0D0F">
      <w:pPr>
        <w:pStyle w:val="SingleTxtG"/>
        <w:tabs>
          <w:tab w:val="left" w:pos="2268"/>
        </w:tabs>
        <w:ind w:left="2268" w:hanging="1134"/>
        <w:rPr>
          <w:rFonts w:eastAsia="Arial"/>
          <w:lang w:val="fr-FR"/>
        </w:rPr>
      </w:pPr>
      <w:r w:rsidRPr="00567C3B">
        <w:rPr>
          <w:rFonts w:eastAsia="Arial"/>
          <w:lang w:val="fr-FR"/>
        </w:rPr>
        <w:t>12.14</w:t>
      </w:r>
      <w:r w:rsidRPr="00567C3B">
        <w:rPr>
          <w:rFonts w:eastAsia="Arial"/>
          <w:lang w:val="fr-FR"/>
        </w:rPr>
        <w:tab/>
        <w:t>Les Parties contractantes appliquant le présent Règlement ne pourront refuser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accorder des homologations de type en vertu de l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une quelconque des précédentes séries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amendements audit Règlement, ou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accorder des extensions pour les homologations en question. ».</w:t>
      </w:r>
    </w:p>
    <w:p w14:paraId="129F542C" w14:textId="77777777" w:rsidR="00DA0D0F" w:rsidRPr="00567C3B" w:rsidRDefault="00DA0D0F" w:rsidP="00DA0D0F">
      <w:pPr>
        <w:pStyle w:val="SingleTxtG"/>
        <w:keepNext/>
        <w:rPr>
          <w:lang w:val="fr-FR"/>
        </w:rPr>
      </w:pPr>
      <w:r w:rsidRPr="00567C3B">
        <w:rPr>
          <w:rFonts w:eastAsia="Arial"/>
          <w:lang w:val="fr-FR"/>
        </w:rPr>
        <w:br w:type="page"/>
      </w:r>
      <w:r w:rsidRPr="00567C3B">
        <w:rPr>
          <w:i/>
          <w:iCs/>
          <w:lang w:val="fr-FR"/>
        </w:rPr>
        <w:t>Annexe 3</w:t>
      </w:r>
      <w:r w:rsidRPr="00DD2AD4">
        <w:rPr>
          <w:iCs/>
          <w:lang w:val="fr-FR"/>
        </w:rPr>
        <w:t>,</w:t>
      </w:r>
      <w:r w:rsidRPr="00567C3B">
        <w:rPr>
          <w:lang w:val="fr-FR"/>
        </w:rPr>
        <w:t xml:space="preserve"> lire :</w:t>
      </w:r>
    </w:p>
    <w:p w14:paraId="056CCB58" w14:textId="77777777" w:rsidR="00DA0D0F" w:rsidRPr="00567C3B" w:rsidRDefault="00DA0D0F" w:rsidP="00DA0D0F">
      <w:pPr>
        <w:pStyle w:val="HChG"/>
        <w:rPr>
          <w:lang w:val="fr-FR"/>
        </w:rPr>
      </w:pPr>
      <w:r w:rsidRPr="001301A9">
        <w:rPr>
          <w:b w:val="0"/>
          <w:sz w:val="20"/>
          <w:lang w:val="fr-FR"/>
        </w:rPr>
        <w:t>« </w:t>
      </w:r>
      <w:r w:rsidRPr="00567C3B">
        <w:rPr>
          <w:lang w:val="fr-FR"/>
        </w:rPr>
        <w:t>Annexe</w:t>
      </w:r>
      <w:r w:rsidRPr="00567C3B">
        <w:rPr>
          <w:spacing w:val="15"/>
          <w:lang w:val="fr-FR"/>
        </w:rPr>
        <w:t xml:space="preserve"> </w:t>
      </w:r>
      <w:r w:rsidRPr="00567C3B">
        <w:rPr>
          <w:lang w:val="fr-FR"/>
        </w:rPr>
        <w:t>3</w:t>
      </w:r>
    </w:p>
    <w:p w14:paraId="39C19AA7" w14:textId="77777777" w:rsidR="00DA0D0F" w:rsidRPr="001301A9" w:rsidRDefault="00DA0D0F" w:rsidP="00025D68">
      <w:pPr>
        <w:pStyle w:val="HChG"/>
        <w:rPr>
          <w:lang w:val="fr-FR"/>
        </w:rPr>
      </w:pPr>
      <w:r w:rsidRPr="00567C3B">
        <w:rPr>
          <w:lang w:val="fr-FR"/>
        </w:rPr>
        <w:tab/>
      </w:r>
      <w:r w:rsidRPr="00567C3B">
        <w:rPr>
          <w:lang w:val="fr-FR"/>
        </w:rPr>
        <w:tab/>
      </w:r>
      <w:r w:rsidRPr="001301A9">
        <w:rPr>
          <w:lang w:val="fr-FR"/>
        </w:rPr>
        <w:t>Exemples de marques d</w:t>
      </w:r>
      <w:r w:rsidR="000C05E5">
        <w:rPr>
          <w:lang w:val="fr-FR"/>
        </w:rPr>
        <w:t>’</w:t>
      </w:r>
      <w:r w:rsidRPr="001301A9">
        <w:rPr>
          <w:lang w:val="fr-FR"/>
        </w:rPr>
        <w:t>homologation</w:t>
      </w:r>
    </w:p>
    <w:p w14:paraId="5356CE89" w14:textId="77777777" w:rsidR="00DA0D0F" w:rsidRPr="00567C3B" w:rsidRDefault="00DA0D0F" w:rsidP="00DA0D0F">
      <w:pPr>
        <w:pStyle w:val="SingleTxtG"/>
        <w:tabs>
          <w:tab w:val="left" w:pos="2268"/>
        </w:tabs>
        <w:rPr>
          <w:rFonts w:eastAsia="Arial"/>
          <w:lang w:val="fr-FR"/>
        </w:rPr>
      </w:pPr>
      <w:r w:rsidRPr="00567C3B">
        <w:rPr>
          <w:rFonts w:eastAsia="Arial"/>
          <w:spacing w:val="8"/>
          <w:lang w:val="fr-FR"/>
        </w:rPr>
        <w:t>1</w:t>
      </w:r>
      <w:r w:rsidRPr="00567C3B">
        <w:rPr>
          <w:rFonts w:eastAsia="Arial"/>
          <w:lang w:val="fr-FR"/>
        </w:rPr>
        <w:t>.</w:t>
      </w:r>
      <w:r w:rsidRPr="00567C3B">
        <w:rPr>
          <w:rFonts w:eastAsia="Arial"/>
          <w:lang w:val="fr-FR"/>
        </w:rPr>
        <w:tab/>
      </w:r>
      <w:r w:rsidRPr="00567C3B">
        <w:rPr>
          <w:rFonts w:eastAsia="Arial"/>
          <w:lang w:val="fr-FR"/>
        </w:rPr>
        <w:tab/>
      </w:r>
      <w:r w:rsidRPr="00567C3B">
        <w:rPr>
          <w:lang w:val="fr-FR"/>
        </w:rPr>
        <w:t>Exemple de marque d</w:t>
      </w:r>
      <w:r w:rsidR="000C05E5">
        <w:rPr>
          <w:lang w:val="fr-FR"/>
        </w:rPr>
        <w:t>’</w:t>
      </w:r>
      <w:r w:rsidRPr="00567C3B">
        <w:rPr>
          <w:lang w:val="fr-FR"/>
        </w:rPr>
        <w:t>homologation d</w:t>
      </w:r>
      <w:r w:rsidR="000C05E5">
        <w:rPr>
          <w:lang w:val="fr-FR"/>
        </w:rPr>
        <w:t>’</w:t>
      </w:r>
      <w:r w:rsidRPr="00567C3B">
        <w:rPr>
          <w:lang w:val="fr-FR"/>
        </w:rPr>
        <w:t>un siège</w:t>
      </w:r>
    </w:p>
    <w:p w14:paraId="443E3DC1" w14:textId="77777777" w:rsidR="00DA0D0F" w:rsidRPr="00567C3B" w:rsidRDefault="00DA0D0F" w:rsidP="00025D68">
      <w:pPr>
        <w:spacing w:after="240" w:line="240" w:lineRule="auto"/>
        <w:ind w:left="2268"/>
        <w:rPr>
          <w:rFonts w:eastAsia="Arial"/>
          <w:lang w:val="fr-FR"/>
        </w:rPr>
      </w:pPr>
      <w:r w:rsidRPr="00567C3B">
        <w:rPr>
          <w:rFonts w:eastAsia="Arial"/>
          <w:noProof/>
          <w:lang w:val="fr-FR" w:eastAsia="fr-FR"/>
        </w:rPr>
        <w:drawing>
          <wp:inline distT="0" distB="0" distL="0" distR="0" wp14:anchorId="3227038D" wp14:editId="1DBFF930">
            <wp:extent cx="3942691" cy="84124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76" cy="8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3E2BE" w14:textId="77777777" w:rsidR="00DA0D0F" w:rsidRPr="00567C3B" w:rsidRDefault="00DA0D0F" w:rsidP="00DA0D0F">
      <w:pPr>
        <w:pStyle w:val="SingleTxtG"/>
        <w:ind w:left="2268"/>
        <w:rPr>
          <w:lang w:val="fr-FR"/>
        </w:rPr>
      </w:pPr>
      <w:r w:rsidRPr="00567C3B">
        <w:rPr>
          <w:lang w:val="fr-FR"/>
        </w:rPr>
        <w:tab/>
        <w:t>La marque d</w:t>
      </w:r>
      <w:r w:rsidR="000C05E5">
        <w:rPr>
          <w:lang w:val="fr-FR"/>
        </w:rPr>
        <w:t>’</w:t>
      </w:r>
      <w:r w:rsidRPr="00567C3B">
        <w:rPr>
          <w:lang w:val="fr-FR"/>
        </w:rPr>
        <w:t xml:space="preserve">homologation ci-dessus, apposée sur un siège, indique que ce type de siège a été homologué aux Pays-Bas (E4) sous le numéro </w:t>
      </w:r>
      <w:r w:rsidRPr="00567C3B">
        <w:rPr>
          <w:rFonts w:eastAsia="SimSun"/>
          <w:lang w:val="fr-FR"/>
        </w:rPr>
        <w:t>042439</w:t>
      </w:r>
      <w:r w:rsidRPr="00567C3B">
        <w:rPr>
          <w:lang w:val="fr-FR"/>
        </w:rPr>
        <w:t>, en ce qui concerne la résistance des sièges, l</w:t>
      </w:r>
      <w:r w:rsidR="000C05E5">
        <w:rPr>
          <w:lang w:val="fr-FR"/>
        </w:rPr>
        <w:t>’</w:t>
      </w:r>
      <w:r w:rsidRPr="00567C3B">
        <w:rPr>
          <w:lang w:val="fr-FR"/>
        </w:rPr>
        <w:t>essai effectué étant celui prévu au paragraphe</w:t>
      </w:r>
      <w:r>
        <w:rPr>
          <w:lang w:val="fr-FR"/>
        </w:rPr>
        <w:t> </w:t>
      </w:r>
      <w:r w:rsidRPr="00567C3B">
        <w:rPr>
          <w:lang w:val="fr-FR"/>
        </w:rPr>
        <w:t>2 de l</w:t>
      </w:r>
      <w:r w:rsidR="000C05E5">
        <w:rPr>
          <w:lang w:val="fr-FR"/>
        </w:rPr>
        <w:t>’</w:t>
      </w:r>
      <w:r w:rsidRPr="00567C3B">
        <w:rPr>
          <w:lang w:val="fr-FR"/>
        </w:rPr>
        <w:t>annexe</w:t>
      </w:r>
      <w:r>
        <w:rPr>
          <w:lang w:val="fr-FR"/>
        </w:rPr>
        <w:t> </w:t>
      </w:r>
      <w:r w:rsidRPr="00567C3B">
        <w:rPr>
          <w:lang w:val="fr-FR"/>
        </w:rPr>
        <w:t>4 du Règlement. Le numéro d</w:t>
      </w:r>
      <w:r w:rsidR="000C05E5">
        <w:rPr>
          <w:lang w:val="fr-FR"/>
        </w:rPr>
        <w:t>’</w:t>
      </w:r>
      <w:r w:rsidRPr="00567C3B">
        <w:rPr>
          <w:lang w:val="fr-FR"/>
        </w:rPr>
        <w:t>homologation indique que l</w:t>
      </w:r>
      <w:r w:rsidR="000C05E5">
        <w:rPr>
          <w:lang w:val="fr-FR"/>
        </w:rPr>
        <w:t>’</w:t>
      </w:r>
      <w:r w:rsidRPr="00567C3B">
        <w:rPr>
          <w:lang w:val="fr-FR"/>
        </w:rPr>
        <w:t xml:space="preserve">homologation a été accordée conformément aux prescriptions du Règlement </w:t>
      </w:r>
      <w:r>
        <w:rPr>
          <w:lang w:val="fr-FR"/>
        </w:rPr>
        <w:t xml:space="preserve">ONU </w:t>
      </w:r>
      <w:r w:rsidRPr="00567C3B">
        <w:rPr>
          <w:lang w:val="fr-FR"/>
        </w:rPr>
        <w:t>n</w:t>
      </w:r>
      <w:r w:rsidRPr="00567C3B">
        <w:rPr>
          <w:vertAlign w:val="superscript"/>
          <w:lang w:val="fr-FR"/>
        </w:rPr>
        <w:t>o</w:t>
      </w:r>
      <w:r w:rsidRPr="00567C3B">
        <w:rPr>
          <w:lang w:val="fr-FR"/>
        </w:rPr>
        <w:t> 80 tel que modifié par la série 04 d</w:t>
      </w:r>
      <w:r w:rsidR="000C05E5">
        <w:rPr>
          <w:lang w:val="fr-FR"/>
        </w:rPr>
        <w:t>’</w:t>
      </w:r>
      <w:r w:rsidRPr="00567C3B">
        <w:rPr>
          <w:lang w:val="fr-FR"/>
        </w:rPr>
        <w:t>amendements.</w:t>
      </w:r>
    </w:p>
    <w:p w14:paraId="35AE4D65" w14:textId="77777777" w:rsidR="00DA0D0F" w:rsidRPr="00567C3B" w:rsidRDefault="00DA0D0F" w:rsidP="00DA0D0F">
      <w:pPr>
        <w:pStyle w:val="SingleTxtG"/>
        <w:tabs>
          <w:tab w:val="left" w:pos="2268"/>
        </w:tabs>
        <w:rPr>
          <w:rFonts w:eastAsia="Arial"/>
          <w:lang w:val="fr-FR"/>
        </w:rPr>
      </w:pPr>
      <w:r w:rsidRPr="00567C3B">
        <w:rPr>
          <w:rFonts w:eastAsia="Arial"/>
          <w:lang w:val="fr-FR"/>
        </w:rPr>
        <w:t>2.</w:t>
      </w:r>
      <w:r w:rsidRPr="00567C3B">
        <w:rPr>
          <w:rFonts w:eastAsia="Arial"/>
          <w:lang w:val="fr-FR"/>
        </w:rPr>
        <w:tab/>
      </w:r>
      <w:r w:rsidRPr="00567C3B">
        <w:rPr>
          <w:rFonts w:eastAsia="Arial"/>
          <w:lang w:val="fr-FR"/>
        </w:rPr>
        <w:tab/>
        <w:t>Exemple de marque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homologation d</w:t>
      </w:r>
      <w:r w:rsidR="000C05E5">
        <w:rPr>
          <w:rFonts w:eastAsia="Arial"/>
          <w:lang w:val="fr-FR"/>
        </w:rPr>
        <w:t>’</w:t>
      </w:r>
      <w:r w:rsidRPr="00567C3B">
        <w:rPr>
          <w:rFonts w:eastAsia="Arial"/>
          <w:lang w:val="fr-FR"/>
        </w:rPr>
        <w:t>un type de véhicule</w:t>
      </w:r>
    </w:p>
    <w:p w14:paraId="7ADBE245" w14:textId="77777777" w:rsidR="00DA0D0F" w:rsidRPr="00567C3B" w:rsidRDefault="00DA0D0F" w:rsidP="00025D68">
      <w:pPr>
        <w:spacing w:after="240" w:line="240" w:lineRule="auto"/>
        <w:ind w:left="2268"/>
        <w:rPr>
          <w:rFonts w:eastAsia="Arial"/>
          <w:lang w:val="fr-FR"/>
        </w:rPr>
      </w:pPr>
      <w:r w:rsidRPr="00567C3B">
        <w:rPr>
          <w:rFonts w:eastAsia="Arial"/>
          <w:noProof/>
          <w:lang w:val="fr-FR" w:eastAsia="fr-FR"/>
        </w:rPr>
        <w:drawing>
          <wp:inline distT="0" distB="0" distL="0" distR="0" wp14:anchorId="68C76C6B" wp14:editId="459737BC">
            <wp:extent cx="3833165" cy="101561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4" cy="10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7550" w14:textId="77777777" w:rsidR="00DA0D0F" w:rsidRPr="007027ED" w:rsidRDefault="00DA0D0F" w:rsidP="00025D68">
      <w:pPr>
        <w:pStyle w:val="SingleTxtG"/>
        <w:ind w:left="2268"/>
        <w:rPr>
          <w:rFonts w:eastAsia="Arial"/>
          <w:spacing w:val="-2"/>
          <w:lang w:val="fr-FR"/>
        </w:rPr>
      </w:pPr>
      <w:r w:rsidRPr="007027ED">
        <w:rPr>
          <w:spacing w:val="-2"/>
          <w:lang w:val="fr-FR"/>
        </w:rPr>
        <w:t>La marque d</w:t>
      </w:r>
      <w:r w:rsidR="000C05E5" w:rsidRPr="007027ED">
        <w:rPr>
          <w:spacing w:val="-2"/>
          <w:lang w:val="fr-FR"/>
        </w:rPr>
        <w:t>’</w:t>
      </w:r>
      <w:r w:rsidRPr="007027ED">
        <w:rPr>
          <w:spacing w:val="-2"/>
          <w:lang w:val="fr-FR"/>
        </w:rPr>
        <w:t>homologation ci-dessus, apposée sur un véhicule, indique que ce type de véhicule a été homologué aux Pays-Bas (E4) sous le numéro 042439, en ce qui concerne la résistance des ancrages sur le véhicule. Le numéro d</w:t>
      </w:r>
      <w:r w:rsidR="000C05E5" w:rsidRPr="007027ED">
        <w:rPr>
          <w:spacing w:val="-2"/>
          <w:lang w:val="fr-FR"/>
        </w:rPr>
        <w:t>’</w:t>
      </w:r>
      <w:r w:rsidRPr="007027ED">
        <w:rPr>
          <w:spacing w:val="-2"/>
          <w:lang w:val="fr-FR"/>
        </w:rPr>
        <w:t>homologation indique que l</w:t>
      </w:r>
      <w:r w:rsidR="000C05E5" w:rsidRPr="007027ED">
        <w:rPr>
          <w:spacing w:val="-2"/>
          <w:lang w:val="fr-FR"/>
        </w:rPr>
        <w:t>’</w:t>
      </w:r>
      <w:r w:rsidRPr="007027ED">
        <w:rPr>
          <w:spacing w:val="-2"/>
          <w:lang w:val="fr-FR"/>
        </w:rPr>
        <w:t xml:space="preserve">homologation a été accordée conformément aux prescriptions du Règlement ONU </w:t>
      </w:r>
      <w:r w:rsidRPr="007027ED">
        <w:rPr>
          <w:rFonts w:eastAsia="MS Mincho"/>
          <w:spacing w:val="-2"/>
          <w:lang w:val="fr-FR"/>
        </w:rPr>
        <w:t>n</w:t>
      </w:r>
      <w:r w:rsidRPr="007027ED">
        <w:rPr>
          <w:rFonts w:eastAsia="MS Mincho"/>
          <w:spacing w:val="-2"/>
          <w:vertAlign w:val="superscript"/>
          <w:lang w:val="fr-FR"/>
        </w:rPr>
        <w:t>o</w:t>
      </w:r>
      <w:r w:rsidRPr="007027ED">
        <w:rPr>
          <w:spacing w:val="-2"/>
          <w:lang w:val="fr-FR"/>
        </w:rPr>
        <w:t> 80 tel que modifié par la série 04 d</w:t>
      </w:r>
      <w:r w:rsidR="000C05E5" w:rsidRPr="007027ED">
        <w:rPr>
          <w:spacing w:val="-2"/>
          <w:lang w:val="fr-FR"/>
        </w:rPr>
        <w:t>’</w:t>
      </w:r>
      <w:r w:rsidRPr="007027ED">
        <w:rPr>
          <w:spacing w:val="-2"/>
          <w:lang w:val="fr-FR"/>
        </w:rPr>
        <w:t>amendements.</w:t>
      </w:r>
      <w:r w:rsidRPr="007027ED">
        <w:rPr>
          <w:rFonts w:eastAsia="Arial"/>
          <w:spacing w:val="-2"/>
          <w:lang w:val="fr-FR"/>
        </w:rPr>
        <w:t> ».</w:t>
      </w:r>
      <w:bookmarkStart w:id="0" w:name="_GoBack"/>
      <w:bookmarkEnd w:id="0"/>
    </w:p>
    <w:p w14:paraId="54956ED4" w14:textId="77777777" w:rsidR="000C05E5" w:rsidRPr="000C05E5" w:rsidRDefault="000C05E5" w:rsidP="000C05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05E5" w:rsidRPr="000C05E5" w:rsidSect="00DA0D0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78A7" w14:textId="77777777" w:rsidR="00E3701F" w:rsidRDefault="00E3701F"/>
  </w:endnote>
  <w:endnote w:type="continuationSeparator" w:id="0">
    <w:p w14:paraId="0C3B2A55" w14:textId="77777777" w:rsidR="00E3701F" w:rsidRDefault="00E3701F">
      <w:pPr>
        <w:pStyle w:val="Pieddepage"/>
      </w:pPr>
    </w:p>
  </w:endnote>
  <w:endnote w:type="continuationNotice" w:id="1">
    <w:p w14:paraId="5B4DFD9F" w14:textId="77777777" w:rsidR="00E3701F" w:rsidRPr="00C451B9" w:rsidRDefault="00E3701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3A13" w14:textId="77777777" w:rsidR="00DA0D0F" w:rsidRPr="00DA0D0F" w:rsidRDefault="00DA0D0F" w:rsidP="00DA0D0F">
    <w:pPr>
      <w:pStyle w:val="Pieddepage"/>
      <w:tabs>
        <w:tab w:val="right" w:pos="9638"/>
      </w:tabs>
    </w:pPr>
    <w:r w:rsidRPr="00DA0D0F">
      <w:rPr>
        <w:b/>
        <w:sz w:val="18"/>
      </w:rPr>
      <w:fldChar w:fldCharType="begin"/>
    </w:r>
    <w:r w:rsidRPr="00DA0D0F">
      <w:rPr>
        <w:b/>
        <w:sz w:val="18"/>
      </w:rPr>
      <w:instrText xml:space="preserve"> PAGE  \* MERGEFORMAT </w:instrText>
    </w:r>
    <w:r w:rsidRPr="00DA0D0F">
      <w:rPr>
        <w:b/>
        <w:sz w:val="18"/>
      </w:rPr>
      <w:fldChar w:fldCharType="separate"/>
    </w:r>
    <w:r w:rsidRPr="00DA0D0F">
      <w:rPr>
        <w:b/>
        <w:noProof/>
        <w:sz w:val="18"/>
      </w:rPr>
      <w:t>2</w:t>
    </w:r>
    <w:r w:rsidRPr="00DA0D0F">
      <w:rPr>
        <w:b/>
        <w:sz w:val="18"/>
      </w:rPr>
      <w:fldChar w:fldCharType="end"/>
    </w:r>
    <w:r>
      <w:rPr>
        <w:b/>
        <w:sz w:val="18"/>
      </w:rPr>
      <w:tab/>
    </w:r>
    <w:r>
      <w:t>GE.20-08739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C42F" w14:textId="77777777" w:rsidR="00DA0D0F" w:rsidRPr="00DA0D0F" w:rsidRDefault="00DA0D0F" w:rsidP="00DA0D0F">
    <w:pPr>
      <w:pStyle w:val="Pieddepage"/>
      <w:tabs>
        <w:tab w:val="right" w:pos="9638"/>
      </w:tabs>
      <w:rPr>
        <w:b/>
        <w:sz w:val="18"/>
      </w:rPr>
    </w:pPr>
    <w:r>
      <w:t>GE.20-08739</w:t>
    </w:r>
    <w:r>
      <w:tab/>
    </w:r>
    <w:r w:rsidRPr="00DA0D0F">
      <w:rPr>
        <w:b/>
        <w:sz w:val="18"/>
      </w:rPr>
      <w:fldChar w:fldCharType="begin"/>
    </w:r>
    <w:r w:rsidRPr="00DA0D0F">
      <w:rPr>
        <w:b/>
        <w:sz w:val="18"/>
      </w:rPr>
      <w:instrText xml:space="preserve"> PAGE  \* MERGEFORMAT </w:instrText>
    </w:r>
    <w:r w:rsidRPr="00DA0D0F">
      <w:rPr>
        <w:b/>
        <w:sz w:val="18"/>
      </w:rPr>
      <w:fldChar w:fldCharType="separate"/>
    </w:r>
    <w:r w:rsidRPr="00DA0D0F">
      <w:rPr>
        <w:b/>
        <w:noProof/>
        <w:sz w:val="18"/>
      </w:rPr>
      <w:t>3</w:t>
    </w:r>
    <w:r w:rsidRPr="00DA0D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BCE0" w14:textId="77777777" w:rsidR="00467F2C" w:rsidRPr="00DA0D0F" w:rsidRDefault="00DA0D0F" w:rsidP="00DA0D0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EE1377E" wp14:editId="411A933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20-08739  (F)    061120    061120</w:t>
    </w:r>
    <w:r>
      <w:rPr>
        <w:sz w:val="20"/>
      </w:rPr>
      <w:br/>
    </w:r>
    <w:r w:rsidRPr="00DA0D0F">
      <w:rPr>
        <w:rFonts w:ascii="C39T30Lfz" w:hAnsi="C39T30Lfz"/>
        <w:sz w:val="56"/>
      </w:rPr>
      <w:t>*2008739*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2DD9436" wp14:editId="498BC6D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1298" w14:textId="77777777" w:rsidR="00E3701F" w:rsidRPr="00D27D5E" w:rsidRDefault="00E3701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B1A8E0" w14:textId="77777777" w:rsidR="00E3701F" w:rsidRPr="00D171D4" w:rsidRDefault="00E3701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FF0563F" w14:textId="77777777" w:rsidR="00E3701F" w:rsidRPr="00C451B9" w:rsidRDefault="00E3701F" w:rsidP="00C451B9">
      <w:pPr>
        <w:spacing w:line="240" w:lineRule="auto"/>
        <w:rPr>
          <w:sz w:val="2"/>
          <w:szCs w:val="2"/>
        </w:rPr>
      </w:pPr>
    </w:p>
  </w:footnote>
  <w:footnote w:id="2">
    <w:p w14:paraId="1257FD2D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54985D5F" w14:textId="77777777" w:rsidR="00591072" w:rsidRPr="00591072" w:rsidRDefault="00591072" w:rsidP="00591072">
      <w:pPr>
        <w:pStyle w:val="Notedebasdepage"/>
      </w:pPr>
      <w:r w:rsidRPr="00DA0D0F">
        <w:tab/>
      </w:r>
      <w:r w:rsidRPr="00DA0D0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442DDED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0348" w14:textId="61963E56" w:rsidR="00DA0D0F" w:rsidRPr="00DA0D0F" w:rsidRDefault="00DA0D0F">
    <w:pPr>
      <w:pStyle w:val="En-tte"/>
      <w:rPr>
        <w:lang w:val="en-US"/>
      </w:rPr>
    </w:pPr>
    <w:r>
      <w:fldChar w:fldCharType="begin"/>
    </w:r>
    <w:r w:rsidRPr="00DA0D0F">
      <w:rPr>
        <w:lang w:val="en-US"/>
      </w:rPr>
      <w:instrText xml:space="preserve"> TITLE  \* MERGEFORMAT </w:instrText>
    </w:r>
    <w:r>
      <w:fldChar w:fldCharType="separate"/>
    </w:r>
    <w:r w:rsidR="00A7211D">
      <w:rPr>
        <w:lang w:val="en-US"/>
      </w:rPr>
      <w:t>E/ECE/324/Rev.1/Add.79/Rev.2/Amend.4</w:t>
    </w:r>
    <w:r>
      <w:fldChar w:fldCharType="end"/>
    </w:r>
    <w:r w:rsidRPr="00DA0D0F">
      <w:rPr>
        <w:lang w:val="en-US"/>
      </w:rPr>
      <w:br/>
    </w:r>
    <w:r>
      <w:fldChar w:fldCharType="begin"/>
    </w:r>
    <w:r w:rsidRPr="00DA0D0F">
      <w:rPr>
        <w:lang w:val="en-US"/>
      </w:rPr>
      <w:instrText xml:space="preserve"> KEYWORDS  \* MERGEFORMAT </w:instrText>
    </w:r>
    <w:r>
      <w:fldChar w:fldCharType="separate"/>
    </w:r>
    <w:r w:rsidR="00A7211D">
      <w:rPr>
        <w:lang w:val="en-US"/>
      </w:rPr>
      <w:t>E/ECE/TRANS/505/Rev.1/Add.79/Rev.2/Amend.4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CF61" w14:textId="0C3ECF7A" w:rsidR="00DA0D0F" w:rsidRPr="00DA0D0F" w:rsidRDefault="00DA0D0F" w:rsidP="00DA0D0F">
    <w:pPr>
      <w:pStyle w:val="En-tte"/>
      <w:jc w:val="right"/>
      <w:rPr>
        <w:lang w:val="en-US"/>
      </w:rPr>
    </w:pPr>
    <w:r>
      <w:fldChar w:fldCharType="begin"/>
    </w:r>
    <w:r w:rsidRPr="00DA0D0F">
      <w:rPr>
        <w:lang w:val="en-US"/>
      </w:rPr>
      <w:instrText xml:space="preserve"> TITLE  \* MERGEFORMAT </w:instrText>
    </w:r>
    <w:r>
      <w:fldChar w:fldCharType="separate"/>
    </w:r>
    <w:r w:rsidR="00A7211D">
      <w:rPr>
        <w:lang w:val="en-US"/>
      </w:rPr>
      <w:t>E/ECE/324/Rev.1/Add.79/Rev.2/Amend.4</w:t>
    </w:r>
    <w:r>
      <w:fldChar w:fldCharType="end"/>
    </w:r>
    <w:r w:rsidRPr="00DA0D0F">
      <w:rPr>
        <w:lang w:val="en-US"/>
      </w:rPr>
      <w:br/>
    </w:r>
    <w:r>
      <w:fldChar w:fldCharType="begin"/>
    </w:r>
    <w:r w:rsidRPr="00DA0D0F">
      <w:rPr>
        <w:lang w:val="en-US"/>
      </w:rPr>
      <w:instrText xml:space="preserve"> KEYWORDS  \* MERGEFORMAT </w:instrText>
    </w:r>
    <w:r>
      <w:fldChar w:fldCharType="separate"/>
    </w:r>
    <w:r w:rsidR="00A7211D">
      <w:rPr>
        <w:lang w:val="en-US"/>
      </w:rPr>
      <w:t>E/ECE/TRANS/505/Rev.1/Add.79/Rev.2/Amend.4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01F"/>
    <w:rsid w:val="0001470D"/>
    <w:rsid w:val="00016165"/>
    <w:rsid w:val="00016AC5"/>
    <w:rsid w:val="00021126"/>
    <w:rsid w:val="00021907"/>
    <w:rsid w:val="000233A5"/>
    <w:rsid w:val="0002445D"/>
    <w:rsid w:val="00024C50"/>
    <w:rsid w:val="00025D68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05E5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0FFC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6517"/>
    <w:rsid w:val="006C340C"/>
    <w:rsid w:val="006E29E5"/>
    <w:rsid w:val="006F1D0B"/>
    <w:rsid w:val="006F27A8"/>
    <w:rsid w:val="006F3493"/>
    <w:rsid w:val="006F3544"/>
    <w:rsid w:val="00700A8B"/>
    <w:rsid w:val="007027ED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11D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0D0F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3E82"/>
    <w:rsid w:val="00E06B3F"/>
    <w:rsid w:val="00E10A73"/>
    <w:rsid w:val="00E14F27"/>
    <w:rsid w:val="00E171D2"/>
    <w:rsid w:val="00E25534"/>
    <w:rsid w:val="00E319B6"/>
    <w:rsid w:val="00E32145"/>
    <w:rsid w:val="00E32F5A"/>
    <w:rsid w:val="00E3701F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064D767"/>
  <w15:docId w15:val="{B6DDC2A9-DB51-40BA-9A64-30CFBC0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DA0D0F"/>
    <w:rPr>
      <w:rFonts w:eastAsiaTheme="minorHAnsi"/>
      <w:b/>
      <w:sz w:val="28"/>
      <w:lang w:val="fr-CH"/>
    </w:rPr>
  </w:style>
  <w:style w:type="character" w:customStyle="1" w:styleId="H1GChar">
    <w:name w:val="_ H_1_G Char"/>
    <w:link w:val="H1G"/>
    <w:rsid w:val="00DA0D0F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9</TotalTime>
  <Pages>3</Pages>
  <Words>572</Words>
  <Characters>3724</Characters>
  <Application>Microsoft Office Word</Application>
  <DocSecurity>0</DocSecurity>
  <Lines>372</Lines>
  <Paragraphs>252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E/ECE/324/Rev.1/Add.79/Rev.2/Amend.4</vt:lpstr>
    </vt:vector>
  </TitlesOfParts>
  <Company>CSD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E/ECE/324/Rev.1/Add.79/Rev.2/Amend.4</dc:title>
  <dc:creator>Corinne ROBERT</dc:creator>
  <cp:keywords>E/ECE/TRANS/505/Rev.1/Add.79/Rev.2/Amend.4</cp:keywords>
  <cp:lastModifiedBy>Corinne ROBERT</cp:lastModifiedBy>
  <cp:revision>3</cp:revision>
  <cp:lastPrinted>2020-11-06T14:34:00Z</cp:lastPrinted>
  <dcterms:created xsi:type="dcterms:W3CDTF">2020-11-06T14:34:00Z</dcterms:created>
  <dcterms:modified xsi:type="dcterms:W3CDTF">2020-11-06T14:44:00Z</dcterms:modified>
</cp:coreProperties>
</file>