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A27DF" w:rsidTr="00A27C92">
        <w:trPr>
          <w:trHeight w:hRule="exact" w:val="851"/>
        </w:trPr>
        <w:tc>
          <w:tcPr>
            <w:tcW w:w="9639" w:type="dxa"/>
            <w:gridSpan w:val="2"/>
            <w:tcBorders>
              <w:bottom w:val="single" w:sz="4" w:space="0" w:color="auto"/>
            </w:tcBorders>
            <w:shd w:val="clear" w:color="auto" w:fill="auto"/>
            <w:vAlign w:val="bottom"/>
          </w:tcPr>
          <w:p w:rsidR="00BA27DF" w:rsidRPr="00BA27DF" w:rsidRDefault="00BA27DF" w:rsidP="00BA27DF">
            <w:pPr>
              <w:jc w:val="right"/>
              <w:rPr>
                <w:lang w:val="en-US"/>
              </w:rPr>
            </w:pPr>
            <w:r w:rsidRPr="00BA27DF">
              <w:rPr>
                <w:sz w:val="40"/>
                <w:lang w:val="en-US"/>
              </w:rPr>
              <w:t>E</w:t>
            </w:r>
            <w:r w:rsidRPr="00BA27DF">
              <w:rPr>
                <w:lang w:val="en-US"/>
              </w:rPr>
              <w:t>/ECE/324/Rev.1/Add.74/Rev.2/Amend.5−</w:t>
            </w:r>
            <w:r w:rsidRPr="00BA27DF">
              <w:rPr>
                <w:sz w:val="40"/>
                <w:lang w:val="en-US"/>
              </w:rPr>
              <w:t>E</w:t>
            </w:r>
            <w:r w:rsidRPr="00BA27DF">
              <w:rPr>
                <w:lang w:val="en-US"/>
              </w:rPr>
              <w:t>/ECE/TRANS/505/Rev.1/Add.74/Rev.2/Amend.5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A27D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A27DF" w:rsidP="00A27C92">
            <w:pPr>
              <w:spacing w:before="480" w:line="240" w:lineRule="exact"/>
            </w:pPr>
            <w:r>
              <w:t>17 janvier</w:t>
            </w:r>
            <w:r w:rsidR="0070540F">
              <w:t xml:space="preserve"> </w:t>
            </w:r>
            <w:r>
              <w:t>2020</w:t>
            </w:r>
          </w:p>
        </w:tc>
      </w:tr>
    </w:tbl>
    <w:p w:rsidR="00421A10" w:rsidRPr="006549FF" w:rsidRDefault="0029791D" w:rsidP="0029791D">
      <w:pPr>
        <w:pStyle w:val="HChG"/>
      </w:pPr>
      <w:r>
        <w:tab/>
      </w:r>
      <w:r>
        <w:tab/>
      </w:r>
      <w:r w:rsidR="00421A10" w:rsidRPr="006549FF">
        <w:t>Accord</w:t>
      </w:r>
    </w:p>
    <w:p w:rsidR="00421A10" w:rsidRPr="00583D68" w:rsidRDefault="0029791D" w:rsidP="00BA27DF">
      <w:pPr>
        <w:pStyle w:val="H1G"/>
      </w:pPr>
      <w:r>
        <w:tab/>
      </w:r>
      <w:r>
        <w:tab/>
      </w:r>
      <w:r w:rsidR="00BA27DF" w:rsidRPr="00BA27DF">
        <w:t xml:space="preserve">Concernant l’adoption de Règlements techniques harmonisés de l’ONU applicables aux véhicules à roues et aux équipements et pièces susceptibles d’être montés ou utilisés sur les véhicules à roues </w:t>
      </w:r>
      <w:r w:rsidR="00BA27DF">
        <w:br/>
      </w:r>
      <w:r w:rsidR="00BA27DF" w:rsidRPr="00BA27DF">
        <w:t>et les conditions de reconnaissance réciproque des homologations délivrées conformément à ces Règlements</w:t>
      </w:r>
      <w:r w:rsidR="00442E31" w:rsidRPr="00BA27DF">
        <w:rPr>
          <w:rStyle w:val="Appelnotedebasdep"/>
          <w:b w:val="0"/>
          <w:bCs/>
          <w:sz w:val="20"/>
          <w:vertAlign w:val="baseline"/>
        </w:rPr>
        <w:footnoteReference w:customMarkFollows="1" w:id="2"/>
        <w:t>*</w:t>
      </w:r>
    </w:p>
    <w:p w:rsidR="00421A10" w:rsidRPr="00A12483" w:rsidRDefault="00421A10" w:rsidP="00BA27DF">
      <w:pPr>
        <w:pStyle w:val="SingleTxtG"/>
        <w:jc w:val="left"/>
        <w:rPr>
          <w:b/>
          <w:sz w:val="24"/>
          <w:szCs w:val="24"/>
        </w:rPr>
      </w:pPr>
      <w:r w:rsidRPr="006549FF">
        <w:t>(</w:t>
      </w:r>
      <w:r w:rsidR="00BA27DF" w:rsidRPr="00BA27DF">
        <w:rPr>
          <w:lang w:val="fr-FR"/>
        </w:rPr>
        <w:t>Révision 3, comprenant les amendements entrés en vigueur le 14 septembre 2017)</w:t>
      </w:r>
    </w:p>
    <w:p w:rsidR="00421A10" w:rsidRPr="006549FF" w:rsidRDefault="0029791D" w:rsidP="0029791D">
      <w:pPr>
        <w:jc w:val="center"/>
      </w:pPr>
      <w:r>
        <w:t>_______________</w:t>
      </w:r>
    </w:p>
    <w:p w:rsidR="00421A10" w:rsidRPr="00BA27DF" w:rsidRDefault="0029791D" w:rsidP="00BA27DF">
      <w:pPr>
        <w:pStyle w:val="HChG"/>
        <w:rPr>
          <w:lang w:val="en-US"/>
        </w:rPr>
      </w:pPr>
      <w:r>
        <w:tab/>
      </w:r>
      <w:r>
        <w:tab/>
      </w:r>
      <w:r w:rsidR="00421A10" w:rsidRPr="00BA27DF">
        <w:rPr>
          <w:lang w:val="en-US"/>
        </w:rPr>
        <w:t xml:space="preserve">Additif </w:t>
      </w:r>
      <w:r w:rsidR="00BA27DF" w:rsidRPr="00BA27DF">
        <w:rPr>
          <w:rFonts w:eastAsia="MS Mincho"/>
          <w:lang w:val="en-US"/>
        </w:rPr>
        <w:t>n</w:t>
      </w:r>
      <w:r w:rsidR="00BA27DF" w:rsidRPr="00BA27DF">
        <w:rPr>
          <w:rFonts w:eastAsia="MS Mincho"/>
          <w:vertAlign w:val="superscript"/>
          <w:lang w:val="en-US"/>
        </w:rPr>
        <w:t>o</w:t>
      </w:r>
      <w:r w:rsidR="00BA27DF" w:rsidRPr="00BA27DF">
        <w:rPr>
          <w:lang w:val="en-US"/>
        </w:rPr>
        <w:t xml:space="preserve"> 74 :</w:t>
      </w:r>
      <w:r w:rsidR="00421A10" w:rsidRPr="00BA27DF">
        <w:rPr>
          <w:lang w:val="en-US"/>
        </w:rPr>
        <w:t xml:space="preserve"> Règlement </w:t>
      </w:r>
      <w:r w:rsidR="001E7643" w:rsidRPr="00BA27DF">
        <w:rPr>
          <w:lang w:val="en-US"/>
        </w:rPr>
        <w:t xml:space="preserve">ONU </w:t>
      </w:r>
      <w:r w:rsidR="00421A10" w:rsidRPr="00BA27DF">
        <w:rPr>
          <w:lang w:val="en-US"/>
        </w:rPr>
        <w:t>n</w:t>
      </w:r>
      <w:r w:rsidR="00421A10" w:rsidRPr="00BA27DF">
        <w:rPr>
          <w:vertAlign w:val="superscript"/>
          <w:lang w:val="en-US"/>
        </w:rPr>
        <w:t>o</w:t>
      </w:r>
      <w:r w:rsidR="00421A10" w:rsidRPr="00BA27DF">
        <w:rPr>
          <w:lang w:val="en-US"/>
        </w:rPr>
        <w:t> </w:t>
      </w:r>
      <w:r w:rsidR="00BA27DF" w:rsidRPr="00BA27DF">
        <w:rPr>
          <w:lang w:val="en-US"/>
        </w:rPr>
        <w:t>75</w:t>
      </w:r>
    </w:p>
    <w:p w:rsidR="00421A10" w:rsidRPr="006549FF" w:rsidRDefault="0029791D" w:rsidP="00BA27DF">
      <w:pPr>
        <w:pStyle w:val="H1G"/>
      </w:pPr>
      <w:r w:rsidRPr="00BA27DF">
        <w:rPr>
          <w:lang w:val="en-US"/>
        </w:rPr>
        <w:tab/>
      </w:r>
      <w:r w:rsidRPr="00BA27DF">
        <w:rPr>
          <w:lang w:val="en-US"/>
        </w:rPr>
        <w:tab/>
      </w:r>
      <w:r w:rsidR="00421A10" w:rsidRPr="006549FF">
        <w:t xml:space="preserve">Révision </w:t>
      </w:r>
      <w:r w:rsidR="00BA27DF" w:rsidRPr="00BA27DF">
        <w:rPr>
          <w:lang w:val="fr-FR"/>
        </w:rPr>
        <w:t xml:space="preserve">2 </w:t>
      </w:r>
      <w:r w:rsidR="00BA27DF">
        <w:rPr>
          <w:lang w:val="fr-FR"/>
        </w:rPr>
        <w:t>−</w:t>
      </w:r>
      <w:r w:rsidR="00BA27DF" w:rsidRPr="00BA27DF">
        <w:rPr>
          <w:lang w:val="fr-FR"/>
        </w:rPr>
        <w:t xml:space="preserve"> Amendement 5</w:t>
      </w:r>
    </w:p>
    <w:p w:rsidR="00421A10" w:rsidRPr="004A7E44" w:rsidRDefault="00BA27DF" w:rsidP="00BA27DF">
      <w:pPr>
        <w:pStyle w:val="SingleTxtG"/>
        <w:spacing w:after="0"/>
      </w:pPr>
      <w:r w:rsidRPr="00BA27DF">
        <w:t xml:space="preserve">Complément 18 à la version originale du Règlement </w:t>
      </w:r>
      <w:r>
        <w:t>−</w:t>
      </w:r>
      <w:r w:rsidRPr="00BA27DF">
        <w:t xml:space="preserve"> Date d’entrée en vigueur</w:t>
      </w:r>
      <w:r>
        <w:t> </w:t>
      </w:r>
      <w:r w:rsidRPr="00BA27DF">
        <w:t>: 11 janvier 2020</w:t>
      </w:r>
    </w:p>
    <w:p w:rsidR="00421A10" w:rsidRDefault="0029791D" w:rsidP="00BA27DF">
      <w:pPr>
        <w:pStyle w:val="H1G"/>
      </w:pPr>
      <w:r>
        <w:tab/>
      </w:r>
      <w:r>
        <w:tab/>
      </w:r>
      <w:r w:rsidR="00421A10" w:rsidRPr="007619D3">
        <w:t xml:space="preserve">Prescriptions uniformes relatives </w:t>
      </w:r>
      <w:r w:rsidR="00BA27DF" w:rsidRPr="00BA27DF">
        <w:t>à l’homologation des pneumatiques pour véhicules de la catégorie L</w:t>
      </w:r>
    </w:p>
    <w:p w:rsidR="00BA27DF" w:rsidRDefault="00C94006" w:rsidP="00BA27DF">
      <w:pPr>
        <w:pStyle w:val="SingleTxtG"/>
      </w:pPr>
      <w:bookmarkStart w:id="0" w:name="_Hlk29912388"/>
      <w:r>
        <w:tab/>
      </w:r>
      <w:r w:rsidR="00BA27DF" w:rsidRPr="00BA27DF">
        <w:t>Le présent docum</w:t>
      </w:r>
      <w:bookmarkStart w:id="1" w:name="_GoBack"/>
      <w:bookmarkEnd w:id="1"/>
      <w:r w:rsidR="00BA27DF" w:rsidRPr="00BA27DF">
        <w:t>ent est communiqué uniquement à titre d’information. Le texte authentique, juridiquement contraignant, est celui du document ECE/TRANS/WP.29/</w:t>
      </w:r>
      <w:r>
        <w:br/>
      </w:r>
      <w:r w:rsidR="00BA27DF" w:rsidRPr="00BA27DF">
        <w:t>2019/53.</w:t>
      </w:r>
      <w:bookmarkEnd w:id="0"/>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BA27DF" w:rsidRDefault="00BA27DF" w:rsidP="00BA27DF">
      <w:pPr>
        <w:pStyle w:val="SingleTxtG"/>
        <w:keepNext/>
      </w:pPr>
      <w:r>
        <w:br w:type="page"/>
      </w:r>
      <w:r w:rsidRPr="005912C9">
        <w:rPr>
          <w:i/>
        </w:rPr>
        <w:lastRenderedPageBreak/>
        <w:t>Paragraphe 2.31.3</w:t>
      </w:r>
      <w:r w:rsidRPr="00DC3638">
        <w:t>, lire</w:t>
      </w:r>
      <w:r>
        <w:t> :</w:t>
      </w:r>
    </w:p>
    <w:p w:rsidR="00BA27DF" w:rsidRPr="00DC3638" w:rsidRDefault="00BA27DF" w:rsidP="00BA27DF">
      <w:pPr>
        <w:pStyle w:val="SingleTxtG"/>
        <w:ind w:left="2268" w:hanging="1134"/>
      </w:pPr>
      <w:r w:rsidRPr="00DC3638">
        <w:t>« 2.31.3</w:t>
      </w:r>
      <w:r>
        <w:tab/>
      </w:r>
      <w:r w:rsidRPr="00DC3638">
        <w:t xml:space="preserve">Les pneumatiques conçus pour des vitesses maximales supérieures à 240 km/h </w:t>
      </w:r>
      <w:r w:rsidRPr="007203A1">
        <w:rPr>
          <w:bCs/>
        </w:rPr>
        <w:t>mais inférieures à 270</w:t>
      </w:r>
      <w:r>
        <w:rPr>
          <w:bCs/>
        </w:rPr>
        <w:t> </w:t>
      </w:r>
      <w:r w:rsidRPr="007203A1">
        <w:rPr>
          <w:bCs/>
        </w:rPr>
        <w:t>km/h</w:t>
      </w:r>
      <w:r w:rsidRPr="00DC3638">
        <w:t xml:space="preserve"> doivent être identifiés au moyen de la lettre de code “V” </w:t>
      </w:r>
      <w:r w:rsidRPr="007203A1">
        <w:rPr>
          <w:bCs/>
        </w:rPr>
        <w:t xml:space="preserve">et les pneumatiques conçus pour des vitesses maximales supérieures ou égales à 270 km/h doivent être identifiés au moyen </w:t>
      </w:r>
      <w:r w:rsidRPr="00DC3638">
        <w:t xml:space="preserve">de la lettre de code “Z”. </w:t>
      </w:r>
      <w:r w:rsidRPr="007203A1">
        <w:rPr>
          <w:bCs/>
        </w:rPr>
        <w:t>La lettre de code doit être</w:t>
      </w:r>
      <w:r w:rsidRPr="00DC3638">
        <w:t xml:space="preserve"> placée dans la désignation de la dimension du pneumatique, avant </w:t>
      </w:r>
      <w:r w:rsidRPr="007203A1">
        <w:rPr>
          <w:bCs/>
        </w:rPr>
        <w:t>l</w:t>
      </w:r>
      <w:r>
        <w:rPr>
          <w:bCs/>
        </w:rPr>
        <w:t>’</w:t>
      </w:r>
      <w:r w:rsidRPr="00DC3638">
        <w:t>indication concernant la structure (</w:t>
      </w:r>
      <w:r w:rsidRPr="00DC3638">
        <w:rPr>
          <w:iCs/>
        </w:rPr>
        <w:t>voir par. 3.1.4</w:t>
      </w:r>
      <w:r w:rsidRPr="00DC3638">
        <w:t>). »</w:t>
      </w:r>
      <w:r>
        <w:t>.</w:t>
      </w:r>
    </w:p>
    <w:p w:rsidR="00BA27DF" w:rsidRDefault="00BA27DF" w:rsidP="00BA27DF">
      <w:pPr>
        <w:pStyle w:val="SingleTxtG"/>
        <w:keepNext/>
      </w:pPr>
      <w:bookmarkStart w:id="2" w:name="_Hlk530672961"/>
      <w:r w:rsidRPr="005912C9">
        <w:rPr>
          <w:i/>
        </w:rPr>
        <w:t>Paragraphe 2.36.3</w:t>
      </w:r>
      <w:r w:rsidRPr="00DC3638">
        <w:t>, lire</w:t>
      </w:r>
      <w:r>
        <w:t> :</w:t>
      </w:r>
    </w:p>
    <w:p w:rsidR="00BA27DF" w:rsidRPr="00DC3638" w:rsidRDefault="00BA27DF" w:rsidP="00BA27DF">
      <w:pPr>
        <w:pStyle w:val="SingleTxtG"/>
        <w:ind w:left="2268" w:hanging="1134"/>
        <w:rPr>
          <w:iCs/>
          <w:strike/>
          <w:color w:val="000000"/>
        </w:rPr>
      </w:pPr>
      <w:r w:rsidRPr="00DC3638">
        <w:t>« 2.36.3</w:t>
      </w:r>
      <w:r>
        <w:tab/>
      </w:r>
      <w:r w:rsidRPr="00DC3638">
        <w:t xml:space="preserve">Pour </w:t>
      </w:r>
      <w:r w:rsidRPr="007203A1">
        <w:rPr>
          <w:bCs/>
        </w:rPr>
        <w:t>les pneumatiques marqués du symbole de catégorie de vitesse</w:t>
      </w:r>
      <w:r>
        <w:rPr>
          <w:bCs/>
        </w:rPr>
        <w:t xml:space="preserve"> </w:t>
      </w:r>
      <w:r w:rsidRPr="00DC3638">
        <w:t>“</w:t>
      </w:r>
      <w:r w:rsidRPr="007203A1">
        <w:rPr>
          <w:bCs/>
        </w:rPr>
        <w:t>V</w:t>
      </w:r>
      <w:r w:rsidRPr="00DC3638">
        <w:t>”</w:t>
      </w:r>
      <w:r w:rsidRPr="007203A1">
        <w:rPr>
          <w:bCs/>
        </w:rPr>
        <w:t xml:space="preserve"> utilisés à des </w:t>
      </w:r>
      <w:r w:rsidRPr="00DC3638">
        <w:t xml:space="preserve">vitesses supérieures à 210 km/h mais ne dépassant pas </w:t>
      </w:r>
      <w:r w:rsidRPr="007203A1">
        <w:rPr>
          <w:bCs/>
        </w:rPr>
        <w:t>240 </w:t>
      </w:r>
      <w:r w:rsidRPr="00DC3638">
        <w:t>km/h, la limite de charge maximale ne doit pas dépasser le pourcentage de la masse, correspondant à l</w:t>
      </w:r>
      <w:r>
        <w:t>’</w:t>
      </w:r>
      <w:r w:rsidRPr="00DC3638">
        <w:t>indice de charge maximale du pneumatique, indiqué dans le tableau ci-après en référence</w:t>
      </w:r>
      <w:r w:rsidRPr="007203A1">
        <w:rPr>
          <w:bCs/>
        </w:rPr>
        <w:t xml:space="preserve"> à la vitesse que peut atteindre le véhicule sur lequel il est monté</w:t>
      </w:r>
      <w:r>
        <w:rPr>
          <w:bCs/>
        </w:rPr>
        <w:t> </w:t>
      </w:r>
      <w:r>
        <w:t>:</w:t>
      </w:r>
    </w:p>
    <w:tbl>
      <w:tblPr>
        <w:tblStyle w:val="Grilledutableau1"/>
        <w:tblW w:w="6237" w:type="dxa"/>
        <w:tblInd w:w="2268" w:type="dxa"/>
        <w:tblLayout w:type="fixed"/>
        <w:tblCellMar>
          <w:left w:w="0" w:type="dxa"/>
          <w:right w:w="0" w:type="dxa"/>
        </w:tblCellMar>
        <w:tblLook w:val="04A0" w:firstRow="1" w:lastRow="0" w:firstColumn="1" w:lastColumn="0" w:noHBand="0" w:noVBand="1"/>
      </w:tblPr>
      <w:tblGrid>
        <w:gridCol w:w="3118"/>
        <w:gridCol w:w="3119"/>
      </w:tblGrid>
      <w:tr w:rsidR="00C94006" w:rsidRPr="00C94006" w:rsidTr="008B5EE3">
        <w:trPr>
          <w:tblHeader/>
        </w:trPr>
        <w:tc>
          <w:tcPr>
            <w:tcW w:w="3118" w:type="dxa"/>
            <w:shd w:val="clear" w:color="auto" w:fill="auto"/>
            <w:vAlign w:val="center"/>
          </w:tcPr>
          <w:p w:rsidR="00BA27DF" w:rsidRPr="00C94006" w:rsidRDefault="00BA27DF" w:rsidP="00C94006">
            <w:pPr>
              <w:suppressAutoHyphens w:val="0"/>
              <w:spacing w:before="80" w:after="80" w:line="200" w:lineRule="exact"/>
              <w:jc w:val="center"/>
              <w:rPr>
                <w:rFonts w:ascii="Times New Roman" w:hAnsi="Times New Roman" w:cs="Times New Roman"/>
                <w:i/>
                <w:sz w:val="16"/>
              </w:rPr>
            </w:pPr>
            <w:r w:rsidRPr="00C94006">
              <w:rPr>
                <w:rFonts w:ascii="Times New Roman" w:hAnsi="Times New Roman" w:cs="Times New Roman"/>
                <w:i/>
                <w:sz w:val="16"/>
              </w:rPr>
              <w:t xml:space="preserve">Vitesse maximale en utilisation </w:t>
            </w:r>
            <w:r w:rsidRPr="00C94006">
              <w:rPr>
                <w:rFonts w:ascii="Times New Roman" w:hAnsi="Times New Roman" w:cs="Times New Roman"/>
                <w:i/>
                <w:sz w:val="16"/>
              </w:rPr>
              <w:br/>
              <w:t>(km/h)</w:t>
            </w:r>
          </w:p>
        </w:tc>
        <w:tc>
          <w:tcPr>
            <w:tcW w:w="3119" w:type="dxa"/>
            <w:shd w:val="clear" w:color="auto" w:fill="auto"/>
            <w:vAlign w:val="center"/>
          </w:tcPr>
          <w:p w:rsidR="00BA27DF" w:rsidRPr="00C94006" w:rsidRDefault="00BA27DF" w:rsidP="00C94006">
            <w:pPr>
              <w:suppressAutoHyphens w:val="0"/>
              <w:spacing w:before="80" w:after="80" w:line="200" w:lineRule="exact"/>
              <w:jc w:val="center"/>
              <w:rPr>
                <w:rFonts w:ascii="Times New Roman" w:hAnsi="Times New Roman" w:cs="Times New Roman"/>
                <w:i/>
                <w:sz w:val="16"/>
              </w:rPr>
            </w:pPr>
            <w:bookmarkStart w:id="3" w:name="_Hlk530674692"/>
            <w:r w:rsidRPr="00C94006">
              <w:rPr>
                <w:rFonts w:ascii="Times New Roman" w:hAnsi="Times New Roman" w:cs="Times New Roman"/>
                <w:i/>
                <w:sz w:val="16"/>
              </w:rPr>
              <w:t>Indice de charge maximale</w:t>
            </w:r>
            <w:bookmarkEnd w:id="3"/>
            <w:r w:rsidRPr="00C94006">
              <w:rPr>
                <w:rFonts w:ascii="Times New Roman" w:hAnsi="Times New Roman" w:cs="Times New Roman"/>
                <w:i/>
                <w:sz w:val="16"/>
              </w:rPr>
              <w:t xml:space="preserve"> </w:t>
            </w:r>
            <w:r w:rsidRPr="00C94006">
              <w:rPr>
                <w:rFonts w:ascii="Times New Roman" w:hAnsi="Times New Roman" w:cs="Times New Roman"/>
                <w:i/>
                <w:sz w:val="16"/>
              </w:rPr>
              <w:br/>
              <w:t>(%)</w:t>
            </w:r>
          </w:p>
        </w:tc>
      </w:tr>
      <w:tr w:rsidR="00C94006" w:rsidRPr="00C94006" w:rsidTr="008B5EE3">
        <w:tc>
          <w:tcPr>
            <w:tcW w:w="3118"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210</w:t>
            </w:r>
          </w:p>
        </w:tc>
        <w:tc>
          <w:tcPr>
            <w:tcW w:w="3119"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100</w:t>
            </w:r>
          </w:p>
        </w:tc>
      </w:tr>
      <w:tr w:rsidR="00C94006" w:rsidRPr="00C94006" w:rsidTr="008B5EE3">
        <w:tc>
          <w:tcPr>
            <w:tcW w:w="3118"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220</w:t>
            </w:r>
          </w:p>
        </w:tc>
        <w:tc>
          <w:tcPr>
            <w:tcW w:w="3119"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95</w:t>
            </w:r>
          </w:p>
        </w:tc>
      </w:tr>
      <w:tr w:rsidR="00C94006" w:rsidRPr="00C94006" w:rsidTr="008B5EE3">
        <w:tc>
          <w:tcPr>
            <w:tcW w:w="3118"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230</w:t>
            </w:r>
          </w:p>
        </w:tc>
        <w:tc>
          <w:tcPr>
            <w:tcW w:w="3119"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90</w:t>
            </w:r>
          </w:p>
        </w:tc>
      </w:tr>
      <w:tr w:rsidR="00C94006" w:rsidRPr="00C94006" w:rsidTr="008B5EE3">
        <w:tc>
          <w:tcPr>
            <w:tcW w:w="3118"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240</w:t>
            </w:r>
          </w:p>
        </w:tc>
        <w:tc>
          <w:tcPr>
            <w:tcW w:w="3119" w:type="dxa"/>
            <w:shd w:val="clear" w:color="auto" w:fill="auto"/>
            <w:vAlign w:val="center"/>
          </w:tcPr>
          <w:p w:rsidR="00BA27DF" w:rsidRPr="00C94006" w:rsidRDefault="00BA27DF" w:rsidP="00C94006">
            <w:pPr>
              <w:suppressAutoHyphens w:val="0"/>
              <w:spacing w:before="40" w:after="40" w:line="220" w:lineRule="exact"/>
              <w:jc w:val="center"/>
              <w:rPr>
                <w:rFonts w:ascii="Times New Roman" w:hAnsi="Times New Roman" w:cs="Times New Roman"/>
                <w:sz w:val="18"/>
              </w:rPr>
            </w:pPr>
            <w:r w:rsidRPr="00C94006">
              <w:rPr>
                <w:rFonts w:ascii="Times New Roman" w:hAnsi="Times New Roman" w:cs="Times New Roman"/>
                <w:sz w:val="18"/>
              </w:rPr>
              <w:t>85</w:t>
            </w:r>
          </w:p>
        </w:tc>
      </w:tr>
    </w:tbl>
    <w:p w:rsidR="00BA27DF" w:rsidRPr="007203A1" w:rsidRDefault="00BA27DF" w:rsidP="00BA27DF">
      <w:pPr>
        <w:pStyle w:val="SingleTxtG"/>
        <w:spacing w:before="240"/>
        <w:ind w:left="2268"/>
        <w:rPr>
          <w:color w:val="000000"/>
        </w:rPr>
      </w:pPr>
      <w:r w:rsidRPr="007203A1">
        <w:t>Pour des vitesses maximales en utilisation intermédiaires, des interpolations linéaires de l</w:t>
      </w:r>
      <w:r>
        <w:t>’</w:t>
      </w:r>
      <w:r w:rsidRPr="007203A1">
        <w:t>indice de charge maximale sont permises.</w:t>
      </w:r>
      <w:r w:rsidRPr="00DC3638">
        <w:t> »</w:t>
      </w:r>
      <w:r>
        <w:t>.</w:t>
      </w:r>
    </w:p>
    <w:bookmarkEnd w:id="2"/>
    <w:p w:rsidR="00BA27DF" w:rsidRPr="00DC3638" w:rsidRDefault="00BA27DF" w:rsidP="00BA27DF">
      <w:pPr>
        <w:pStyle w:val="SingleTxtG"/>
        <w:keepNext/>
        <w:rPr>
          <w:i/>
        </w:rPr>
      </w:pPr>
      <w:r w:rsidRPr="00F01031">
        <w:rPr>
          <w:i/>
        </w:rPr>
        <w:t>Ajouter les nouveaux paragraphes 2.36.4, 2.36.5 et 2.36.6</w:t>
      </w:r>
      <w:r w:rsidRPr="00DC3638">
        <w:t>, libellés comme suit </w:t>
      </w:r>
      <w:r>
        <w:t>:</w:t>
      </w:r>
    </w:p>
    <w:p w:rsidR="00BA27DF" w:rsidRPr="007203A1" w:rsidRDefault="00BA27DF" w:rsidP="00BA27DF">
      <w:pPr>
        <w:pStyle w:val="SingleTxtG"/>
        <w:ind w:left="2268" w:hanging="1134"/>
      </w:pPr>
      <w:r w:rsidRPr="00DC3638">
        <w:rPr>
          <w:rFonts w:eastAsia="Times New Roman"/>
          <w:bCs/>
        </w:rPr>
        <w:t>« </w:t>
      </w:r>
      <w:r w:rsidRPr="007203A1">
        <w:rPr>
          <w:rFonts w:eastAsia="Times New Roman"/>
          <w:bCs/>
        </w:rPr>
        <w:t>2.36.4</w:t>
      </w:r>
      <w:r>
        <w:rPr>
          <w:rFonts w:eastAsia="Times New Roman"/>
        </w:rPr>
        <w:tab/>
      </w:r>
      <w:r w:rsidRPr="007203A1">
        <w:rPr>
          <w:rFonts w:eastAsia="Times New Roman"/>
          <w:bCs/>
        </w:rPr>
        <w:t>Pour les pneumatiques marqués du symbole de catégorie de vitesse</w:t>
      </w:r>
      <w:r>
        <w:rPr>
          <w:rFonts w:eastAsia="Times New Roman"/>
          <w:bCs/>
        </w:rPr>
        <w:t xml:space="preserve"> </w:t>
      </w:r>
      <w:r w:rsidRPr="007203A1">
        <w:rPr>
          <w:rFonts w:eastAsia="Times New Roman"/>
          <w:bCs/>
        </w:rPr>
        <w:t>“V” et identifiés par la lettre de code</w:t>
      </w:r>
      <w:r>
        <w:rPr>
          <w:rFonts w:eastAsia="Times New Roman"/>
          <w:bCs/>
        </w:rPr>
        <w:t xml:space="preserve"> </w:t>
      </w:r>
      <w:r w:rsidRPr="007203A1">
        <w:rPr>
          <w:rFonts w:eastAsia="Times New Roman"/>
          <w:bCs/>
        </w:rPr>
        <w:t>“V” utilisés à des vitesses supérieures à 240</w:t>
      </w:r>
      <w:r>
        <w:rPr>
          <w:rFonts w:eastAsia="Times New Roman"/>
          <w:bCs/>
        </w:rPr>
        <w:t> </w:t>
      </w:r>
      <w:r w:rsidRPr="007203A1">
        <w:rPr>
          <w:rFonts w:eastAsia="Times New Roman"/>
          <w:bCs/>
        </w:rPr>
        <w:t>km/h mais inférieures à 270 km/h, la limite de charge maximale ne doit pas dépasser le pourcentage de la masse, correspondant à l</w:t>
      </w:r>
      <w:r>
        <w:rPr>
          <w:rFonts w:eastAsia="Times New Roman"/>
          <w:bCs/>
        </w:rPr>
        <w:t>’</w:t>
      </w:r>
      <w:r w:rsidRPr="007203A1">
        <w:rPr>
          <w:rFonts w:eastAsia="Times New Roman"/>
          <w:bCs/>
        </w:rPr>
        <w:t>indice de charge maximale du pneumatique, indiqué dans le tableau ci-après en référence à la vitesse que peut atteindre le véhicule sur lequel il est monté</w:t>
      </w:r>
      <w:r>
        <w:rPr>
          <w:rFonts w:eastAsia="Times New Roman"/>
          <w:bCs/>
        </w:rPr>
        <w:t xml:space="preserve"> : </w:t>
      </w:r>
    </w:p>
    <w:tbl>
      <w:tblPr>
        <w:tblStyle w:val="Grilledutableau1"/>
        <w:tblW w:w="6237" w:type="dxa"/>
        <w:tblInd w:w="2268" w:type="dxa"/>
        <w:tblLayout w:type="fixed"/>
        <w:tblCellMar>
          <w:left w:w="0" w:type="dxa"/>
          <w:right w:w="0" w:type="dxa"/>
        </w:tblCellMar>
        <w:tblLook w:val="04A0" w:firstRow="1" w:lastRow="0" w:firstColumn="1" w:lastColumn="0" w:noHBand="0" w:noVBand="1"/>
      </w:tblPr>
      <w:tblGrid>
        <w:gridCol w:w="3020"/>
        <w:gridCol w:w="3217"/>
      </w:tblGrid>
      <w:tr w:rsidR="008B5EE3" w:rsidRPr="008B5EE3" w:rsidTr="008B5EE3">
        <w:trPr>
          <w:tblHeader/>
        </w:trPr>
        <w:tc>
          <w:tcPr>
            <w:tcW w:w="3020" w:type="dxa"/>
            <w:shd w:val="clear" w:color="auto" w:fill="auto"/>
            <w:vAlign w:val="center"/>
          </w:tcPr>
          <w:p w:rsidR="00BA27DF" w:rsidRPr="008B5EE3" w:rsidRDefault="00BA27DF" w:rsidP="008B5EE3">
            <w:pPr>
              <w:suppressAutoHyphens w:val="0"/>
              <w:spacing w:before="80" w:after="80" w:line="200" w:lineRule="exact"/>
              <w:jc w:val="center"/>
              <w:rPr>
                <w:rFonts w:ascii="Times New Roman" w:hAnsi="Times New Roman" w:cs="Times New Roman"/>
                <w:i/>
                <w:sz w:val="16"/>
              </w:rPr>
            </w:pPr>
            <w:r w:rsidRPr="008B5EE3">
              <w:rPr>
                <w:rFonts w:ascii="Times New Roman" w:hAnsi="Times New Roman" w:cs="Times New Roman"/>
                <w:i/>
                <w:sz w:val="16"/>
              </w:rPr>
              <w:t xml:space="preserve">Vitesse maximale en utilisation </w:t>
            </w:r>
            <w:r w:rsidRPr="008B5EE3">
              <w:rPr>
                <w:rFonts w:ascii="Times New Roman" w:hAnsi="Times New Roman" w:cs="Times New Roman"/>
                <w:i/>
                <w:sz w:val="16"/>
              </w:rPr>
              <w:br/>
              <w:t>(km/h)</w:t>
            </w:r>
          </w:p>
        </w:tc>
        <w:tc>
          <w:tcPr>
            <w:tcW w:w="3217" w:type="dxa"/>
            <w:shd w:val="clear" w:color="auto" w:fill="auto"/>
            <w:vAlign w:val="center"/>
          </w:tcPr>
          <w:p w:rsidR="00BA27DF" w:rsidRPr="008B5EE3" w:rsidRDefault="00BA27DF" w:rsidP="008B5EE3">
            <w:pPr>
              <w:suppressAutoHyphens w:val="0"/>
              <w:spacing w:before="80" w:after="80" w:line="200" w:lineRule="exact"/>
              <w:jc w:val="center"/>
              <w:rPr>
                <w:rFonts w:ascii="Times New Roman" w:hAnsi="Times New Roman" w:cs="Times New Roman"/>
                <w:i/>
                <w:sz w:val="16"/>
              </w:rPr>
            </w:pPr>
            <w:r w:rsidRPr="008B5EE3">
              <w:rPr>
                <w:rFonts w:ascii="Times New Roman" w:hAnsi="Times New Roman" w:cs="Times New Roman"/>
                <w:i/>
                <w:sz w:val="16"/>
              </w:rPr>
              <w:t xml:space="preserve">Indice de charge maximale </w:t>
            </w:r>
            <w:r w:rsidRPr="008B5EE3">
              <w:rPr>
                <w:rFonts w:ascii="Times New Roman" w:hAnsi="Times New Roman" w:cs="Times New Roman"/>
                <w:i/>
                <w:sz w:val="16"/>
              </w:rPr>
              <w:br/>
              <w:t>(%)</w:t>
            </w:r>
          </w:p>
        </w:tc>
      </w:tr>
      <w:tr w:rsidR="008B5EE3" w:rsidRPr="008B5EE3" w:rsidTr="008B5EE3">
        <w:tc>
          <w:tcPr>
            <w:tcW w:w="3020"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240</w:t>
            </w:r>
          </w:p>
        </w:tc>
        <w:tc>
          <w:tcPr>
            <w:tcW w:w="3217"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85</w:t>
            </w:r>
          </w:p>
        </w:tc>
      </w:tr>
      <w:tr w:rsidR="008B5EE3" w:rsidRPr="008B5EE3" w:rsidTr="008B5EE3">
        <w:tc>
          <w:tcPr>
            <w:tcW w:w="3020"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250</w:t>
            </w:r>
          </w:p>
        </w:tc>
        <w:tc>
          <w:tcPr>
            <w:tcW w:w="3217"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80</w:t>
            </w:r>
            <w:r w:rsidRPr="008B5EE3">
              <w:rPr>
                <w:rFonts w:ascii="Times New Roman" w:hAnsi="Times New Roman" w:cs="Times New Roman"/>
                <w:sz w:val="20"/>
                <w:szCs w:val="20"/>
              </w:rPr>
              <w:t>*</w:t>
            </w:r>
          </w:p>
        </w:tc>
      </w:tr>
      <w:tr w:rsidR="008B5EE3" w:rsidRPr="008B5EE3" w:rsidTr="008B5EE3">
        <w:tc>
          <w:tcPr>
            <w:tcW w:w="3020"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260</w:t>
            </w:r>
          </w:p>
        </w:tc>
        <w:tc>
          <w:tcPr>
            <w:tcW w:w="3217"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75</w:t>
            </w:r>
            <w:r w:rsidRPr="008B5EE3">
              <w:rPr>
                <w:rFonts w:ascii="Times New Roman" w:hAnsi="Times New Roman" w:cs="Times New Roman"/>
                <w:sz w:val="20"/>
                <w:szCs w:val="20"/>
              </w:rPr>
              <w:t>*</w:t>
            </w:r>
          </w:p>
        </w:tc>
      </w:tr>
      <w:tr w:rsidR="008B5EE3" w:rsidRPr="008B5EE3" w:rsidTr="008B5EE3">
        <w:tc>
          <w:tcPr>
            <w:tcW w:w="3020"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270</w:t>
            </w:r>
          </w:p>
        </w:tc>
        <w:tc>
          <w:tcPr>
            <w:tcW w:w="3217" w:type="dxa"/>
            <w:shd w:val="clear" w:color="auto" w:fill="auto"/>
            <w:vAlign w:val="center"/>
          </w:tcPr>
          <w:p w:rsidR="00BA27DF" w:rsidRPr="008B5EE3" w:rsidRDefault="00BA27DF" w:rsidP="008B5EE3">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70</w:t>
            </w:r>
            <w:r w:rsidRPr="008B5EE3">
              <w:rPr>
                <w:rFonts w:ascii="Times New Roman" w:hAnsi="Times New Roman" w:cs="Times New Roman"/>
                <w:sz w:val="20"/>
                <w:szCs w:val="20"/>
              </w:rPr>
              <w:t>*</w:t>
            </w:r>
          </w:p>
        </w:tc>
      </w:tr>
      <w:tr w:rsidR="008B5EE3" w:rsidRPr="008B5EE3" w:rsidTr="008B5EE3">
        <w:tc>
          <w:tcPr>
            <w:tcW w:w="6237" w:type="dxa"/>
            <w:gridSpan w:val="2"/>
            <w:shd w:val="clear" w:color="auto" w:fill="auto"/>
          </w:tcPr>
          <w:p w:rsidR="00BA27DF" w:rsidRPr="008B5EE3" w:rsidRDefault="00BA27DF" w:rsidP="008B5EE3">
            <w:pPr>
              <w:suppressAutoHyphens w:val="0"/>
              <w:spacing w:before="40" w:after="40" w:line="220" w:lineRule="exact"/>
              <w:ind w:left="57" w:right="57"/>
              <w:rPr>
                <w:rFonts w:ascii="Times New Roman" w:hAnsi="Times New Roman" w:cs="Times New Roman"/>
                <w:sz w:val="18"/>
                <w:szCs w:val="18"/>
              </w:rPr>
            </w:pPr>
            <w:r w:rsidRPr="008B5EE3">
              <w:rPr>
                <w:rFonts w:ascii="Times New Roman" w:hAnsi="Times New Roman" w:cs="Times New Roman"/>
                <w:sz w:val="20"/>
                <w:szCs w:val="20"/>
              </w:rPr>
              <w:t>*</w:t>
            </w:r>
            <w:r w:rsidRPr="008B5EE3">
              <w:rPr>
                <w:rFonts w:ascii="Times New Roman" w:hAnsi="Times New Roman" w:cs="Times New Roman"/>
                <w:sz w:val="18"/>
              </w:rPr>
              <w:t xml:space="preserve">  </w:t>
            </w:r>
            <w:r w:rsidRPr="008B5EE3">
              <w:rPr>
                <w:rFonts w:ascii="Times New Roman" w:hAnsi="Times New Roman" w:cs="Times New Roman"/>
                <w:sz w:val="18"/>
                <w:szCs w:val="18"/>
              </w:rPr>
              <w:t>S’applique jusqu’à la vitesse maximale spécifiée par le fabricant du pneumatique. Cette vitesse maximale doit être inférieure à 270 km/h.</w:t>
            </w:r>
          </w:p>
        </w:tc>
      </w:tr>
    </w:tbl>
    <w:p w:rsidR="00BA27DF" w:rsidRPr="007203A1" w:rsidRDefault="00BA27DF" w:rsidP="00BA27DF">
      <w:pPr>
        <w:pStyle w:val="SingleTxtG"/>
        <w:spacing w:before="240"/>
        <w:ind w:left="2268"/>
      </w:pPr>
      <w:r w:rsidRPr="007203A1">
        <w:rPr>
          <w:rFonts w:eastAsia="Times New Roman"/>
          <w:bCs/>
        </w:rPr>
        <w:t>Pour des vitesses maximales en utilisation intermédiaires, des interpolations linéaires de l</w:t>
      </w:r>
      <w:r>
        <w:rPr>
          <w:rFonts w:eastAsia="Times New Roman"/>
          <w:bCs/>
        </w:rPr>
        <w:t>’</w:t>
      </w:r>
      <w:r w:rsidRPr="007203A1">
        <w:rPr>
          <w:rFonts w:eastAsia="Times New Roman"/>
          <w:bCs/>
        </w:rPr>
        <w:t>indice de charge maximale sont permises.</w:t>
      </w:r>
    </w:p>
    <w:p w:rsidR="00BA27DF" w:rsidRPr="007203A1" w:rsidRDefault="00BA27DF" w:rsidP="00BA27DF">
      <w:pPr>
        <w:pStyle w:val="SingleTxtG"/>
        <w:keepLines/>
        <w:ind w:left="2268" w:hanging="1134"/>
      </w:pPr>
      <w:r w:rsidRPr="007203A1">
        <w:rPr>
          <w:rFonts w:eastAsia="Times New Roman"/>
          <w:bCs/>
        </w:rPr>
        <w:t>2.36.5</w:t>
      </w:r>
      <w:r>
        <w:rPr>
          <w:rFonts w:eastAsia="Times New Roman"/>
        </w:rPr>
        <w:tab/>
      </w:r>
      <w:r w:rsidRPr="007203A1">
        <w:rPr>
          <w:rFonts w:eastAsia="Times New Roman"/>
          <w:bCs/>
        </w:rPr>
        <w:t>Pour les pneumatiques marqués du symbole de catégorie de vitesse</w:t>
      </w:r>
      <w:r>
        <w:rPr>
          <w:rFonts w:eastAsia="Times New Roman"/>
          <w:bCs/>
        </w:rPr>
        <w:t xml:space="preserve"> </w:t>
      </w:r>
      <w:r w:rsidRPr="007203A1">
        <w:rPr>
          <w:rFonts w:eastAsia="Times New Roman"/>
          <w:bCs/>
        </w:rPr>
        <w:t>“W” et identifiés par la lettre de code</w:t>
      </w:r>
      <w:r>
        <w:rPr>
          <w:rFonts w:eastAsia="Times New Roman"/>
          <w:bCs/>
        </w:rPr>
        <w:t xml:space="preserve"> </w:t>
      </w:r>
      <w:r w:rsidRPr="007203A1">
        <w:rPr>
          <w:rFonts w:eastAsia="Times New Roman"/>
          <w:bCs/>
        </w:rPr>
        <w:t>“Z” conçus pour être utilisés jusqu</w:t>
      </w:r>
      <w:r>
        <w:rPr>
          <w:rFonts w:eastAsia="Times New Roman"/>
          <w:bCs/>
        </w:rPr>
        <w:t>’</w:t>
      </w:r>
      <w:r w:rsidRPr="007203A1">
        <w:rPr>
          <w:rFonts w:eastAsia="Times New Roman"/>
          <w:bCs/>
        </w:rPr>
        <w:t>à des vitesses supérieures ou égales à 270 km/h, la limite de charge maximale ne doit pas dépasser le pourcentage de la masse, correspondant à l</w:t>
      </w:r>
      <w:r>
        <w:rPr>
          <w:rFonts w:eastAsia="Times New Roman"/>
          <w:bCs/>
        </w:rPr>
        <w:t>’</w:t>
      </w:r>
      <w:r w:rsidRPr="007203A1">
        <w:rPr>
          <w:rFonts w:eastAsia="Times New Roman"/>
          <w:bCs/>
        </w:rPr>
        <w:t>indice de charge maximale du pneumatique, indiqué dans le tableau ci-après en référence à la vitesse que peut atteindre le véhicule sur lequel il est monté</w:t>
      </w:r>
      <w:r>
        <w:rPr>
          <w:rFonts w:eastAsia="Times New Roman"/>
          <w:bCs/>
        </w:rPr>
        <w:t> :</w:t>
      </w:r>
    </w:p>
    <w:tbl>
      <w:tblPr>
        <w:tblStyle w:val="Grilledutableau1"/>
        <w:tblW w:w="6237" w:type="dxa"/>
        <w:tblInd w:w="2268" w:type="dxa"/>
        <w:tblLayout w:type="fixed"/>
        <w:tblCellMar>
          <w:left w:w="0" w:type="dxa"/>
          <w:right w:w="0" w:type="dxa"/>
        </w:tblCellMar>
        <w:tblLook w:val="04A0" w:firstRow="1" w:lastRow="0" w:firstColumn="1" w:lastColumn="0" w:noHBand="0" w:noVBand="1"/>
      </w:tblPr>
      <w:tblGrid>
        <w:gridCol w:w="3119"/>
        <w:gridCol w:w="3118"/>
      </w:tblGrid>
      <w:tr w:rsidR="008B5EE3" w:rsidRPr="008B5EE3" w:rsidTr="002E6F52">
        <w:trPr>
          <w:tblHeader/>
        </w:trPr>
        <w:tc>
          <w:tcPr>
            <w:tcW w:w="3119" w:type="dxa"/>
            <w:shd w:val="clear" w:color="auto" w:fill="auto"/>
            <w:vAlign w:val="center"/>
          </w:tcPr>
          <w:p w:rsidR="00BA27DF" w:rsidRPr="008B5EE3" w:rsidRDefault="00BA27DF" w:rsidP="002E6F52">
            <w:pPr>
              <w:keepNext/>
              <w:suppressAutoHyphens w:val="0"/>
              <w:spacing w:before="80" w:after="80" w:line="200" w:lineRule="exact"/>
              <w:jc w:val="center"/>
              <w:rPr>
                <w:rFonts w:ascii="Times New Roman" w:hAnsi="Times New Roman" w:cs="Times New Roman"/>
                <w:i/>
                <w:sz w:val="16"/>
              </w:rPr>
            </w:pPr>
            <w:r w:rsidRPr="008B5EE3">
              <w:rPr>
                <w:rFonts w:ascii="Times New Roman" w:hAnsi="Times New Roman" w:cs="Times New Roman"/>
                <w:i/>
                <w:sz w:val="16"/>
              </w:rPr>
              <w:lastRenderedPageBreak/>
              <w:t xml:space="preserve">Vitesse maximale en utilisation </w:t>
            </w:r>
            <w:r w:rsidRPr="008B5EE3">
              <w:rPr>
                <w:rFonts w:ascii="Times New Roman" w:hAnsi="Times New Roman" w:cs="Times New Roman"/>
                <w:i/>
                <w:sz w:val="16"/>
              </w:rPr>
              <w:br/>
              <w:t>(km/h)</w:t>
            </w:r>
          </w:p>
        </w:tc>
        <w:tc>
          <w:tcPr>
            <w:tcW w:w="3118" w:type="dxa"/>
            <w:shd w:val="clear" w:color="auto" w:fill="auto"/>
            <w:vAlign w:val="center"/>
          </w:tcPr>
          <w:p w:rsidR="00BA27DF" w:rsidRPr="008B5EE3" w:rsidRDefault="00BA27DF" w:rsidP="002E6F52">
            <w:pPr>
              <w:keepNext/>
              <w:suppressAutoHyphens w:val="0"/>
              <w:spacing w:before="80" w:after="80" w:line="200" w:lineRule="exact"/>
              <w:jc w:val="center"/>
              <w:rPr>
                <w:rFonts w:ascii="Times New Roman" w:hAnsi="Times New Roman" w:cs="Times New Roman"/>
                <w:i/>
                <w:sz w:val="16"/>
              </w:rPr>
            </w:pPr>
            <w:r w:rsidRPr="008B5EE3">
              <w:rPr>
                <w:rFonts w:ascii="Times New Roman" w:hAnsi="Times New Roman" w:cs="Times New Roman"/>
                <w:i/>
                <w:sz w:val="16"/>
              </w:rPr>
              <w:t xml:space="preserve">Indice </w:t>
            </w:r>
            <w:bookmarkStart w:id="4" w:name="_Hlk530675444"/>
            <w:r w:rsidRPr="008B5EE3">
              <w:rPr>
                <w:rFonts w:ascii="Times New Roman" w:hAnsi="Times New Roman" w:cs="Times New Roman"/>
                <w:i/>
                <w:sz w:val="16"/>
              </w:rPr>
              <w:t>de charge maximale</w:t>
            </w:r>
            <w:bookmarkEnd w:id="4"/>
            <w:r w:rsidRPr="008B5EE3">
              <w:rPr>
                <w:rFonts w:ascii="Times New Roman" w:hAnsi="Times New Roman" w:cs="Times New Roman"/>
                <w:i/>
                <w:sz w:val="16"/>
              </w:rPr>
              <w:t xml:space="preserve"> </w:t>
            </w:r>
            <w:r w:rsidRPr="008B5EE3">
              <w:rPr>
                <w:rFonts w:ascii="Times New Roman" w:hAnsi="Times New Roman" w:cs="Times New Roman"/>
                <w:i/>
                <w:sz w:val="16"/>
              </w:rPr>
              <w:br/>
              <w:t>(%)</w:t>
            </w:r>
          </w:p>
        </w:tc>
      </w:tr>
      <w:tr w:rsidR="008B5EE3" w:rsidRPr="008B5EE3" w:rsidTr="002E6F52">
        <w:tc>
          <w:tcPr>
            <w:tcW w:w="3119" w:type="dxa"/>
            <w:shd w:val="clear" w:color="auto" w:fill="auto"/>
            <w:vAlign w:val="center"/>
          </w:tcPr>
          <w:p w:rsidR="00BA27DF" w:rsidRPr="008B5EE3" w:rsidRDefault="00BA27DF" w:rsidP="002E6F52">
            <w:pPr>
              <w:keepNext/>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240</w:t>
            </w:r>
          </w:p>
        </w:tc>
        <w:tc>
          <w:tcPr>
            <w:tcW w:w="3118" w:type="dxa"/>
            <w:shd w:val="clear" w:color="auto" w:fill="auto"/>
            <w:vAlign w:val="center"/>
          </w:tcPr>
          <w:p w:rsidR="00BA27DF" w:rsidRPr="008B5EE3" w:rsidRDefault="00BA27DF" w:rsidP="002E6F52">
            <w:pPr>
              <w:keepNext/>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100</w:t>
            </w:r>
          </w:p>
        </w:tc>
      </w:tr>
      <w:tr w:rsidR="008B5EE3" w:rsidRPr="008B5EE3" w:rsidTr="002E6F52">
        <w:tc>
          <w:tcPr>
            <w:tcW w:w="3119" w:type="dxa"/>
            <w:shd w:val="clear" w:color="auto" w:fill="auto"/>
            <w:vAlign w:val="center"/>
          </w:tcPr>
          <w:p w:rsidR="00BA27DF" w:rsidRPr="008B5EE3" w:rsidRDefault="00BA27DF" w:rsidP="002E6F52">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250</w:t>
            </w:r>
          </w:p>
        </w:tc>
        <w:tc>
          <w:tcPr>
            <w:tcW w:w="3118" w:type="dxa"/>
            <w:shd w:val="clear" w:color="auto" w:fill="auto"/>
            <w:vAlign w:val="center"/>
          </w:tcPr>
          <w:p w:rsidR="00BA27DF" w:rsidRPr="008B5EE3" w:rsidRDefault="00BA27DF" w:rsidP="002E6F52">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95</w:t>
            </w:r>
          </w:p>
        </w:tc>
      </w:tr>
      <w:tr w:rsidR="008B5EE3" w:rsidRPr="008B5EE3" w:rsidTr="002E6F52">
        <w:tc>
          <w:tcPr>
            <w:tcW w:w="3119" w:type="dxa"/>
            <w:shd w:val="clear" w:color="auto" w:fill="auto"/>
            <w:vAlign w:val="center"/>
          </w:tcPr>
          <w:p w:rsidR="00BA27DF" w:rsidRPr="008B5EE3" w:rsidRDefault="00BA27DF" w:rsidP="002E6F52">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260</w:t>
            </w:r>
          </w:p>
        </w:tc>
        <w:tc>
          <w:tcPr>
            <w:tcW w:w="3118" w:type="dxa"/>
            <w:shd w:val="clear" w:color="auto" w:fill="auto"/>
            <w:vAlign w:val="center"/>
          </w:tcPr>
          <w:p w:rsidR="00BA27DF" w:rsidRPr="008B5EE3" w:rsidRDefault="00BA27DF" w:rsidP="002E6F52">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85</w:t>
            </w:r>
          </w:p>
        </w:tc>
      </w:tr>
      <w:tr w:rsidR="008B5EE3" w:rsidRPr="008B5EE3" w:rsidTr="002E6F52">
        <w:tc>
          <w:tcPr>
            <w:tcW w:w="3119" w:type="dxa"/>
            <w:shd w:val="clear" w:color="auto" w:fill="auto"/>
            <w:vAlign w:val="center"/>
          </w:tcPr>
          <w:p w:rsidR="00BA27DF" w:rsidRPr="008B5EE3" w:rsidRDefault="00BA27DF" w:rsidP="002E6F52">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270</w:t>
            </w:r>
          </w:p>
        </w:tc>
        <w:tc>
          <w:tcPr>
            <w:tcW w:w="3118" w:type="dxa"/>
            <w:shd w:val="clear" w:color="auto" w:fill="auto"/>
            <w:vAlign w:val="center"/>
          </w:tcPr>
          <w:p w:rsidR="00BA27DF" w:rsidRPr="008B5EE3" w:rsidRDefault="00BA27DF" w:rsidP="002E6F52">
            <w:pPr>
              <w:suppressAutoHyphens w:val="0"/>
              <w:spacing w:before="40" w:after="40" w:line="220" w:lineRule="exact"/>
              <w:jc w:val="center"/>
              <w:rPr>
                <w:rFonts w:ascii="Times New Roman" w:hAnsi="Times New Roman" w:cs="Times New Roman"/>
                <w:sz w:val="18"/>
              </w:rPr>
            </w:pPr>
            <w:r w:rsidRPr="008B5EE3">
              <w:rPr>
                <w:rFonts w:ascii="Times New Roman" w:hAnsi="Times New Roman" w:cs="Times New Roman"/>
                <w:sz w:val="18"/>
              </w:rPr>
              <w:t>75</w:t>
            </w:r>
          </w:p>
        </w:tc>
      </w:tr>
    </w:tbl>
    <w:p w:rsidR="00BA27DF" w:rsidRPr="007203A1" w:rsidRDefault="00BA27DF" w:rsidP="00BA27DF">
      <w:pPr>
        <w:pStyle w:val="SingleTxtG"/>
        <w:spacing w:before="240"/>
        <w:ind w:left="2268"/>
      </w:pPr>
      <w:r w:rsidRPr="007203A1">
        <w:rPr>
          <w:rFonts w:eastAsia="Times New Roman"/>
          <w:bCs/>
        </w:rPr>
        <w:t>Pour des vitesses maximales en utilisation intermédiaires, des interpolations linéaires de l</w:t>
      </w:r>
      <w:r>
        <w:rPr>
          <w:rFonts w:eastAsia="Times New Roman"/>
          <w:bCs/>
        </w:rPr>
        <w:t>’</w:t>
      </w:r>
      <w:r w:rsidRPr="007203A1">
        <w:rPr>
          <w:rFonts w:eastAsia="Times New Roman"/>
          <w:bCs/>
        </w:rPr>
        <w:t>indice de charge maximale sont permises.</w:t>
      </w:r>
    </w:p>
    <w:p w:rsidR="00BA27DF" w:rsidRDefault="00BA27DF" w:rsidP="00BA27DF">
      <w:pPr>
        <w:pStyle w:val="SingleTxtG"/>
        <w:keepNext/>
      </w:pPr>
      <w:r w:rsidRPr="00F01031">
        <w:rPr>
          <w:i/>
        </w:rPr>
        <w:t>Le paragraphe 2.36.4 devient le 2.36.6</w:t>
      </w:r>
      <w:r w:rsidRPr="00DC3638">
        <w:t xml:space="preserve"> et se lit comme suit</w:t>
      </w:r>
      <w:r>
        <w:t> :</w:t>
      </w:r>
    </w:p>
    <w:p w:rsidR="00BA27DF" w:rsidRPr="00DC3638" w:rsidRDefault="00BA27DF" w:rsidP="00BA27DF">
      <w:pPr>
        <w:pStyle w:val="SingleTxtG"/>
        <w:ind w:left="2268" w:hanging="1134"/>
        <w:rPr>
          <w:strike/>
        </w:rPr>
      </w:pPr>
      <w:r w:rsidRPr="00DC3638">
        <w:rPr>
          <w:rFonts w:eastAsia="Times New Roman"/>
        </w:rPr>
        <w:t>« 2.36.</w:t>
      </w:r>
      <w:r w:rsidRPr="007203A1">
        <w:rPr>
          <w:rFonts w:eastAsia="Times New Roman"/>
          <w:bCs/>
        </w:rPr>
        <w:t>6</w:t>
      </w:r>
      <w:r>
        <w:rPr>
          <w:rFonts w:eastAsia="Times New Roman"/>
        </w:rPr>
        <w:tab/>
      </w:r>
      <w:r w:rsidRPr="00DC3638">
        <w:rPr>
          <w:rFonts w:eastAsia="Times New Roman"/>
          <w:bCs/>
        </w:rPr>
        <w:t xml:space="preserve">Pour </w:t>
      </w:r>
      <w:r w:rsidRPr="007203A1">
        <w:rPr>
          <w:rFonts w:eastAsia="Times New Roman"/>
          <w:bCs/>
        </w:rPr>
        <w:t>les pneumatiques marqués du symbole de catégorie de vitesse</w:t>
      </w:r>
      <w:r>
        <w:rPr>
          <w:rFonts w:eastAsia="Times New Roman"/>
          <w:bCs/>
        </w:rPr>
        <w:t xml:space="preserve"> </w:t>
      </w:r>
      <w:r w:rsidRPr="007203A1">
        <w:rPr>
          <w:rFonts w:eastAsia="Times New Roman"/>
          <w:bCs/>
        </w:rPr>
        <w:t>“W” et identifiés par la lettre de code</w:t>
      </w:r>
      <w:r>
        <w:rPr>
          <w:rFonts w:eastAsia="Times New Roman"/>
          <w:bCs/>
        </w:rPr>
        <w:t xml:space="preserve"> </w:t>
      </w:r>
      <w:r w:rsidRPr="007203A1">
        <w:rPr>
          <w:rFonts w:eastAsia="Times New Roman"/>
          <w:bCs/>
        </w:rPr>
        <w:t>“Z” conçus pour être utilisés à des vitesses supérieures à 270 km/h et utilisés</w:t>
      </w:r>
      <w:r w:rsidRPr="00DC3638">
        <w:rPr>
          <w:rFonts w:eastAsia="Times New Roman"/>
        </w:rPr>
        <w:t xml:space="preserve"> à des vitesses supérieures à 270 km/h, l</w:t>
      </w:r>
      <w:r>
        <w:rPr>
          <w:rFonts w:eastAsia="Times New Roman"/>
        </w:rPr>
        <w:t>’</w:t>
      </w:r>
      <w:r w:rsidRPr="00DC3638">
        <w:rPr>
          <w:rFonts w:eastAsia="Times New Roman"/>
        </w:rPr>
        <w:t xml:space="preserve">indice de charge maximale ne doit pas dépasser </w:t>
      </w:r>
      <w:r w:rsidRPr="007203A1">
        <w:rPr>
          <w:rFonts w:eastAsia="Times New Roman"/>
        </w:rPr>
        <w:t>u</w:t>
      </w:r>
      <w:r w:rsidRPr="007203A1">
        <w:rPr>
          <w:rFonts w:eastAsia="Times New Roman"/>
          <w:bCs/>
        </w:rPr>
        <w:t>ne interpolation linéaire entre l</w:t>
      </w:r>
      <w:r>
        <w:rPr>
          <w:rFonts w:eastAsia="Times New Roman"/>
          <w:bCs/>
        </w:rPr>
        <w:t>’</w:t>
      </w:r>
      <w:r w:rsidRPr="007203A1">
        <w:rPr>
          <w:rFonts w:eastAsia="Times New Roman"/>
          <w:bCs/>
        </w:rPr>
        <w:t xml:space="preserve">indice de charge prescrit à 270 km/h et la charge maximale à la vitesse maximale, les deux valeurs étant </w:t>
      </w:r>
      <w:r w:rsidRPr="00DC3638">
        <w:rPr>
          <w:rFonts w:eastAsia="Times New Roman"/>
          <w:bCs/>
        </w:rPr>
        <w:t>d</w:t>
      </w:r>
      <w:r w:rsidRPr="00DC3638">
        <w:rPr>
          <w:rFonts w:eastAsia="Times New Roman"/>
        </w:rPr>
        <w:t>éterminées par le fabricant du pneumatique. »</w:t>
      </w:r>
      <w:r>
        <w:rPr>
          <w:rFonts w:eastAsia="Times New Roman"/>
        </w:rPr>
        <w:t>.</w:t>
      </w:r>
    </w:p>
    <w:p w:rsidR="00BA27DF" w:rsidRDefault="00BA27DF" w:rsidP="00BA27DF">
      <w:pPr>
        <w:pStyle w:val="SingleTxtG"/>
        <w:keepNext/>
      </w:pPr>
      <w:r w:rsidRPr="00F01031">
        <w:rPr>
          <w:i/>
        </w:rPr>
        <w:t>Paragraphe 3.1.14</w:t>
      </w:r>
      <w:r w:rsidRPr="00DC3638">
        <w:t>, lire</w:t>
      </w:r>
      <w:r>
        <w:t> :</w:t>
      </w:r>
    </w:p>
    <w:p w:rsidR="00BA27DF" w:rsidRPr="00DC3638" w:rsidRDefault="00BA27DF" w:rsidP="00BA27DF">
      <w:pPr>
        <w:pStyle w:val="SingleTxtG"/>
        <w:ind w:left="2268" w:hanging="1134"/>
        <w:rPr>
          <w:color w:val="000000"/>
        </w:rPr>
      </w:pPr>
      <w:r w:rsidRPr="00DC3638">
        <w:rPr>
          <w:rFonts w:eastAsia="Times New Roman"/>
        </w:rPr>
        <w:t>« 3.1.14</w:t>
      </w:r>
      <w:r w:rsidRPr="00DC3638">
        <w:rPr>
          <w:rFonts w:eastAsia="Times New Roman"/>
        </w:rPr>
        <w:tab/>
        <w:t xml:space="preserve">Les pneumatiques conçus pour des vitesses supérieures à 240 km/h doivent porter la lettre de code appropriée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ou </w:t>
      </w:r>
      <w:r w:rsidRPr="00DC3638">
        <w:rPr>
          <w:rFonts w:eastAsia="Times New Roman"/>
          <w:bCs/>
        </w:rPr>
        <w:t>“</w:t>
      </w:r>
      <w:r w:rsidRPr="00DC3638">
        <w:rPr>
          <w:rFonts w:eastAsia="Times New Roman"/>
        </w:rPr>
        <w:t>Z</w:t>
      </w:r>
      <w:r w:rsidRPr="00DC3638">
        <w:rPr>
          <w:rFonts w:eastAsia="Times New Roman"/>
          <w:bCs/>
        </w:rPr>
        <w:t>”</w:t>
      </w:r>
      <w:r>
        <w:rPr>
          <w:rFonts w:eastAsia="Times New Roman"/>
          <w:bCs/>
        </w:rPr>
        <w:t>,</w:t>
      </w:r>
      <w:r w:rsidRPr="00DC3638">
        <w:rPr>
          <w:rFonts w:eastAsia="Times New Roman"/>
        </w:rPr>
        <w:t xml:space="preserve"> </w:t>
      </w:r>
      <w:r w:rsidRPr="007203A1">
        <w:rPr>
          <w:rFonts w:eastAsia="Times New Roman"/>
          <w:bCs/>
        </w:rPr>
        <w:t>attribuée conformément au paragraphe 2.31.3</w:t>
      </w:r>
      <w:r w:rsidRPr="00DC3638">
        <w:rPr>
          <w:rFonts w:eastAsia="Times New Roman"/>
        </w:rPr>
        <w:t>. »</w:t>
      </w:r>
      <w:r>
        <w:rPr>
          <w:rFonts w:eastAsia="Times New Roman"/>
        </w:rPr>
        <w:t>.</w:t>
      </w:r>
    </w:p>
    <w:p w:rsidR="00BA27DF" w:rsidRDefault="00BA27DF" w:rsidP="00BA27DF">
      <w:pPr>
        <w:pStyle w:val="SingleTxtG"/>
        <w:keepNext/>
        <w:rPr>
          <w:i/>
        </w:rPr>
      </w:pPr>
      <w:r w:rsidRPr="00F01031">
        <w:rPr>
          <w:i/>
        </w:rPr>
        <w:t>Paragraphe 3.1.15</w:t>
      </w:r>
      <w:r w:rsidRPr="00DC3638">
        <w:t>, lire</w:t>
      </w:r>
      <w:r>
        <w:t> :</w:t>
      </w:r>
    </w:p>
    <w:p w:rsidR="00BA27DF" w:rsidRPr="00DC3638" w:rsidRDefault="00BA27DF" w:rsidP="00BA27DF">
      <w:pPr>
        <w:pStyle w:val="SingleTxtG"/>
        <w:ind w:left="2268" w:hanging="1134"/>
        <w:rPr>
          <w:color w:val="000000"/>
        </w:rPr>
      </w:pPr>
      <w:r w:rsidRPr="00DC3638">
        <w:rPr>
          <w:rFonts w:eastAsia="Times New Roman"/>
        </w:rPr>
        <w:t>« 3.1.15</w:t>
      </w:r>
      <w:r w:rsidRPr="00DC3638">
        <w:rPr>
          <w:rFonts w:eastAsia="Times New Roman"/>
        </w:rPr>
        <w:tab/>
        <w:t xml:space="preserve">Les pneumatiques conçus pour des vitesses supérieures à 240 km/h </w:t>
      </w:r>
      <w:r w:rsidRPr="007203A1">
        <w:rPr>
          <w:rFonts w:eastAsia="Times New Roman"/>
          <w:bCs/>
        </w:rPr>
        <w:t>mais inférieures à 270 km/h</w:t>
      </w:r>
      <w:r>
        <w:rPr>
          <w:rFonts w:eastAsia="Times New Roman"/>
          <w:bCs/>
        </w:rPr>
        <w:t xml:space="preserve"> </w:t>
      </w:r>
      <w:r w:rsidRPr="00DC3638">
        <w:rPr>
          <w:rFonts w:eastAsia="Times New Roman"/>
        </w:rPr>
        <w:t>doivent porter, entre parenthèses, l</w:t>
      </w:r>
      <w:r>
        <w:rPr>
          <w:rFonts w:eastAsia="Times New Roman"/>
        </w:rPr>
        <w:t>’</w:t>
      </w:r>
      <w:r w:rsidRPr="00DC3638">
        <w:rPr>
          <w:rFonts w:eastAsia="Times New Roman"/>
        </w:rPr>
        <w:t>indication de l</w:t>
      </w:r>
      <w:r>
        <w:rPr>
          <w:rFonts w:eastAsia="Times New Roman"/>
        </w:rPr>
        <w:t>’</w:t>
      </w:r>
      <w:r w:rsidRPr="00DC3638">
        <w:rPr>
          <w:rFonts w:eastAsia="Times New Roman"/>
        </w:rPr>
        <w:t>indice de charge maximale (voir par. 3) applicable à une vitesse de 210 km/h</w:t>
      </w:r>
      <w:r>
        <w:rPr>
          <w:rFonts w:eastAsia="Times New Roman"/>
        </w:rPr>
        <w:t xml:space="preserve"> </w:t>
      </w:r>
      <w:r w:rsidRPr="00DC3638">
        <w:rPr>
          <w:rFonts w:eastAsia="Times New Roman"/>
        </w:rPr>
        <w:t>et un symbole de catégorie de vitesse de référence (voir par. 3) comme suit</w:t>
      </w:r>
      <w:r>
        <w:rPr>
          <w:rFonts w:eastAsia="Times New Roman"/>
        </w:rPr>
        <w:t> :</w:t>
      </w:r>
    </w:p>
    <w:p w:rsidR="00BA27DF" w:rsidRPr="00DC3638" w:rsidRDefault="00BA27DF" w:rsidP="00BA27DF">
      <w:pPr>
        <w:pStyle w:val="SingleTxtG"/>
        <w:ind w:left="2268"/>
        <w:rPr>
          <w:color w:val="000000"/>
        </w:rPr>
      </w:pPr>
      <w:r w:rsidRPr="00DC3638">
        <w:rPr>
          <w:bCs/>
        </w:rPr>
        <w:t>“</w:t>
      </w:r>
      <w:r w:rsidRPr="00DC3638">
        <w:t>V</w:t>
      </w:r>
      <w:r w:rsidRPr="00DC3638">
        <w:rPr>
          <w:bCs/>
        </w:rPr>
        <w:t>”</w:t>
      </w:r>
      <w:r w:rsidRPr="00DC3638">
        <w:t xml:space="preserve"> dans le cas de pneumatiques identifiés par la lettre de code </w:t>
      </w:r>
      <w:r w:rsidRPr="00DC3638">
        <w:rPr>
          <w:bCs/>
        </w:rPr>
        <w:t>“</w:t>
      </w:r>
      <w:r w:rsidRPr="00DC3638">
        <w:t>V</w:t>
      </w:r>
      <w:r w:rsidRPr="00DC3638">
        <w:rPr>
          <w:bCs/>
        </w:rPr>
        <w:t>”</w:t>
      </w:r>
      <w:r w:rsidRPr="00DC3638">
        <w:t xml:space="preserve"> dans la désignation des dimensions.»</w:t>
      </w:r>
      <w:r>
        <w:t>.</w:t>
      </w:r>
    </w:p>
    <w:p w:rsidR="00BA27DF" w:rsidRPr="00DC3638" w:rsidRDefault="00BA27DF" w:rsidP="00BA27DF">
      <w:pPr>
        <w:pStyle w:val="SingleTxtG"/>
        <w:keepNext/>
        <w:rPr>
          <w:i/>
          <w:color w:val="000000"/>
        </w:rPr>
      </w:pPr>
      <w:r w:rsidRPr="00F01031">
        <w:rPr>
          <w:i/>
        </w:rPr>
        <w:t>Ajouter le nouveau paragraphe 3.1.16</w:t>
      </w:r>
      <w:r w:rsidRPr="00DC3638">
        <w:t>, libellé comme suit</w:t>
      </w:r>
      <w:r>
        <w:t> :</w:t>
      </w:r>
    </w:p>
    <w:p w:rsidR="00BA27DF" w:rsidRPr="007203A1" w:rsidRDefault="00BA27DF" w:rsidP="00BA27DF">
      <w:pPr>
        <w:pStyle w:val="SingleTxtG"/>
        <w:ind w:left="2268" w:hanging="1134"/>
        <w:rPr>
          <w:color w:val="000000"/>
        </w:rPr>
      </w:pPr>
      <w:r w:rsidRPr="00DC3638">
        <w:t>« </w:t>
      </w:r>
      <w:r w:rsidRPr="007203A1">
        <w:rPr>
          <w:rFonts w:eastAsia="Times New Roman"/>
          <w:bCs/>
        </w:rPr>
        <w:t>3.1.16</w:t>
      </w:r>
      <w:r w:rsidRPr="00DC3638">
        <w:rPr>
          <w:rFonts w:eastAsia="Times New Roman"/>
        </w:rPr>
        <w:tab/>
      </w:r>
      <w:r w:rsidRPr="007203A1">
        <w:rPr>
          <w:rFonts w:eastAsia="Times New Roman"/>
          <w:bCs/>
        </w:rPr>
        <w:t>Les pneumatiques conçus pour des vitesses supérieures à 270 km/h doivent porter, entre parenthèses, l</w:t>
      </w:r>
      <w:r>
        <w:rPr>
          <w:rFonts w:eastAsia="Times New Roman"/>
          <w:bCs/>
        </w:rPr>
        <w:t>’</w:t>
      </w:r>
      <w:r w:rsidRPr="007203A1">
        <w:rPr>
          <w:rFonts w:eastAsia="Times New Roman"/>
          <w:bCs/>
        </w:rPr>
        <w:t>indication de l</w:t>
      </w:r>
      <w:r>
        <w:rPr>
          <w:rFonts w:eastAsia="Times New Roman"/>
          <w:bCs/>
        </w:rPr>
        <w:t>’</w:t>
      </w:r>
      <w:r w:rsidRPr="007203A1">
        <w:rPr>
          <w:rFonts w:eastAsia="Times New Roman"/>
          <w:bCs/>
        </w:rPr>
        <w:t>indice de charge maximale (voir par. 3) applicable à une vitesse de 240 km/h et un symbole de catégorie de vitesse de référence (voir par. 3) comme suit</w:t>
      </w:r>
      <w:r>
        <w:rPr>
          <w:rFonts w:eastAsia="Times New Roman"/>
          <w:bCs/>
        </w:rPr>
        <w:t> :</w:t>
      </w:r>
    </w:p>
    <w:p w:rsidR="00BA27DF" w:rsidRPr="007203A1" w:rsidRDefault="00BA27DF" w:rsidP="00BA27DF">
      <w:pPr>
        <w:pStyle w:val="SingleTxtG"/>
        <w:ind w:left="2268"/>
        <w:rPr>
          <w:iCs/>
          <w:color w:val="000000"/>
        </w:rPr>
      </w:pPr>
      <w:r w:rsidRPr="007203A1">
        <w:rPr>
          <w:bCs/>
        </w:rPr>
        <w:t>“</w:t>
      </w:r>
      <w:r w:rsidRPr="007203A1">
        <w:t>W</w:t>
      </w:r>
      <w:r w:rsidRPr="007203A1">
        <w:rPr>
          <w:bCs/>
        </w:rPr>
        <w:t>”</w:t>
      </w:r>
      <w:r w:rsidRPr="007203A1">
        <w:t xml:space="preserve"> dans le cas de pneumatiques identifiés par la lettre de code</w:t>
      </w:r>
      <w:r>
        <w:t xml:space="preserve"> </w:t>
      </w:r>
      <w:r w:rsidRPr="007203A1">
        <w:rPr>
          <w:bCs/>
        </w:rPr>
        <w:t>“</w:t>
      </w:r>
      <w:r w:rsidRPr="007203A1">
        <w:t>Z</w:t>
      </w:r>
      <w:r w:rsidRPr="007203A1">
        <w:rPr>
          <w:bCs/>
        </w:rPr>
        <w:t>”</w:t>
      </w:r>
      <w:r w:rsidRPr="007203A1">
        <w:t xml:space="preserve"> dans la désignation des dimensions. </w:t>
      </w:r>
      <w:r w:rsidRPr="00DC3638">
        <w:t>»</w:t>
      </w:r>
      <w:r>
        <w:t>.</w:t>
      </w:r>
    </w:p>
    <w:p w:rsidR="00BA27DF" w:rsidRPr="00DC3638" w:rsidRDefault="00BA27DF" w:rsidP="00BA27DF">
      <w:pPr>
        <w:pStyle w:val="SingleTxtG"/>
        <w:rPr>
          <w:i/>
          <w:iCs/>
        </w:rPr>
      </w:pPr>
      <w:r w:rsidRPr="00DC3638">
        <w:rPr>
          <w:i/>
          <w:iCs/>
        </w:rPr>
        <w:t>L</w:t>
      </w:r>
      <w:r>
        <w:rPr>
          <w:i/>
          <w:iCs/>
        </w:rPr>
        <w:t>’</w:t>
      </w:r>
      <w:r w:rsidRPr="00DC3638">
        <w:rPr>
          <w:i/>
          <w:iCs/>
        </w:rPr>
        <w:t>ancien paragraphe</w:t>
      </w:r>
      <w:r>
        <w:rPr>
          <w:i/>
          <w:iCs/>
        </w:rPr>
        <w:t xml:space="preserve"> </w:t>
      </w:r>
      <w:r w:rsidRPr="00DC3638">
        <w:rPr>
          <w:i/>
          <w:iCs/>
        </w:rPr>
        <w:t>3.1.16</w:t>
      </w:r>
      <w:r w:rsidRPr="00DC3638">
        <w:t xml:space="preserve"> devient le paragraphe</w:t>
      </w:r>
      <w:r>
        <w:t xml:space="preserve"> </w:t>
      </w:r>
      <w:r w:rsidRPr="00DC3638">
        <w:t>3.1.17.</w:t>
      </w:r>
    </w:p>
    <w:p w:rsidR="00BA27DF" w:rsidRDefault="00BA27DF" w:rsidP="00BA27DF">
      <w:pPr>
        <w:pStyle w:val="SingleTxtG"/>
        <w:keepNext/>
      </w:pPr>
      <w:r w:rsidRPr="00F01031">
        <w:rPr>
          <w:i/>
        </w:rPr>
        <w:t>Paragraphe 4.1.15</w:t>
      </w:r>
      <w:r w:rsidRPr="00DC3638">
        <w:t>, lire</w:t>
      </w:r>
      <w:r>
        <w:t> :</w:t>
      </w:r>
    </w:p>
    <w:p w:rsidR="00BA27DF" w:rsidRPr="00DC3638" w:rsidRDefault="00BA27DF" w:rsidP="00BA27DF">
      <w:pPr>
        <w:pStyle w:val="SingleTxtG"/>
        <w:ind w:left="2268" w:hanging="1134"/>
      </w:pPr>
      <w:r w:rsidRPr="00DC3638">
        <w:rPr>
          <w:rFonts w:eastAsia="Times New Roman"/>
        </w:rPr>
        <w:t>« 4.1.15</w:t>
      </w:r>
      <w:r w:rsidRPr="00DC3638">
        <w:rPr>
          <w:rFonts w:eastAsia="Times New Roman"/>
        </w:rPr>
        <w:tab/>
        <w:t>Pour les pneumatiques identifiés par la lettre de code</w:t>
      </w:r>
      <w:r>
        <w:rPr>
          <w:rFonts w:eastAsia="Times New Roman"/>
        </w:rPr>
        <w:t xml:space="preserv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dans la désignation des dimensions et conçus pour des vitesses supérieures à 240 km/h </w:t>
      </w:r>
      <w:r w:rsidRPr="007203A1">
        <w:rPr>
          <w:rFonts w:eastAsia="Times New Roman"/>
          <w:bCs/>
        </w:rPr>
        <w:t>mais inférieures à 270 km/h</w:t>
      </w:r>
      <w:r>
        <w:rPr>
          <w:rFonts w:eastAsia="Times New Roman"/>
          <w:bCs/>
        </w:rPr>
        <w:t>,</w:t>
      </w:r>
      <w:r w:rsidRPr="007203A1">
        <w:rPr>
          <w:rFonts w:eastAsia="Times New Roman"/>
          <w:bCs/>
        </w:rPr>
        <w:t xml:space="preserve"> </w:t>
      </w:r>
      <w:r w:rsidRPr="00DC3638">
        <w:rPr>
          <w:rFonts w:eastAsia="Times New Roman"/>
        </w:rPr>
        <w:t>ou pour les pneumatiques identifiés au moyen de la lettre de code</w:t>
      </w:r>
      <w:r>
        <w:rPr>
          <w:rFonts w:eastAsia="Times New Roman"/>
        </w:rPr>
        <w:t xml:space="preserve"> </w:t>
      </w:r>
      <w:r w:rsidRPr="00DC3638">
        <w:rPr>
          <w:rFonts w:eastAsia="Times New Roman"/>
          <w:bCs/>
        </w:rPr>
        <w:t>“</w:t>
      </w:r>
      <w:r w:rsidRPr="00DC3638">
        <w:rPr>
          <w:rFonts w:eastAsia="Times New Roman"/>
        </w:rPr>
        <w:t>Z</w:t>
      </w:r>
      <w:r w:rsidRPr="00DC3638">
        <w:rPr>
          <w:rFonts w:eastAsia="Times New Roman"/>
          <w:bCs/>
        </w:rPr>
        <w:t>”</w:t>
      </w:r>
      <w:r w:rsidRPr="00DC3638">
        <w:rPr>
          <w:rFonts w:eastAsia="Times New Roman"/>
        </w:rPr>
        <w:t xml:space="preserve"> dans la désignation des dimensions et conçus pour des vitesses supérieures à 270 km/h, la vitesse maximale autorisée par le fabricant du pneumatique et la capacité de charge autorisée pour cette vitesse maximale. »</w:t>
      </w:r>
      <w:r>
        <w:rPr>
          <w:rFonts w:eastAsia="Times New Roman"/>
        </w:rPr>
        <w:t>.</w:t>
      </w:r>
    </w:p>
    <w:p w:rsidR="00BA27DF" w:rsidRDefault="00BA27DF" w:rsidP="00BA27DF">
      <w:pPr>
        <w:pStyle w:val="SingleTxtG"/>
        <w:keepNext/>
        <w:rPr>
          <w:i/>
        </w:rPr>
      </w:pPr>
      <w:r w:rsidRPr="00F01031">
        <w:rPr>
          <w:i/>
        </w:rPr>
        <w:t>Paragraphe 6.2.1.1</w:t>
      </w:r>
      <w:r w:rsidRPr="00DC3638">
        <w:t>, lire</w:t>
      </w:r>
      <w:r>
        <w:t> :</w:t>
      </w:r>
    </w:p>
    <w:p w:rsidR="00BA27DF" w:rsidRPr="00DC3638" w:rsidRDefault="00BA27DF" w:rsidP="00BA27DF">
      <w:pPr>
        <w:pStyle w:val="SingleTxtG"/>
        <w:ind w:left="2268" w:hanging="1134"/>
      </w:pPr>
      <w:r w:rsidRPr="00DC3638">
        <w:rPr>
          <w:rFonts w:eastAsia="Times New Roman"/>
        </w:rPr>
        <w:t>« 6.2.1.1</w:t>
      </w:r>
      <w:r>
        <w:rPr>
          <w:rFonts w:eastAsia="Times New Roman"/>
        </w:rPr>
        <w:tab/>
      </w:r>
      <w:r w:rsidRPr="00DC3638">
        <w:rPr>
          <w:rFonts w:eastAsia="Times New Roman"/>
        </w:rPr>
        <w:t>Lorsqu</w:t>
      </w:r>
      <w:r>
        <w:rPr>
          <w:rFonts w:eastAsia="Times New Roman"/>
        </w:rPr>
        <w:t>’</w:t>
      </w:r>
      <w:r w:rsidRPr="00DC3638">
        <w:rPr>
          <w:rFonts w:eastAsia="Times New Roman"/>
        </w:rPr>
        <w:t>une demande d</w:t>
      </w:r>
      <w:r>
        <w:rPr>
          <w:rFonts w:eastAsia="Times New Roman"/>
        </w:rPr>
        <w:t>’</w:t>
      </w:r>
      <w:r w:rsidRPr="00DC3638">
        <w:rPr>
          <w:rFonts w:eastAsia="Times New Roman"/>
        </w:rPr>
        <w:t>homologation est faite pour des pneumatiques identifiés au moyen de la lettre de code</w:t>
      </w:r>
      <w:r>
        <w:rPr>
          <w:rFonts w:eastAsia="Times New Roman"/>
        </w:rPr>
        <w:t xml:space="preserv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dans la désignation des dimensions et conçus pour des vitesses supérieures à 240</w:t>
      </w:r>
      <w:r>
        <w:rPr>
          <w:rFonts w:eastAsia="Times New Roman"/>
        </w:rPr>
        <w:t> </w:t>
      </w:r>
      <w:r w:rsidRPr="00DC3638">
        <w:rPr>
          <w:rFonts w:eastAsia="Times New Roman"/>
        </w:rPr>
        <w:t>km/h ou pour des pneumatiques identifiés au moyen de la lettre de code</w:t>
      </w:r>
      <w:r>
        <w:rPr>
          <w:rFonts w:eastAsia="Times New Roman"/>
        </w:rPr>
        <w:t xml:space="preserve"> </w:t>
      </w:r>
      <w:r w:rsidRPr="00DC3638">
        <w:rPr>
          <w:rFonts w:eastAsia="Times New Roman"/>
          <w:bCs/>
        </w:rPr>
        <w:t>“</w:t>
      </w:r>
      <w:r w:rsidRPr="00DC3638">
        <w:rPr>
          <w:rFonts w:eastAsia="Times New Roman"/>
        </w:rPr>
        <w:t>Z</w:t>
      </w:r>
      <w:r w:rsidRPr="00DC3638">
        <w:rPr>
          <w:rFonts w:eastAsia="Times New Roman"/>
          <w:bCs/>
        </w:rPr>
        <w:t>”</w:t>
      </w:r>
      <w:r w:rsidRPr="00DC3638">
        <w:rPr>
          <w:rFonts w:eastAsia="Times New Roman"/>
        </w:rPr>
        <w:t xml:space="preserve"> dans la désignation </w:t>
      </w:r>
      <w:r w:rsidRPr="00DC3638">
        <w:rPr>
          <w:rFonts w:eastAsia="Times New Roman"/>
        </w:rPr>
        <w:lastRenderedPageBreak/>
        <w:t>des dimensions et conçus pour des vitesses supérieures à 270 km/h (voir par. 4.1.15), l</w:t>
      </w:r>
      <w:r>
        <w:rPr>
          <w:rFonts w:eastAsia="Times New Roman"/>
        </w:rPr>
        <w:t>’</w:t>
      </w:r>
      <w:r w:rsidRPr="00DC3638">
        <w:rPr>
          <w:rFonts w:eastAsia="Times New Roman"/>
        </w:rPr>
        <w:t xml:space="preserve">essai de charge/vitesse ci-dessus est effectué sur un seul pneumatique aux conditions de charge et de vitesse indiquées sur le pneumatique (voir par. 3.1.15). Un autre essai de charge/vitesse doit être effectué sur un second pneumatique du même type aux conditions de charge et de vitesse spécifiées, le cas échéant, par le fabricant du pneumatique comme étant la charge et la vitesse maximales (voir par. 4.1.15). </w:t>
      </w:r>
      <w:r w:rsidRPr="007203A1">
        <w:rPr>
          <w:rFonts w:eastAsia="Times New Roman"/>
        </w:rPr>
        <w:t>Pour les pneumatiques identifiés au moyen de la lettre de code</w:t>
      </w:r>
      <w:r>
        <w:rPr>
          <w:rFonts w:eastAsia="Times New Roman"/>
        </w:rPr>
        <w:t xml:space="preserve"> </w:t>
      </w:r>
      <w:r w:rsidRPr="007203A1">
        <w:rPr>
          <w:rFonts w:eastAsia="Times New Roman"/>
          <w:bCs/>
        </w:rPr>
        <w:t>“</w:t>
      </w:r>
      <w:r w:rsidRPr="007203A1">
        <w:rPr>
          <w:rFonts w:eastAsia="Times New Roman"/>
        </w:rPr>
        <w:t>V</w:t>
      </w:r>
      <w:r w:rsidRPr="007203A1">
        <w:rPr>
          <w:rFonts w:eastAsia="Times New Roman"/>
          <w:bCs/>
        </w:rPr>
        <w:t>”</w:t>
      </w:r>
      <w:r w:rsidRPr="00DC3638">
        <w:rPr>
          <w:rFonts w:eastAsia="Times New Roman"/>
          <w:bCs/>
        </w:rPr>
        <w:t xml:space="preserve"> </w:t>
      </w:r>
      <w:r w:rsidRPr="007203A1">
        <w:rPr>
          <w:rFonts w:eastAsia="Times New Roman"/>
        </w:rPr>
        <w:t>dans la désignation des dimensions et conçus pour des vitesses supérieures à 240 km/h, la charge maximale spécifiée par le fabricant ne doit pas dépasser l</w:t>
      </w:r>
      <w:r>
        <w:rPr>
          <w:rFonts w:eastAsia="Times New Roman"/>
        </w:rPr>
        <w:t>’</w:t>
      </w:r>
      <w:r w:rsidRPr="007203A1">
        <w:rPr>
          <w:rFonts w:eastAsia="Times New Roman"/>
        </w:rPr>
        <w:t>indice de charge maximale spécifié au paragraphe 2.36.4 par référence à la vitesse maximale spécifiée par le fabricant.</w:t>
      </w:r>
      <w:r w:rsidRPr="00DC3638">
        <w:t> »</w:t>
      </w:r>
      <w:r>
        <w:t>.</w:t>
      </w:r>
    </w:p>
    <w:p w:rsidR="00BA27DF" w:rsidRDefault="00BA27DF" w:rsidP="00BA27DF">
      <w:pPr>
        <w:pStyle w:val="SingleTxtG"/>
        <w:keepNext/>
        <w:rPr>
          <w:i/>
        </w:rPr>
      </w:pPr>
      <w:r w:rsidRPr="00F01031">
        <w:rPr>
          <w:i/>
        </w:rPr>
        <w:t>Paragraphe 7.1.4</w:t>
      </w:r>
      <w:r w:rsidRPr="00DC3638">
        <w:t>, lire</w:t>
      </w:r>
      <w:r>
        <w:t> :</w:t>
      </w:r>
    </w:p>
    <w:p w:rsidR="00BA27DF" w:rsidRPr="00DC3638" w:rsidRDefault="00BA27DF" w:rsidP="00BA27DF">
      <w:pPr>
        <w:pStyle w:val="SingleTxtG"/>
        <w:ind w:left="2268" w:hanging="1134"/>
        <w:rPr>
          <w:color w:val="000000"/>
        </w:rPr>
      </w:pPr>
      <w:r w:rsidRPr="00DC3638">
        <w:rPr>
          <w:rFonts w:eastAsia="Times New Roman"/>
        </w:rPr>
        <w:t>« 7.1.4</w:t>
      </w:r>
      <w:r>
        <w:rPr>
          <w:rFonts w:eastAsia="Times New Roman"/>
        </w:rPr>
        <w:tab/>
      </w:r>
      <w:r w:rsidRPr="00DC3638">
        <w:rPr>
          <w:rFonts w:eastAsia="Times New Roman"/>
        </w:rPr>
        <w:tab/>
        <w:t>Des extensions d</w:t>
      </w:r>
      <w:r>
        <w:rPr>
          <w:rFonts w:eastAsia="Times New Roman"/>
        </w:rPr>
        <w:t>’</w:t>
      </w:r>
      <w:r w:rsidRPr="00DC3638">
        <w:rPr>
          <w:rFonts w:eastAsia="Times New Roman"/>
        </w:rPr>
        <w:t>homologation aux pneumatiques conçus pour des vitesses supérieures à 240 km/h</w:t>
      </w:r>
      <w:r w:rsidRPr="007203A1">
        <w:rPr>
          <w:rFonts w:eastAsia="Times New Roman"/>
          <w:bCs/>
        </w:rPr>
        <w:t xml:space="preserve"> mais inférieures à 270 km/h </w:t>
      </w:r>
      <w:r w:rsidRPr="00DC3638">
        <w:rPr>
          <w:rFonts w:eastAsia="Times New Roman"/>
        </w:rPr>
        <w:t xml:space="preserve">pour les pneumatiques identifiés par la lettre de code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dans la désignation de la dimension (ou 270 km/h pour les pneumatiques identifiés par la lettre de code</w:t>
      </w:r>
      <w:r>
        <w:rPr>
          <w:rFonts w:eastAsia="Times New Roman"/>
        </w:rPr>
        <w:t xml:space="preserve"> </w:t>
      </w:r>
      <w:r w:rsidRPr="00DC3638">
        <w:rPr>
          <w:rFonts w:eastAsia="Times New Roman"/>
          <w:bCs/>
        </w:rPr>
        <w:t>“</w:t>
      </w:r>
      <w:r w:rsidRPr="00DC3638">
        <w:rPr>
          <w:rFonts w:eastAsia="Times New Roman"/>
        </w:rPr>
        <w:t>Z</w:t>
      </w:r>
      <w:r w:rsidRPr="00DC3638">
        <w:rPr>
          <w:rFonts w:eastAsia="Times New Roman"/>
          <w:bCs/>
        </w:rPr>
        <w:t>”</w:t>
      </w:r>
      <w:r w:rsidRPr="00DC3638">
        <w:rPr>
          <w:rFonts w:eastAsia="Times New Roman"/>
        </w:rPr>
        <w:t xml:space="preserve"> dans la désignation de la dimension), visant à obtenir un agrément pour des vitesses et/ou des charges maximales différentes, sont autorisées, à condition qu</w:t>
      </w:r>
      <w:r>
        <w:rPr>
          <w:rFonts w:eastAsia="Times New Roman"/>
        </w:rPr>
        <w:t>’</w:t>
      </w:r>
      <w:r w:rsidRPr="00DC3638">
        <w:rPr>
          <w:rFonts w:eastAsia="Times New Roman"/>
        </w:rPr>
        <w:t>un nouveau procès-verbal d</w:t>
      </w:r>
      <w:r>
        <w:rPr>
          <w:rFonts w:eastAsia="Times New Roman"/>
        </w:rPr>
        <w:t>’</w:t>
      </w:r>
      <w:r w:rsidRPr="00DC3638">
        <w:rPr>
          <w:rFonts w:eastAsia="Times New Roman"/>
        </w:rPr>
        <w:t>essai portant sur la nouvelle vitesse maximale et le nouvel indice de charge maximal soit fourni par le service technique chargé d</w:t>
      </w:r>
      <w:r>
        <w:rPr>
          <w:rFonts w:eastAsia="Times New Roman"/>
        </w:rPr>
        <w:t>’</w:t>
      </w:r>
      <w:r w:rsidRPr="00DC3638">
        <w:rPr>
          <w:rFonts w:eastAsia="Times New Roman"/>
        </w:rPr>
        <w:t>effectuer les essais.</w:t>
      </w:r>
    </w:p>
    <w:p w:rsidR="00BA27DF" w:rsidRDefault="00BA27DF" w:rsidP="00BA27DF">
      <w:pPr>
        <w:pStyle w:val="SingleTxtG"/>
        <w:ind w:left="2268"/>
      </w:pPr>
      <w:r w:rsidRPr="00DC3638">
        <w:t>Ces nouvelles capacités de charge/vitesse doivent être spécifiées à la rubrique 9 de l</w:t>
      </w:r>
      <w:r>
        <w:t>’</w:t>
      </w:r>
      <w:r w:rsidRPr="00DC3638">
        <w:t>annexe</w:t>
      </w:r>
      <w:r>
        <w:t xml:space="preserve"> </w:t>
      </w:r>
      <w:r w:rsidRPr="00DC3638">
        <w:t>1.»</w:t>
      </w:r>
      <w:r>
        <w:t>.</w:t>
      </w:r>
    </w:p>
    <w:p w:rsidR="00BA27DF" w:rsidRPr="001943CE" w:rsidRDefault="00BA27DF" w:rsidP="00BA27DF">
      <w:pPr>
        <w:pStyle w:val="SingleTxtG"/>
        <w:keepNext/>
        <w:rPr>
          <w:iCs/>
        </w:rPr>
      </w:pPr>
      <w:r w:rsidRPr="007A3422">
        <w:rPr>
          <w:i/>
        </w:rPr>
        <w:t xml:space="preserve">Ajouter </w:t>
      </w:r>
      <w:r>
        <w:rPr>
          <w:i/>
        </w:rPr>
        <w:t>le</w:t>
      </w:r>
      <w:r w:rsidRPr="007A3422">
        <w:rPr>
          <w:i/>
        </w:rPr>
        <w:t xml:space="preserve"> nouveau paragraphe 12</w:t>
      </w:r>
      <w:r>
        <w:t>, libellé comme suit :</w:t>
      </w:r>
    </w:p>
    <w:p w:rsidR="00BA27DF" w:rsidRPr="007203A1" w:rsidRDefault="00BA27DF" w:rsidP="00BA27DF">
      <w:pPr>
        <w:pStyle w:val="HChG"/>
        <w:tabs>
          <w:tab w:val="left" w:pos="2268"/>
        </w:tabs>
      </w:pPr>
      <w:r>
        <w:rPr>
          <w:lang w:val="fr-FR"/>
        </w:rPr>
        <w:tab/>
      </w:r>
      <w:r>
        <w:rPr>
          <w:lang w:val="fr-FR"/>
        </w:rPr>
        <w:tab/>
      </w:r>
      <w:r w:rsidRPr="00F01031">
        <w:rPr>
          <w:b w:val="0"/>
          <w:sz w:val="20"/>
          <w:lang w:val="fr-FR"/>
        </w:rPr>
        <w:t>« </w:t>
      </w:r>
      <w:r w:rsidRPr="007203A1">
        <w:rPr>
          <w:lang w:val="fr-FR"/>
        </w:rPr>
        <w:t>12.</w:t>
      </w:r>
      <w:r w:rsidRPr="007203A1">
        <w:rPr>
          <w:lang w:val="fr-FR"/>
        </w:rPr>
        <w:tab/>
        <w:t>Dispositions transitoires</w:t>
      </w:r>
    </w:p>
    <w:p w:rsidR="00BA27DF" w:rsidRPr="00F01031" w:rsidRDefault="00BA27DF" w:rsidP="00BA27DF">
      <w:pPr>
        <w:pStyle w:val="SingleTxtG"/>
        <w:ind w:left="2268" w:hanging="1134"/>
      </w:pPr>
      <w:r w:rsidRPr="00F01031">
        <w:t>12.1</w:t>
      </w:r>
      <w:r>
        <w:tab/>
      </w:r>
      <w:r w:rsidRPr="00F01031">
        <w:t>À compter de la date officielle d’entrée en vigueur du complément 18 à la série originale d’amendements, aucune Partie contractante appliquant le présent Règlement ne devra refuser d’accorder ou d’accepter une homologation de type au titre du complément 18 à la version originale de ce Règlement.</w:t>
      </w:r>
    </w:p>
    <w:p w:rsidR="00BA27DF" w:rsidRPr="00F01031" w:rsidRDefault="00BA27DF" w:rsidP="00BA27DF">
      <w:pPr>
        <w:pStyle w:val="SingleTxtG"/>
        <w:ind w:left="2268" w:hanging="1134"/>
      </w:pPr>
      <w:r w:rsidRPr="00F01031">
        <w:t>12.2</w:t>
      </w:r>
      <w:r>
        <w:tab/>
      </w:r>
      <w:r w:rsidRPr="00F01031">
        <w:t>À compter du 1</w:t>
      </w:r>
      <w:r w:rsidRPr="00973BA7">
        <w:rPr>
          <w:vertAlign w:val="superscript"/>
        </w:rPr>
        <w:t>er</w:t>
      </w:r>
      <w:r>
        <w:t> </w:t>
      </w:r>
      <w:r w:rsidRPr="00F01031">
        <w:t>septembre 2020, aucune Partie contractante appliquant le présent Règlement ne devra accorder d’homologation de type au titre de la version originale de ce Règlement si le pneumatique à homologuer ne satisfait pas aux prescriptions du complément 18.</w:t>
      </w:r>
    </w:p>
    <w:p w:rsidR="00BA27DF" w:rsidRPr="007203A1" w:rsidRDefault="00BA27DF" w:rsidP="00BA27DF">
      <w:pPr>
        <w:pStyle w:val="SingleTxtG"/>
        <w:ind w:left="2268" w:hanging="1134"/>
        <w:rPr>
          <w:rFonts w:eastAsia="Times New Roman"/>
        </w:rPr>
      </w:pPr>
      <w:r w:rsidRPr="00475B54">
        <w:t>12.3</w:t>
      </w:r>
      <w:r>
        <w:tab/>
      </w:r>
      <w:r w:rsidRPr="00475B54">
        <w:t>Pour les pneumatiques homologués pour la première fois avant le 31</w:t>
      </w:r>
      <w:r>
        <w:t> </w:t>
      </w:r>
      <w:r w:rsidRPr="00475B54">
        <w:t>août 2020, les Parties contractantes appliquant le présent Règlement pourront continuer à accorder des extensions d</w:t>
      </w:r>
      <w:r>
        <w:t>’</w:t>
      </w:r>
      <w:r w:rsidRPr="00475B54">
        <w:t>homologations de type sans tenir compte des dispositions du complément 18. »</w:t>
      </w:r>
      <w:r>
        <w:t>.</w:t>
      </w:r>
    </w:p>
    <w:p w:rsidR="00BA27DF" w:rsidRDefault="00BA27DF" w:rsidP="00BA27DF">
      <w:pPr>
        <w:pStyle w:val="SingleTxtG"/>
        <w:keepNext/>
      </w:pPr>
      <w:r w:rsidRPr="00F01031">
        <w:rPr>
          <w:i/>
        </w:rPr>
        <w:t>Annexe 7</w:t>
      </w:r>
      <w:r w:rsidRPr="00DC3638">
        <w:t>,</w:t>
      </w:r>
    </w:p>
    <w:p w:rsidR="00BA27DF" w:rsidRPr="00DC3638" w:rsidRDefault="00BA27DF" w:rsidP="00BA27DF">
      <w:pPr>
        <w:pStyle w:val="SingleTxtG"/>
        <w:keepNext/>
        <w:keepLines/>
        <w:rPr>
          <w:color w:val="000000"/>
        </w:rPr>
      </w:pPr>
      <w:r w:rsidRPr="00DC3638">
        <w:rPr>
          <w:i/>
        </w:rPr>
        <w:t>Paragraphe 2.2.3</w:t>
      </w:r>
      <w:r w:rsidRPr="00DC3638">
        <w:t>, lire</w:t>
      </w:r>
      <w:r>
        <w:t> :</w:t>
      </w:r>
    </w:p>
    <w:p w:rsidR="00BA27DF" w:rsidRPr="00DC3638" w:rsidRDefault="00BA27DF" w:rsidP="00BA27DF">
      <w:pPr>
        <w:pStyle w:val="SingleTxtG"/>
        <w:ind w:left="2268" w:hanging="1134"/>
        <w:rPr>
          <w:color w:val="000000"/>
        </w:rPr>
      </w:pPr>
      <w:r w:rsidRPr="00DC3638">
        <w:rPr>
          <w:rFonts w:eastAsia="Times New Roman"/>
        </w:rPr>
        <w:t>« 2.2.3</w:t>
      </w:r>
      <w:r>
        <w:rPr>
          <w:rFonts w:eastAsia="Times New Roman"/>
        </w:rPr>
        <w:tab/>
      </w:r>
      <w:r w:rsidRPr="00DC3638">
        <w:rPr>
          <w:rFonts w:eastAsia="Times New Roman"/>
        </w:rPr>
        <w:tab/>
        <w:t>L</w:t>
      </w:r>
      <w:r>
        <w:rPr>
          <w:rFonts w:eastAsia="Times New Roman"/>
        </w:rPr>
        <w:t>’</w:t>
      </w:r>
      <w:r w:rsidRPr="00DC3638">
        <w:rPr>
          <w:rFonts w:eastAsia="Times New Roman"/>
        </w:rPr>
        <w:t>indice de charge maximale correspondant à une vitesse maximale de 270 km/h pour les pneumatiques portant le code de vitesse</w:t>
      </w:r>
      <w:r>
        <w:rPr>
          <w:rFonts w:eastAsia="Times New Roman"/>
        </w:rPr>
        <w:t xml:space="preserve"> </w:t>
      </w:r>
      <w:r w:rsidRPr="00DC3638">
        <w:rPr>
          <w:rFonts w:eastAsia="Times New Roman"/>
        </w:rPr>
        <w:t>“W” (voir par. 2.36.</w:t>
      </w:r>
      <w:r w:rsidRPr="007203A1">
        <w:rPr>
          <w:rFonts w:eastAsia="Times New Roman"/>
          <w:bCs/>
        </w:rPr>
        <w:t>5 du présent Règlement</w:t>
      </w:r>
      <w:r w:rsidRPr="00DC3638">
        <w:rPr>
          <w:rFonts w:eastAsia="Times New Roman"/>
        </w:rPr>
        <w:t>). »</w:t>
      </w:r>
      <w:r>
        <w:rPr>
          <w:rFonts w:eastAsia="Times New Roman"/>
        </w:rPr>
        <w:t>.</w:t>
      </w:r>
    </w:p>
    <w:p w:rsidR="00BA27DF" w:rsidRDefault="00BA27DF" w:rsidP="00BA27DF">
      <w:pPr>
        <w:pStyle w:val="SingleTxtG"/>
      </w:pPr>
      <w:r w:rsidRPr="00DC3638">
        <w:t>Supprimer les paragraphes 2.2.4, 2.5.2.1 et 2.5.6.1.</w:t>
      </w:r>
    </w:p>
    <w:p w:rsidR="00BA27DF" w:rsidRPr="00DC3638" w:rsidRDefault="00BA27DF" w:rsidP="00BA27DF">
      <w:pPr>
        <w:pStyle w:val="H4G"/>
        <w:rPr>
          <w:i w:val="0"/>
          <w:color w:val="000000"/>
        </w:rPr>
      </w:pPr>
      <w:r w:rsidRPr="00DC3638">
        <w:rPr>
          <w:rFonts w:eastAsia="Times New Roman"/>
          <w:iCs/>
        </w:rPr>
        <w:tab/>
      </w:r>
      <w:r w:rsidRPr="00DC3638">
        <w:rPr>
          <w:rFonts w:eastAsia="Times New Roman"/>
          <w:iCs/>
        </w:rPr>
        <w:tab/>
      </w:r>
      <w:r>
        <w:rPr>
          <w:rFonts w:eastAsia="Times New Roman"/>
          <w:iCs/>
        </w:rPr>
        <w:t>Ajouter le</w:t>
      </w:r>
      <w:r w:rsidRPr="00DC3638">
        <w:rPr>
          <w:rFonts w:eastAsia="Times New Roman"/>
          <w:iCs/>
        </w:rPr>
        <w:t xml:space="preserve"> nouveau paragraphe</w:t>
      </w:r>
      <w:r>
        <w:rPr>
          <w:rFonts w:eastAsia="Times New Roman"/>
          <w:iCs/>
        </w:rPr>
        <w:t xml:space="preserve"> </w:t>
      </w:r>
      <w:r w:rsidRPr="00DC3638">
        <w:rPr>
          <w:rFonts w:eastAsia="Times New Roman"/>
          <w:iCs/>
        </w:rPr>
        <w:t>2.6.1</w:t>
      </w:r>
      <w:r w:rsidRPr="00DC3638">
        <w:rPr>
          <w:rFonts w:eastAsia="Times New Roman"/>
          <w:i w:val="0"/>
        </w:rPr>
        <w:t>, libellé comme suit</w:t>
      </w:r>
      <w:r>
        <w:rPr>
          <w:rFonts w:eastAsia="Times New Roman"/>
          <w:i w:val="0"/>
        </w:rPr>
        <w:t> :</w:t>
      </w:r>
    </w:p>
    <w:p w:rsidR="00BA27DF" w:rsidRPr="007203A1" w:rsidRDefault="00BA27DF" w:rsidP="00BA27DF">
      <w:pPr>
        <w:pStyle w:val="SingleTxtG"/>
        <w:ind w:left="2268" w:hanging="1134"/>
        <w:rPr>
          <w:color w:val="000000"/>
        </w:rPr>
      </w:pPr>
      <w:r w:rsidRPr="00DC3638">
        <w:rPr>
          <w:rFonts w:eastAsia="Times New Roman"/>
        </w:rPr>
        <w:t>« </w:t>
      </w:r>
      <w:r w:rsidRPr="007203A1">
        <w:rPr>
          <w:rFonts w:eastAsia="Times New Roman"/>
          <w:bCs/>
        </w:rPr>
        <w:t>2.6.1</w:t>
      </w:r>
      <w:r w:rsidRPr="00DC3638">
        <w:rPr>
          <w:rFonts w:eastAsia="Times New Roman"/>
        </w:rPr>
        <w:tab/>
      </w:r>
      <w:r w:rsidRPr="00DC3638">
        <w:rPr>
          <w:rFonts w:eastAsia="Times New Roman"/>
        </w:rPr>
        <w:tab/>
      </w:r>
      <w:r w:rsidRPr="007203A1">
        <w:rPr>
          <w:rFonts w:eastAsia="Times New Roman"/>
          <w:bCs/>
        </w:rPr>
        <w:t>Appliquer sur l</w:t>
      </w:r>
      <w:r>
        <w:rPr>
          <w:rFonts w:eastAsia="Times New Roman"/>
          <w:bCs/>
        </w:rPr>
        <w:t>’</w:t>
      </w:r>
      <w:r w:rsidRPr="007203A1">
        <w:rPr>
          <w:rFonts w:eastAsia="Times New Roman"/>
          <w:bCs/>
        </w:rPr>
        <w:t>axe d</w:t>
      </w:r>
      <w:r>
        <w:rPr>
          <w:rFonts w:eastAsia="Times New Roman"/>
          <w:bCs/>
        </w:rPr>
        <w:t>’</w:t>
      </w:r>
      <w:r w:rsidRPr="007203A1">
        <w:rPr>
          <w:rFonts w:eastAsia="Times New Roman"/>
          <w:bCs/>
        </w:rPr>
        <w:t>essai une force d</w:t>
      </w:r>
      <w:r>
        <w:rPr>
          <w:rFonts w:eastAsia="Times New Roman"/>
          <w:bCs/>
        </w:rPr>
        <w:t>’</w:t>
      </w:r>
      <w:r w:rsidRPr="007203A1">
        <w:rPr>
          <w:rFonts w:eastAsia="Times New Roman"/>
          <w:bCs/>
        </w:rPr>
        <w:t>essai égale à 65 % de la charge maximale à la vitesse maximale spécifiée par le fabricant du pneumatique</w:t>
      </w:r>
      <w:r>
        <w:rPr>
          <w:rFonts w:eastAsia="Times New Roman"/>
          <w:bCs/>
        </w:rPr>
        <w:t> ;</w:t>
      </w:r>
      <w:r w:rsidRPr="00DC3638">
        <w:rPr>
          <w:rFonts w:eastAsia="Times New Roman"/>
        </w:rPr>
        <w:t> »</w:t>
      </w:r>
      <w:r>
        <w:rPr>
          <w:rFonts w:eastAsia="Times New Roman"/>
        </w:rPr>
        <w:t>.</w:t>
      </w:r>
    </w:p>
    <w:p w:rsidR="00BA27DF" w:rsidRPr="00DC3638" w:rsidRDefault="00BA27DF" w:rsidP="00BA27DF">
      <w:pPr>
        <w:pStyle w:val="SingleTxtG"/>
        <w:keepNext/>
        <w:rPr>
          <w:color w:val="000000"/>
        </w:rPr>
      </w:pPr>
      <w:r w:rsidRPr="00DC3638">
        <w:rPr>
          <w:i/>
          <w:iCs/>
        </w:rPr>
        <w:lastRenderedPageBreak/>
        <w:t>Les anciens paragraphes 2.6.1 à 2.6.4</w:t>
      </w:r>
      <w:r w:rsidRPr="00DC3638">
        <w:t xml:space="preserve"> deviennent les paragraphes 2.6.2 à 2.6.5 et se lisent comme suit</w:t>
      </w:r>
      <w:r>
        <w:t> :</w:t>
      </w:r>
    </w:p>
    <w:p w:rsidR="00BA27DF" w:rsidRPr="007203A1" w:rsidRDefault="00BA27DF" w:rsidP="00BA27DF">
      <w:pPr>
        <w:pStyle w:val="SingleTxtG"/>
        <w:ind w:left="2268" w:hanging="1134"/>
        <w:rPr>
          <w:color w:val="000000"/>
        </w:rPr>
      </w:pPr>
      <w:r w:rsidRPr="00DC3638">
        <w:rPr>
          <w:rFonts w:eastAsia="Times New Roman"/>
          <w:bCs/>
        </w:rPr>
        <w:t>« </w:t>
      </w:r>
      <w:r w:rsidRPr="007203A1">
        <w:rPr>
          <w:rFonts w:eastAsia="Times New Roman"/>
          <w:bCs/>
        </w:rPr>
        <w:t>2.6.2</w:t>
      </w:r>
      <w:r w:rsidRPr="00DC3638">
        <w:rPr>
          <w:rFonts w:eastAsia="Times New Roman"/>
        </w:rPr>
        <w:tab/>
      </w:r>
      <w:r w:rsidRPr="00DC3638">
        <w:rPr>
          <w:rFonts w:eastAsia="Times New Roman"/>
        </w:rPr>
        <w:tab/>
      </w:r>
      <w:r w:rsidRPr="007203A1">
        <w:rPr>
          <w:rFonts w:eastAsia="Times New Roman"/>
          <w:bCs/>
        </w:rPr>
        <w:t xml:space="preserve">Passer en </w:t>
      </w:r>
      <w:r>
        <w:rPr>
          <w:rFonts w:eastAsia="Times New Roman"/>
          <w:bCs/>
        </w:rPr>
        <w:t>20 </w:t>
      </w:r>
      <w:r w:rsidRPr="007203A1">
        <w:rPr>
          <w:rFonts w:eastAsia="Times New Roman"/>
          <w:bCs/>
        </w:rPr>
        <w:t>min</w:t>
      </w:r>
      <w:r w:rsidRPr="00DC3638">
        <w:rPr>
          <w:rFonts w:eastAsia="Times New Roman"/>
        </w:rPr>
        <w:t xml:space="preserve"> de la vitesse zéro à la vitesse de départ de l</w:t>
      </w:r>
      <w:r>
        <w:rPr>
          <w:rFonts w:eastAsia="Times New Roman"/>
        </w:rPr>
        <w:t>’</w:t>
      </w:r>
      <w:r w:rsidRPr="00DC3638">
        <w:rPr>
          <w:rFonts w:eastAsia="Times New Roman"/>
        </w:rPr>
        <w:t xml:space="preserve">essai, </w:t>
      </w:r>
      <w:r w:rsidRPr="007203A1">
        <w:rPr>
          <w:rFonts w:eastAsia="Times New Roman"/>
          <w:bCs/>
        </w:rPr>
        <w:t>qui est inférieure de 30 km/h à la vitesse maximale spécifiée par le fabricant du pneumatique (voir par. 4.1.15 du présent Règlement) si un tambour d</w:t>
      </w:r>
      <w:r>
        <w:rPr>
          <w:rFonts w:eastAsia="Times New Roman"/>
          <w:bCs/>
        </w:rPr>
        <w:t>’</w:t>
      </w:r>
      <w:r w:rsidRPr="007203A1">
        <w:rPr>
          <w:rFonts w:eastAsia="Times New Roman"/>
          <w:bCs/>
        </w:rPr>
        <w:t xml:space="preserve">essai de 2,0 m de diamètre est utilisé, ou inférieure de 40 km/h </w:t>
      </w:r>
      <w:r>
        <w:rPr>
          <w:rFonts w:eastAsia="Times New Roman"/>
          <w:bCs/>
        </w:rPr>
        <w:t xml:space="preserve">si </w:t>
      </w:r>
      <w:r w:rsidRPr="007203A1">
        <w:rPr>
          <w:rFonts w:eastAsia="Times New Roman"/>
          <w:bCs/>
        </w:rPr>
        <w:t>un tambour d</w:t>
      </w:r>
      <w:r>
        <w:rPr>
          <w:rFonts w:eastAsia="Times New Roman"/>
          <w:bCs/>
        </w:rPr>
        <w:t>’</w:t>
      </w:r>
      <w:r w:rsidRPr="007203A1">
        <w:rPr>
          <w:rFonts w:eastAsia="Times New Roman"/>
          <w:bCs/>
        </w:rPr>
        <w:t>essai de 1,7 m de diamètre est utilisé</w:t>
      </w:r>
      <w:r>
        <w:rPr>
          <w:rFonts w:eastAsia="Times New Roman"/>
          <w:bCs/>
        </w:rPr>
        <w:t> ;</w:t>
      </w:r>
    </w:p>
    <w:p w:rsidR="00BA27DF" w:rsidRPr="007203A1" w:rsidRDefault="00BA27DF" w:rsidP="00BA27DF">
      <w:pPr>
        <w:pStyle w:val="SingleTxtG"/>
        <w:ind w:left="2268" w:hanging="1134"/>
        <w:rPr>
          <w:color w:val="000000"/>
        </w:rPr>
      </w:pPr>
      <w:r w:rsidRPr="007203A1">
        <w:rPr>
          <w:rFonts w:eastAsia="Times New Roman"/>
          <w:bCs/>
        </w:rPr>
        <w:t>2.6.3</w:t>
      </w:r>
      <w:r w:rsidRPr="00DC3638">
        <w:rPr>
          <w:rFonts w:eastAsia="Times New Roman"/>
        </w:rPr>
        <w:tab/>
      </w:r>
      <w:r w:rsidRPr="00DC3638">
        <w:rPr>
          <w:rFonts w:eastAsia="Times New Roman"/>
        </w:rPr>
        <w:tab/>
      </w:r>
      <w:r w:rsidRPr="007203A1">
        <w:rPr>
          <w:rFonts w:eastAsia="Times New Roman"/>
          <w:bCs/>
        </w:rPr>
        <w:t>Rouler</w:t>
      </w:r>
      <w:r w:rsidRPr="00DC3638">
        <w:rPr>
          <w:rFonts w:eastAsia="Times New Roman"/>
        </w:rPr>
        <w:t xml:space="preserve"> </w:t>
      </w:r>
      <w:r>
        <w:rPr>
          <w:rFonts w:eastAsia="Times New Roman"/>
        </w:rPr>
        <w:t>20 </w:t>
      </w:r>
      <w:r w:rsidRPr="00DC3638">
        <w:rPr>
          <w:rFonts w:eastAsia="Times New Roman"/>
        </w:rPr>
        <w:t>min à la vitesse de départ de l</w:t>
      </w:r>
      <w:r>
        <w:rPr>
          <w:rFonts w:eastAsia="Times New Roman"/>
        </w:rPr>
        <w:t>’</w:t>
      </w:r>
      <w:r w:rsidRPr="00DC3638">
        <w:rPr>
          <w:rFonts w:eastAsia="Times New Roman"/>
        </w:rPr>
        <w:t>essai</w:t>
      </w:r>
      <w:r>
        <w:rPr>
          <w:rFonts w:eastAsia="Times New Roman"/>
        </w:rPr>
        <w:t> ;</w:t>
      </w:r>
    </w:p>
    <w:p w:rsidR="00BA27DF" w:rsidRPr="007203A1" w:rsidRDefault="00BA27DF" w:rsidP="00BA27DF">
      <w:pPr>
        <w:pStyle w:val="SingleTxtG"/>
        <w:ind w:left="2268" w:hanging="1134"/>
        <w:rPr>
          <w:color w:val="000000"/>
        </w:rPr>
      </w:pPr>
      <w:r w:rsidRPr="007203A1">
        <w:rPr>
          <w:rFonts w:eastAsia="Times New Roman"/>
          <w:bCs/>
        </w:rPr>
        <w:t>2.6.4</w:t>
      </w:r>
      <w:r w:rsidRPr="00DC3638">
        <w:rPr>
          <w:rFonts w:eastAsia="Times New Roman"/>
        </w:rPr>
        <w:tab/>
      </w:r>
      <w:r w:rsidRPr="00DC3638">
        <w:rPr>
          <w:rFonts w:eastAsia="Times New Roman"/>
        </w:rPr>
        <w:tab/>
      </w:r>
      <w:r w:rsidRPr="007203A1">
        <w:rPr>
          <w:rFonts w:eastAsia="Times New Roman"/>
          <w:bCs/>
        </w:rPr>
        <w:t>Passer en</w:t>
      </w:r>
      <w:r>
        <w:rPr>
          <w:rFonts w:eastAsia="Times New Roman"/>
          <w:bCs/>
        </w:rPr>
        <w:t xml:space="preserve"> 10 </w:t>
      </w:r>
      <w:r w:rsidRPr="007203A1">
        <w:rPr>
          <w:rFonts w:eastAsia="Times New Roman"/>
          <w:bCs/>
        </w:rPr>
        <w:t xml:space="preserve">min </w:t>
      </w:r>
      <w:r w:rsidRPr="00DC3638">
        <w:rPr>
          <w:rFonts w:eastAsia="Times New Roman"/>
        </w:rPr>
        <w:t>de la vitesse zéro à la vitesse de départ de l</w:t>
      </w:r>
      <w:r>
        <w:rPr>
          <w:rFonts w:eastAsia="Times New Roman"/>
        </w:rPr>
        <w:t>’</w:t>
      </w:r>
      <w:r w:rsidRPr="00DC3638">
        <w:rPr>
          <w:rFonts w:eastAsia="Times New Roman"/>
        </w:rPr>
        <w:t>essai,</w:t>
      </w:r>
      <w:r w:rsidRPr="007203A1">
        <w:rPr>
          <w:rFonts w:eastAsia="Times New Roman"/>
          <w:bCs/>
        </w:rPr>
        <w:t xml:space="preserve"> qui est la vitesse maximale spécifiée par le fabricant du pneumatique (voir par. 4.1.15 du présent Règlement) si un tambour d</w:t>
      </w:r>
      <w:r>
        <w:rPr>
          <w:rFonts w:eastAsia="Times New Roman"/>
          <w:bCs/>
        </w:rPr>
        <w:t>’</w:t>
      </w:r>
      <w:r w:rsidRPr="007203A1">
        <w:rPr>
          <w:rFonts w:eastAsia="Times New Roman"/>
          <w:bCs/>
        </w:rPr>
        <w:t>essai de 2,0 m de diamètre est utilisé, ou inférieure de 10 km/h si un tambour d</w:t>
      </w:r>
      <w:r>
        <w:rPr>
          <w:rFonts w:eastAsia="Times New Roman"/>
          <w:bCs/>
        </w:rPr>
        <w:t>’</w:t>
      </w:r>
      <w:r w:rsidRPr="007203A1">
        <w:rPr>
          <w:rFonts w:eastAsia="Times New Roman"/>
          <w:bCs/>
        </w:rPr>
        <w:t>essai de 1,7 m de diamètre est utilisé</w:t>
      </w:r>
      <w:r>
        <w:rPr>
          <w:rFonts w:eastAsia="Times New Roman"/>
          <w:bCs/>
        </w:rPr>
        <w:t> ;</w:t>
      </w:r>
    </w:p>
    <w:p w:rsidR="005F0207" w:rsidRDefault="00BA27DF" w:rsidP="00BA27DF">
      <w:pPr>
        <w:ind w:left="2268" w:hanging="1134"/>
        <w:rPr>
          <w:rFonts w:eastAsia="Times New Roman"/>
        </w:rPr>
      </w:pPr>
      <w:r w:rsidRPr="007203A1">
        <w:rPr>
          <w:rFonts w:eastAsia="Times New Roman"/>
          <w:bCs/>
        </w:rPr>
        <w:t>2.6.5</w:t>
      </w:r>
      <w:r w:rsidRPr="00DC3638">
        <w:rPr>
          <w:rFonts w:eastAsia="Times New Roman"/>
        </w:rPr>
        <w:tab/>
      </w:r>
      <w:r w:rsidRPr="00DC3638">
        <w:rPr>
          <w:rFonts w:eastAsia="Times New Roman"/>
        </w:rPr>
        <w:tab/>
      </w:r>
      <w:r w:rsidRPr="007203A1">
        <w:rPr>
          <w:rFonts w:eastAsia="Times New Roman"/>
          <w:bCs/>
        </w:rPr>
        <w:t xml:space="preserve">Rouler </w:t>
      </w:r>
      <w:r>
        <w:rPr>
          <w:rFonts w:eastAsia="Times New Roman"/>
        </w:rPr>
        <w:t>5 </w:t>
      </w:r>
      <w:r w:rsidRPr="00DC3638">
        <w:rPr>
          <w:rFonts w:eastAsia="Times New Roman"/>
        </w:rPr>
        <w:t>min à la vitesse maximale de l</w:t>
      </w:r>
      <w:r>
        <w:rPr>
          <w:rFonts w:eastAsia="Times New Roman"/>
        </w:rPr>
        <w:t>’</w:t>
      </w:r>
      <w:r w:rsidRPr="00DC3638">
        <w:rPr>
          <w:rFonts w:eastAsia="Times New Roman"/>
        </w:rPr>
        <w:t>essai. »</w:t>
      </w:r>
      <w:r>
        <w:rPr>
          <w:rFonts w:eastAsia="Times New Roman"/>
        </w:rPr>
        <w:t>.</w:t>
      </w:r>
    </w:p>
    <w:p w:rsidR="00BA27DF" w:rsidRPr="00BA27DF" w:rsidRDefault="00BA27DF" w:rsidP="00BA27DF">
      <w:pPr>
        <w:pStyle w:val="SingleTxtG"/>
        <w:spacing w:before="240" w:after="0"/>
        <w:jc w:val="center"/>
        <w:rPr>
          <w:u w:val="single"/>
        </w:rPr>
      </w:pPr>
      <w:r>
        <w:rPr>
          <w:u w:val="single"/>
        </w:rPr>
        <w:tab/>
      </w:r>
      <w:r>
        <w:rPr>
          <w:u w:val="single"/>
        </w:rPr>
        <w:tab/>
      </w:r>
      <w:r>
        <w:rPr>
          <w:u w:val="single"/>
        </w:rPr>
        <w:tab/>
      </w:r>
    </w:p>
    <w:sectPr w:rsidR="00BA27DF" w:rsidRPr="00BA27DF" w:rsidSect="00BA27DF">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AF" w:rsidRDefault="00AB5CAF"/>
  </w:endnote>
  <w:endnote w:type="continuationSeparator" w:id="0">
    <w:p w:rsidR="00AB5CAF" w:rsidRDefault="00AB5CAF">
      <w:pPr>
        <w:pStyle w:val="Pieddepage"/>
      </w:pPr>
    </w:p>
  </w:endnote>
  <w:endnote w:type="continuationNotice" w:id="1">
    <w:p w:rsidR="00AB5CAF" w:rsidRPr="00C451B9" w:rsidRDefault="00AB5CA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DF" w:rsidRPr="00BA27DF" w:rsidRDefault="00BA27DF" w:rsidP="00BA27DF">
    <w:pPr>
      <w:pStyle w:val="Pieddepage"/>
      <w:tabs>
        <w:tab w:val="right" w:pos="9638"/>
      </w:tabs>
    </w:pPr>
    <w:r w:rsidRPr="00BA27DF">
      <w:rPr>
        <w:b/>
        <w:sz w:val="18"/>
      </w:rPr>
      <w:fldChar w:fldCharType="begin"/>
    </w:r>
    <w:r w:rsidRPr="00BA27DF">
      <w:rPr>
        <w:b/>
        <w:sz w:val="18"/>
      </w:rPr>
      <w:instrText xml:space="preserve"> PAGE  \* MERGEFORMAT </w:instrText>
    </w:r>
    <w:r w:rsidRPr="00BA27DF">
      <w:rPr>
        <w:b/>
        <w:sz w:val="18"/>
      </w:rPr>
      <w:fldChar w:fldCharType="separate"/>
    </w:r>
    <w:r w:rsidRPr="00BA27DF">
      <w:rPr>
        <w:b/>
        <w:noProof/>
        <w:sz w:val="18"/>
      </w:rPr>
      <w:t>2</w:t>
    </w:r>
    <w:r w:rsidRPr="00BA27DF">
      <w:rPr>
        <w:b/>
        <w:sz w:val="18"/>
      </w:rPr>
      <w:fldChar w:fldCharType="end"/>
    </w:r>
    <w:r>
      <w:rPr>
        <w:b/>
        <w:sz w:val="18"/>
      </w:rPr>
      <w:tab/>
    </w:r>
    <w:r>
      <w:t>GE.20-00732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DF" w:rsidRPr="00BA27DF" w:rsidRDefault="00BA27DF" w:rsidP="00BA27DF">
    <w:pPr>
      <w:pStyle w:val="Pieddepage"/>
      <w:tabs>
        <w:tab w:val="right" w:pos="9638"/>
      </w:tabs>
      <w:rPr>
        <w:b/>
        <w:sz w:val="18"/>
      </w:rPr>
    </w:pPr>
    <w:r>
      <w:t>GE.20-00732</w:t>
    </w:r>
    <w:r>
      <w:tab/>
    </w:r>
    <w:r w:rsidRPr="00BA27DF">
      <w:rPr>
        <w:b/>
        <w:sz w:val="18"/>
      </w:rPr>
      <w:fldChar w:fldCharType="begin"/>
    </w:r>
    <w:r w:rsidRPr="00BA27DF">
      <w:rPr>
        <w:b/>
        <w:sz w:val="18"/>
      </w:rPr>
      <w:instrText xml:space="preserve"> PAGE  \* MERGEFORMAT </w:instrText>
    </w:r>
    <w:r w:rsidRPr="00BA27DF">
      <w:rPr>
        <w:b/>
        <w:sz w:val="18"/>
      </w:rPr>
      <w:fldChar w:fldCharType="separate"/>
    </w:r>
    <w:r w:rsidRPr="00BA27DF">
      <w:rPr>
        <w:b/>
        <w:noProof/>
        <w:sz w:val="18"/>
      </w:rPr>
      <w:t>3</w:t>
    </w:r>
    <w:r w:rsidRPr="00BA27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BA27DF" w:rsidRDefault="00BA27DF" w:rsidP="00BA27DF">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20-00732  (F)    170220    170220</w:t>
    </w:r>
    <w:r>
      <w:rPr>
        <w:sz w:val="20"/>
      </w:rPr>
      <w:br/>
    </w:r>
    <w:r w:rsidRPr="00BA27DF">
      <w:rPr>
        <w:rFonts w:ascii="C39T30Lfz" w:hAnsi="C39T30Lfz"/>
        <w:sz w:val="56"/>
      </w:rPr>
      <w:t></w:t>
    </w:r>
    <w:r w:rsidRPr="00BA27DF">
      <w:rPr>
        <w:rFonts w:ascii="C39T30Lfz" w:hAnsi="C39T30Lfz"/>
        <w:sz w:val="56"/>
      </w:rPr>
      <w:t></w:t>
    </w:r>
    <w:r w:rsidRPr="00BA27DF">
      <w:rPr>
        <w:rFonts w:ascii="C39T30Lfz" w:hAnsi="C39T30Lfz"/>
        <w:sz w:val="56"/>
      </w:rPr>
      <w:t></w:t>
    </w:r>
    <w:r w:rsidRPr="00BA27DF">
      <w:rPr>
        <w:rFonts w:ascii="C39T30Lfz" w:hAnsi="C39T30Lfz"/>
        <w:sz w:val="56"/>
      </w:rPr>
      <w:t></w:t>
    </w:r>
    <w:r w:rsidRPr="00BA27DF">
      <w:rPr>
        <w:rFonts w:ascii="C39T30Lfz" w:hAnsi="C39T30Lfz"/>
        <w:sz w:val="56"/>
      </w:rPr>
      <w:t></w:t>
    </w:r>
    <w:r w:rsidRPr="00BA27DF">
      <w:rPr>
        <w:rFonts w:ascii="C39T30Lfz" w:hAnsi="C39T30Lfz"/>
        <w:sz w:val="56"/>
      </w:rPr>
      <w:t></w:t>
    </w:r>
    <w:r w:rsidRPr="00BA27DF">
      <w:rPr>
        <w:rFonts w:ascii="C39T30Lfz" w:hAnsi="C39T30Lfz"/>
        <w:sz w:val="56"/>
      </w:rPr>
      <w:t></w:t>
    </w:r>
    <w:r w:rsidRPr="00BA27DF">
      <w:rPr>
        <w:rFonts w:ascii="C39T30Lfz" w:hAnsi="C39T30Lfz"/>
        <w:sz w:val="56"/>
      </w:rPr>
      <w:t></w:t>
    </w:r>
    <w:r w:rsidRPr="00BA27D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4/Rev.2/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4/Rev.2/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AF" w:rsidRPr="00D27D5E" w:rsidRDefault="00AB5CAF" w:rsidP="00D27D5E">
      <w:pPr>
        <w:tabs>
          <w:tab w:val="right" w:pos="2155"/>
        </w:tabs>
        <w:spacing w:after="80"/>
        <w:ind w:left="680"/>
        <w:rPr>
          <w:u w:val="single"/>
        </w:rPr>
      </w:pPr>
      <w:r>
        <w:rPr>
          <w:u w:val="single"/>
        </w:rPr>
        <w:tab/>
      </w:r>
    </w:p>
  </w:footnote>
  <w:footnote w:type="continuationSeparator" w:id="0">
    <w:p w:rsidR="00AB5CAF" w:rsidRPr="00D171D4" w:rsidRDefault="00AB5CAF" w:rsidP="00D171D4">
      <w:pPr>
        <w:tabs>
          <w:tab w:val="right" w:pos="2155"/>
        </w:tabs>
        <w:spacing w:after="80"/>
        <w:ind w:left="680"/>
        <w:rPr>
          <w:u w:val="single"/>
        </w:rPr>
      </w:pPr>
      <w:r w:rsidRPr="00D171D4">
        <w:rPr>
          <w:u w:val="single"/>
        </w:rPr>
        <w:tab/>
      </w:r>
    </w:p>
  </w:footnote>
  <w:footnote w:type="continuationNotice" w:id="1">
    <w:p w:rsidR="00AB5CAF" w:rsidRPr="00C451B9" w:rsidRDefault="00AB5CAF"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BA27DF">
        <w:tab/>
      </w:r>
      <w:r w:rsidRPr="00BA27D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DF" w:rsidRPr="00BA27DF" w:rsidRDefault="00BA27DF">
    <w:pPr>
      <w:pStyle w:val="En-tte"/>
      <w:rPr>
        <w:lang w:val="en-US"/>
      </w:rPr>
    </w:pPr>
    <w:r>
      <w:fldChar w:fldCharType="begin"/>
    </w:r>
    <w:r w:rsidRPr="00BA27DF">
      <w:rPr>
        <w:lang w:val="en-US"/>
      </w:rPr>
      <w:instrText xml:space="preserve"> TITLE  \* MERGEFORMAT </w:instrText>
    </w:r>
    <w:r>
      <w:fldChar w:fldCharType="separate"/>
    </w:r>
    <w:r w:rsidRPr="00BA27DF">
      <w:rPr>
        <w:lang w:val="en-US"/>
      </w:rPr>
      <w:t>E/ECE/324/Rev.1/Add.74/Rev.2/Amend.5</w:t>
    </w:r>
    <w:r>
      <w:fldChar w:fldCharType="end"/>
    </w:r>
    <w:r w:rsidRPr="00BA27DF">
      <w:rPr>
        <w:lang w:val="en-US"/>
      </w:rPr>
      <w:br/>
    </w:r>
    <w:r>
      <w:fldChar w:fldCharType="begin"/>
    </w:r>
    <w:r w:rsidRPr="00BA27DF">
      <w:rPr>
        <w:lang w:val="en-US"/>
      </w:rPr>
      <w:instrText xml:space="preserve"> KEYWORDS  \* MERGEFORMAT </w:instrText>
    </w:r>
    <w:r>
      <w:fldChar w:fldCharType="separate"/>
    </w:r>
    <w:r w:rsidRPr="00BA27DF">
      <w:rPr>
        <w:lang w:val="en-US"/>
      </w:rPr>
      <w:t>E/ECE/TRANS/505/Rev.1/Add.74/Rev.2/Amend.5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DF" w:rsidRPr="00BA27DF" w:rsidRDefault="00BA27DF" w:rsidP="00BA27DF">
    <w:pPr>
      <w:pStyle w:val="En-tte"/>
      <w:jc w:val="right"/>
      <w:rPr>
        <w:lang w:val="en-US"/>
      </w:rPr>
    </w:pPr>
    <w:r>
      <w:fldChar w:fldCharType="begin"/>
    </w:r>
    <w:r w:rsidRPr="00BA27DF">
      <w:rPr>
        <w:lang w:val="en-US"/>
      </w:rPr>
      <w:instrText xml:space="preserve"> TITLE  \* MERGEFORMAT </w:instrText>
    </w:r>
    <w:r>
      <w:fldChar w:fldCharType="separate"/>
    </w:r>
    <w:r w:rsidRPr="00BA27DF">
      <w:rPr>
        <w:lang w:val="en-US"/>
      </w:rPr>
      <w:t>E/ECE/324/Rev.1/Add.74/Rev.2/Amend.5</w:t>
    </w:r>
    <w:r>
      <w:fldChar w:fldCharType="end"/>
    </w:r>
    <w:r w:rsidRPr="00BA27DF">
      <w:rPr>
        <w:lang w:val="en-US"/>
      </w:rPr>
      <w:br/>
    </w:r>
    <w:r>
      <w:fldChar w:fldCharType="begin"/>
    </w:r>
    <w:r w:rsidRPr="00BA27DF">
      <w:rPr>
        <w:lang w:val="en-US"/>
      </w:rPr>
      <w:instrText xml:space="preserve"> KEYWORDS  \* MERGEFORMAT </w:instrText>
    </w:r>
    <w:r>
      <w:fldChar w:fldCharType="separate"/>
    </w:r>
    <w:r w:rsidRPr="00BA27DF">
      <w:rPr>
        <w:lang w:val="en-US"/>
      </w:rPr>
      <w:t>E/ECE/TRANS/505/Rev.1/Add.74/Rev.2/Amend.5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5CA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E6F52"/>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548A"/>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540F"/>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B5EE3"/>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B5CAF"/>
    <w:rsid w:val="00AC67A1"/>
    <w:rsid w:val="00AC7977"/>
    <w:rsid w:val="00AC7E56"/>
    <w:rsid w:val="00AE2617"/>
    <w:rsid w:val="00AE352C"/>
    <w:rsid w:val="00AE39A5"/>
    <w:rsid w:val="00AE79AC"/>
    <w:rsid w:val="00B01AAD"/>
    <w:rsid w:val="00B101DB"/>
    <w:rsid w:val="00B13E4F"/>
    <w:rsid w:val="00B21751"/>
    <w:rsid w:val="00B256F0"/>
    <w:rsid w:val="00B31AD6"/>
    <w:rsid w:val="00B31D7D"/>
    <w:rsid w:val="00B32E2D"/>
    <w:rsid w:val="00B416B8"/>
    <w:rsid w:val="00B42351"/>
    <w:rsid w:val="00B43741"/>
    <w:rsid w:val="00B45642"/>
    <w:rsid w:val="00B52F29"/>
    <w:rsid w:val="00B5388D"/>
    <w:rsid w:val="00B61990"/>
    <w:rsid w:val="00B6249B"/>
    <w:rsid w:val="00B70CCD"/>
    <w:rsid w:val="00B75E66"/>
    <w:rsid w:val="00B773BF"/>
    <w:rsid w:val="00BA27D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4006"/>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FF58BD1"/>
  <w15:docId w15:val="{719FF644-5B0C-460D-927E-4979196D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table" w:customStyle="1" w:styleId="Grilledutableau1">
    <w:name w:val="Grille du tableau1"/>
    <w:basedOn w:val="TableauNormal"/>
    <w:next w:val="Grilledutableau"/>
    <w:uiPriority w:val="59"/>
    <w:rsid w:val="00BA27DF"/>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BA27D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6A621-72B5-43E9-A748-3332E9BF4AB0}">
  <ds:schemaRefs>
    <ds:schemaRef ds:uri="http://schemas.openxmlformats.org/officeDocument/2006/bibliography"/>
  </ds:schemaRefs>
</ds:datastoreItem>
</file>

<file path=customXml/itemProps2.xml><?xml version="1.0" encoding="utf-8"?>
<ds:datastoreItem xmlns:ds="http://schemas.openxmlformats.org/officeDocument/2006/customXml" ds:itemID="{0B693162-2F44-443E-A494-D0A54DD59892}"/>
</file>

<file path=customXml/itemProps3.xml><?xml version="1.0" encoding="utf-8"?>
<ds:datastoreItem xmlns:ds="http://schemas.openxmlformats.org/officeDocument/2006/customXml" ds:itemID="{65A2C0F3-F171-4CFA-A7EF-F5A1E7F5E376}"/>
</file>

<file path=customXml/itemProps4.xml><?xml version="1.0" encoding="utf-8"?>
<ds:datastoreItem xmlns:ds="http://schemas.openxmlformats.org/officeDocument/2006/customXml" ds:itemID="{C0E002CF-07DD-4D20-9E2C-71B52C5C4A6B}"/>
</file>

<file path=docProps/app.xml><?xml version="1.0" encoding="utf-8"?>
<Properties xmlns="http://schemas.openxmlformats.org/officeDocument/2006/extended-properties" xmlns:vt="http://schemas.openxmlformats.org/officeDocument/2006/docPropsVTypes">
  <Template>E_ECE_324.dotm</Template>
  <TotalTime>0</TotalTime>
  <Pages>5</Pages>
  <Words>1640</Words>
  <Characters>8512</Characters>
  <Application>Microsoft Office Word</Application>
  <DocSecurity>0</DocSecurity>
  <Lines>202</Lines>
  <Paragraphs>102</Paragraphs>
  <ScaleCrop>false</ScaleCrop>
  <HeadingPairs>
    <vt:vector size="2" baseType="variant">
      <vt:variant>
        <vt:lpstr>Titre</vt:lpstr>
      </vt:variant>
      <vt:variant>
        <vt:i4>1</vt:i4>
      </vt:variant>
    </vt:vector>
  </HeadingPairs>
  <TitlesOfParts>
    <vt:vector size="1" baseType="lpstr">
      <vt:lpstr>E/ECE/324/Rev.1/Add.74/Rev.2/Amend.5</vt:lpstr>
    </vt:vector>
  </TitlesOfParts>
  <Company>CSD</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E/ECE/324/Rev.1/Add.74/Rev.2/Amend.5</dc:title>
  <dc:creator>Sandrine CLERE</dc:creator>
  <cp:keywords>E/ECE/TRANS/505/Rev.1/Add.74/Rev.2/Amend.5</cp:keywords>
  <cp:lastModifiedBy>Sandrine Clere</cp:lastModifiedBy>
  <cp:revision>2</cp:revision>
  <cp:lastPrinted>2008-11-04T15:54:00Z</cp:lastPrinted>
  <dcterms:created xsi:type="dcterms:W3CDTF">2020-02-17T12:25:00Z</dcterms:created>
  <dcterms:modified xsi:type="dcterms:W3CDTF">2020-02-17T12:25:00Z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