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0D4181" w:rsidTr="00A27C92">
        <w:trPr>
          <w:trHeight w:hRule="exact" w:val="851"/>
        </w:trPr>
        <w:tc>
          <w:tcPr>
            <w:tcW w:w="9639" w:type="dxa"/>
            <w:gridSpan w:val="2"/>
            <w:tcBorders>
              <w:bottom w:val="single" w:sz="4" w:space="0" w:color="auto"/>
            </w:tcBorders>
            <w:shd w:val="clear" w:color="auto" w:fill="auto"/>
            <w:vAlign w:val="bottom"/>
          </w:tcPr>
          <w:p w:rsidR="000D4181" w:rsidRPr="000D4181" w:rsidRDefault="000D4181" w:rsidP="000D4181">
            <w:pPr>
              <w:jc w:val="right"/>
              <w:rPr>
                <w:lang w:val="en-US"/>
              </w:rPr>
            </w:pPr>
            <w:r w:rsidRPr="000D4181">
              <w:rPr>
                <w:sz w:val="40"/>
                <w:lang w:val="en-US"/>
              </w:rPr>
              <w:t>E</w:t>
            </w:r>
            <w:r w:rsidRPr="000D4181">
              <w:rPr>
                <w:lang w:val="en-US"/>
              </w:rPr>
              <w:t>/ECE/324/Rev.1/Add.73/Rev.2/Amend.7−</w:t>
            </w:r>
            <w:r w:rsidRPr="000D4181">
              <w:rPr>
                <w:sz w:val="40"/>
                <w:lang w:val="en-US"/>
              </w:rPr>
              <w:t>E</w:t>
            </w:r>
            <w:r w:rsidRPr="000D4181">
              <w:rPr>
                <w:lang w:val="en-US"/>
              </w:rPr>
              <w:t>/ECE/TRANS/505/Rev.1/Add.73/Rev.2/Amend.7</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0D4181"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0D4181" w:rsidP="00A27C92">
            <w:pPr>
              <w:spacing w:before="480" w:line="240" w:lineRule="exact"/>
            </w:pPr>
            <w:r>
              <w:t>1</w:t>
            </w:r>
            <w:r w:rsidRPr="00FE08DF">
              <w:rPr>
                <w:vertAlign w:val="superscript"/>
              </w:rPr>
              <w:t>er</w:t>
            </w:r>
            <w:r w:rsidR="00FE08DF">
              <w:rPr>
                <w:vertAlign w:val="superscript"/>
              </w:rPr>
              <w:t> </w:t>
            </w:r>
            <w:r>
              <w:t>juillet 2020</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235321">
        <w:t>C</w:t>
      </w:r>
      <w:r w:rsidR="00FE08DF" w:rsidRPr="00BD0091">
        <w:t>oncernant l’</w:t>
      </w:r>
      <w:r w:rsidR="00FE08DF" w:rsidRPr="00BD0091">
        <w:rPr>
          <w:iCs/>
        </w:rPr>
        <w:t>adoption</w:t>
      </w:r>
      <w:r w:rsidR="00FE08DF">
        <w:rPr>
          <w:iCs/>
        </w:rPr>
        <w:t xml:space="preserve"> </w:t>
      </w:r>
      <w:r w:rsidR="00FE08DF" w:rsidRPr="00BD0091">
        <w:t xml:space="preserve">de Règlements techniques harmonisés </w:t>
      </w:r>
      <w:r w:rsidR="00FE08DF">
        <w:br/>
      </w:r>
      <w:r w:rsidR="00FE08DF" w:rsidRPr="00BD0091">
        <w:t xml:space="preserve">de l’ONU applicables aux véhicules à roues et aux équipements </w:t>
      </w:r>
      <w:r w:rsidR="00FE08DF">
        <w:br/>
      </w:r>
      <w:r w:rsidR="00FE08DF" w:rsidRPr="00BD0091">
        <w:t xml:space="preserve">et pièces susceptibles d’être montés ou utilisés sur les véhicules </w:t>
      </w:r>
      <w:r w:rsidR="00FE08DF">
        <w:br/>
      </w:r>
      <w:r w:rsidR="00FE08DF" w:rsidRPr="00BD0091">
        <w:t>à roues et les </w:t>
      </w:r>
      <w:r w:rsidR="00FE08DF" w:rsidRPr="00BD0091">
        <w:rPr>
          <w:iCs/>
        </w:rPr>
        <w:t>conditions</w:t>
      </w:r>
      <w:r w:rsidR="00FE08DF" w:rsidRPr="00BD0091">
        <w:t> de reconnaissance réciproque des homologations délivrées conformément à ces Règlements</w:t>
      </w:r>
      <w:r w:rsidR="00FE08DF" w:rsidRPr="00FE08DF">
        <w:rPr>
          <w:b w:val="0"/>
          <w:bCs/>
          <w:sz w:val="20"/>
        </w:rPr>
        <w:footnoteReference w:customMarkFollows="1" w:id="2"/>
        <w:t>*</w:t>
      </w:r>
      <w:r w:rsidR="00FE08DF" w:rsidRPr="00BD0091">
        <w:t> </w:t>
      </w:r>
    </w:p>
    <w:p w:rsidR="00421A10" w:rsidRPr="00A12483" w:rsidRDefault="00421A10" w:rsidP="0029791D">
      <w:pPr>
        <w:pStyle w:val="SingleTxtG"/>
        <w:jc w:val="left"/>
        <w:rPr>
          <w:b/>
          <w:sz w:val="24"/>
          <w:szCs w:val="24"/>
        </w:rPr>
      </w:pPr>
      <w:r w:rsidRPr="006549FF">
        <w:t>(Révision</w:t>
      </w:r>
      <w:r w:rsidR="00FE08DF">
        <w:t> </w:t>
      </w:r>
      <w:r w:rsidR="00FE08DF" w:rsidRPr="00FE08DF">
        <w:t>3, comprenant les amendements entrés en vigueur le 14 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FE08DF" w:rsidRPr="00782EA4">
        <w:t>73</w:t>
      </w:r>
      <w:r w:rsidR="00FE08DF">
        <w:t>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FE08DF">
        <w:t>74</w:t>
      </w:r>
    </w:p>
    <w:p w:rsidR="00421A10" w:rsidRPr="006549FF" w:rsidRDefault="0029791D" w:rsidP="0029791D">
      <w:pPr>
        <w:pStyle w:val="H1G"/>
      </w:pPr>
      <w:r>
        <w:tab/>
      </w:r>
      <w:r>
        <w:tab/>
      </w:r>
      <w:r w:rsidR="00421A10" w:rsidRPr="006549FF">
        <w:t xml:space="preserve">Révision </w:t>
      </w:r>
      <w:r w:rsidR="00FE08DF">
        <w:t>2 − </w:t>
      </w:r>
      <w:r w:rsidR="00FE08DF" w:rsidRPr="00782EA4">
        <w:t>Amend</w:t>
      </w:r>
      <w:r w:rsidR="00FE08DF">
        <w:t>e</w:t>
      </w:r>
      <w:r w:rsidR="00FE08DF" w:rsidRPr="00782EA4">
        <w:t>ment 7</w:t>
      </w:r>
    </w:p>
    <w:p w:rsidR="00421A10" w:rsidRPr="0029791D" w:rsidRDefault="00FE08DF" w:rsidP="0029791D">
      <w:pPr>
        <w:pStyle w:val="SingleTxtG"/>
      </w:pPr>
      <w:r w:rsidRPr="00FE08DF">
        <w:t>Série 02 d</w:t>
      </w:r>
      <w:r>
        <w:t>’</w:t>
      </w:r>
      <w:r w:rsidRPr="00FE08DF">
        <w:t xml:space="preserve">amendements </w:t>
      </w:r>
      <w:r>
        <w:t>− </w:t>
      </w:r>
      <w:r w:rsidRPr="00FE08DF">
        <w:t>Date d</w:t>
      </w:r>
      <w:r>
        <w:t>’</w:t>
      </w:r>
      <w:r w:rsidRPr="00FE08DF">
        <w:t>entrée en vigueur</w:t>
      </w:r>
      <w:r w:rsidR="006A2E37">
        <w:t> </w:t>
      </w:r>
      <w:bookmarkStart w:id="0" w:name="_GoBack"/>
      <w:bookmarkEnd w:id="0"/>
      <w:r w:rsidRPr="00FE08DF">
        <w:t>: 29 mai 2020</w:t>
      </w:r>
    </w:p>
    <w:p w:rsidR="00421A10" w:rsidRDefault="0029791D" w:rsidP="0029791D">
      <w:pPr>
        <w:pStyle w:val="H1G"/>
      </w:pPr>
      <w:r>
        <w:tab/>
      </w:r>
      <w:r>
        <w:tab/>
      </w:r>
      <w:r w:rsidR="00FE08DF" w:rsidRPr="00FE08DF">
        <w:t>Prescriptions uniformes relatives à l</w:t>
      </w:r>
      <w:r w:rsidR="00FE08DF">
        <w:t>’</w:t>
      </w:r>
      <w:r w:rsidR="00FE08DF" w:rsidRPr="00FE08DF">
        <w:t>homologation des véhicules de</w:t>
      </w:r>
      <w:r w:rsidR="00FE08DF">
        <w:t> </w:t>
      </w:r>
      <w:r w:rsidR="00FE08DF" w:rsidRPr="00FE08DF">
        <w:t>catégorie </w:t>
      </w:r>
      <w:r w:rsidR="00FE08DF" w:rsidRPr="00FE08DF">
        <w:rPr>
          <w:iCs/>
        </w:rPr>
        <w:t>L1</w:t>
      </w:r>
      <w:r w:rsidR="00FE08DF" w:rsidRPr="00FE08DF">
        <w:t> en ce qui concerne l</w:t>
      </w:r>
      <w:r w:rsidR="00FE08DF">
        <w:t>’</w:t>
      </w:r>
      <w:r w:rsidR="00FE08DF" w:rsidRPr="00FE08DF">
        <w:rPr>
          <w:iCs/>
        </w:rPr>
        <w:t>installation</w:t>
      </w:r>
      <w:r w:rsidR="00FE08DF" w:rsidRPr="00FE08DF">
        <w:t> des dispositifs d</w:t>
      </w:r>
      <w:r w:rsidR="00FE08DF">
        <w:t>’</w:t>
      </w:r>
      <w:r w:rsidR="00FE08DF" w:rsidRPr="00FE08DF">
        <w:t>éclairage et de signalisation lumineuse</w:t>
      </w:r>
    </w:p>
    <w:p w:rsidR="000D4181" w:rsidRDefault="00FE08DF" w:rsidP="00FE08DF">
      <w:pPr>
        <w:pStyle w:val="SingleTxtG"/>
        <w:jc w:val="left"/>
      </w:pPr>
      <w:r w:rsidRPr="0067653F">
        <w:t>Le présent document est communiqué uniquement à titre d’information.</w:t>
      </w:r>
      <w:r>
        <w:t xml:space="preserve"> </w:t>
      </w:r>
      <w:r w:rsidRPr="0067653F">
        <w:t>Le texte authentique, juridiquement contraignant, est celui du document </w:t>
      </w:r>
      <w:r w:rsidRPr="00FE08DF">
        <w:t>ECE/TRANS/WP.29/2019/79.</w:t>
      </w:r>
      <w:r w:rsidR="00442E31">
        <mc:AlternateContent>
          <mc:Choice Requires="wps">
            <w:drawing>
              <wp:anchor distT="0" distB="0" distL="114300" distR="114300" simplePos="0" relativeHeight="251655168"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FE08DF" w:rsidRPr="003A62CA" w:rsidRDefault="00FE08DF" w:rsidP="00FE08DF">
      <w:pPr>
        <w:pStyle w:val="SingleTxtG"/>
        <w:keepNext/>
        <w:keepLines/>
      </w:pPr>
      <w:r>
        <w:br w:type="page"/>
      </w:r>
      <w:r w:rsidRPr="00FE08DF">
        <w:rPr>
          <w:i/>
          <w:iCs/>
          <w:lang w:val="fr-FR"/>
        </w:rPr>
        <w:lastRenderedPageBreak/>
        <w:t>Paragraphe 3.2.5</w:t>
      </w:r>
      <w:r>
        <w:rPr>
          <w:lang w:val="fr-FR"/>
        </w:rPr>
        <w:t>, lire</w:t>
      </w:r>
      <w:r>
        <w:rPr>
          <w:lang w:val="fr-FR"/>
        </w:rPr>
        <w:t> :</w:t>
      </w:r>
    </w:p>
    <w:p w:rsidR="00FE08DF" w:rsidRPr="00FE08DF" w:rsidRDefault="00FE08DF" w:rsidP="00FE08DF">
      <w:pPr>
        <w:pStyle w:val="SingleTxtG"/>
        <w:ind w:left="2268" w:hanging="1134"/>
      </w:pPr>
      <w:r>
        <w:rPr>
          <w:lang w:val="fr-FR"/>
        </w:rPr>
        <w:t>« 3.2.5</w:t>
      </w:r>
      <w:r>
        <w:rPr>
          <w:lang w:val="fr-FR"/>
        </w:rPr>
        <w:tab/>
        <w:t>La méthode utilisée pour la définition de la surface apparente (par. 2.6)</w:t>
      </w:r>
      <w:r>
        <w:rPr>
          <w:lang w:val="fr-FR"/>
        </w:rPr>
        <w:t> ; </w:t>
      </w:r>
      <w:r>
        <w:rPr>
          <w:lang w:val="fr-FR"/>
        </w:rPr>
        <w:t>».</w:t>
      </w:r>
    </w:p>
    <w:p w:rsidR="00FE08DF" w:rsidRPr="003A62CA" w:rsidRDefault="00FE08DF" w:rsidP="00FE08DF">
      <w:pPr>
        <w:pStyle w:val="SingleTxtG"/>
        <w:keepNext/>
        <w:keepLines/>
      </w:pPr>
      <w:r>
        <w:rPr>
          <w:i/>
          <w:iCs/>
          <w:lang w:val="fr-FR"/>
        </w:rPr>
        <w:t>Ajouter le nouveau paragraphe 3.2.6</w:t>
      </w:r>
      <w:r>
        <w:rPr>
          <w:lang w:val="fr-FR"/>
        </w:rPr>
        <w:t>, libellé comme suit :</w:t>
      </w:r>
    </w:p>
    <w:p w:rsidR="00FE08DF" w:rsidRPr="004B3117" w:rsidRDefault="00FE08DF" w:rsidP="00FE08DF">
      <w:pPr>
        <w:pStyle w:val="SingleTxtG"/>
        <w:ind w:left="2268" w:hanging="1134"/>
        <w:rPr>
          <w:bCs/>
        </w:rPr>
      </w:pPr>
      <w:r>
        <w:rPr>
          <w:lang w:val="fr-FR"/>
        </w:rPr>
        <w:t>« 3.2.6</w:t>
      </w:r>
      <w:r>
        <w:rPr>
          <w:lang w:val="fr-FR"/>
        </w:rPr>
        <w:tab/>
        <w:t>À la discrétion du constructeur, une déclaration indiquant s’il est autorisé ou non d’installer sur le véhicule des feux homologués pour être équipés de sources lumineuses à DEL de substitution, et qui en sont équipés ; dans l’affirmative, préciser les types de feux concernés. »</w:t>
      </w:r>
    </w:p>
    <w:p w:rsidR="00FE08DF" w:rsidRPr="000539D8" w:rsidRDefault="00FE08DF" w:rsidP="00FE08DF">
      <w:pPr>
        <w:pStyle w:val="SingleTxtG"/>
        <w:keepNext/>
        <w:keepLines/>
      </w:pPr>
      <w:r>
        <w:rPr>
          <w:i/>
          <w:iCs/>
          <w:lang w:val="fr-FR"/>
        </w:rPr>
        <w:t>Paragraphe 4.2</w:t>
      </w:r>
      <w:r>
        <w:rPr>
          <w:lang w:val="fr-FR"/>
        </w:rPr>
        <w:t>, lire :</w:t>
      </w:r>
    </w:p>
    <w:p w:rsidR="00FE08DF" w:rsidRPr="00627C52" w:rsidRDefault="00FE08DF" w:rsidP="00FE08DF">
      <w:pPr>
        <w:spacing w:after="120"/>
        <w:ind w:left="2268" w:right="1134" w:hanging="1134"/>
        <w:jc w:val="both"/>
        <w:rPr>
          <w:bCs/>
        </w:rPr>
      </w:pPr>
      <w:r>
        <w:rPr>
          <w:lang w:val="fr-FR"/>
        </w:rPr>
        <w:t xml:space="preserve">« 4.2 </w:t>
      </w:r>
      <w:r>
        <w:rPr>
          <w:lang w:val="fr-FR"/>
        </w:rPr>
        <w:tab/>
        <w:t>Chaque homologation comporte l’attribution d’un numéro d’homologation dont les deux premiers chiffres (actuellement</w:t>
      </w:r>
      <w:r>
        <w:rPr>
          <w:lang w:val="fr-FR"/>
        </w:rPr>
        <w:t> </w:t>
      </w:r>
      <w:r>
        <w:rPr>
          <w:lang w:val="fr-FR"/>
        </w:rPr>
        <w:t>02 pour le Règlement modifié par sa série</w:t>
      </w:r>
      <w:r>
        <w:rPr>
          <w:lang w:val="fr-FR"/>
        </w:rPr>
        <w:t> </w:t>
      </w:r>
      <w:r>
        <w:rPr>
          <w:lang w:val="fr-FR"/>
        </w:rPr>
        <w:t>02 d’amendements) indiquent la série d’amendements correspondant aux plus récentes modifications techniques majeures apportées au Règlement à la date de délivrance de l’homologation. Une même Partie contractante ne peut pas attribuer ce numéro à un autre type de véhicule, ni au même type de véhicule présenté avec un équipement non prévu au bordereau mentionné au paragraphe 3.2.2 ci-dessus, sous réserve des dispositions du paragraphe 7 du présent Règlement. »</w:t>
      </w:r>
    </w:p>
    <w:p w:rsidR="00FE08DF" w:rsidRPr="000539D8" w:rsidRDefault="00FE08DF" w:rsidP="00FE08DF">
      <w:pPr>
        <w:pStyle w:val="SingleTxtG"/>
        <w:keepNext/>
        <w:keepLines/>
      </w:pPr>
      <w:r>
        <w:rPr>
          <w:i/>
          <w:iCs/>
          <w:lang w:val="fr-FR"/>
        </w:rPr>
        <w:t>Ajouter le nouveau paragraphe 5.14.8</w:t>
      </w:r>
      <w:r>
        <w:rPr>
          <w:lang w:val="fr-FR"/>
        </w:rPr>
        <w:t>, libellé comme suit :</w:t>
      </w:r>
    </w:p>
    <w:p w:rsidR="00FE08DF" w:rsidRPr="00215275" w:rsidRDefault="00FE08DF" w:rsidP="00FE08DF">
      <w:pPr>
        <w:spacing w:after="120"/>
        <w:ind w:left="2268" w:right="1134" w:hanging="1134"/>
        <w:jc w:val="both"/>
        <w:rPr>
          <w:bCs/>
        </w:rPr>
      </w:pPr>
      <w:r>
        <w:rPr>
          <w:lang w:val="fr-FR"/>
        </w:rPr>
        <w:t>« 5.14.8</w:t>
      </w:r>
      <w:r>
        <w:rPr>
          <w:lang w:val="fr-FR"/>
        </w:rPr>
        <w:tab/>
        <w:t>Feux indicateurs de direction</w:t>
      </w:r>
      <w:r w:rsidRPr="000B7219">
        <w:rPr>
          <w:sz w:val="18"/>
          <w:szCs w:val="18"/>
          <w:vertAlign w:val="superscript"/>
          <w:lang w:val="fr-FR"/>
        </w:rPr>
        <w:t>4</w:t>
      </w:r>
      <w:r>
        <w:rPr>
          <w:lang w:val="fr-FR"/>
        </w:rPr>
        <w:t xml:space="preserve"> (par. 6.8). »</w:t>
      </w:r>
    </w:p>
    <w:p w:rsidR="00FE08DF" w:rsidRPr="000539D8" w:rsidRDefault="00FE08DF" w:rsidP="00FE08DF">
      <w:pPr>
        <w:pStyle w:val="SingleTxtG"/>
        <w:keepNext/>
        <w:keepLines/>
      </w:pPr>
      <w:r>
        <w:rPr>
          <w:i/>
          <w:iCs/>
          <w:lang w:val="fr-FR"/>
        </w:rPr>
        <w:t>Ajouter la nouvelle note de bas de page 4</w:t>
      </w:r>
      <w:r>
        <w:rPr>
          <w:lang w:val="fr-FR"/>
        </w:rPr>
        <w:t>, libellée comme suit :</w:t>
      </w:r>
    </w:p>
    <w:p w:rsidR="00FE08DF" w:rsidRPr="00D44BB8" w:rsidRDefault="00FE08DF" w:rsidP="005D181A">
      <w:pPr>
        <w:spacing w:after="240"/>
        <w:ind w:left="2268" w:right="1134" w:hanging="1134"/>
        <w:jc w:val="both"/>
        <w:rPr>
          <w:bCs/>
          <w:sz w:val="18"/>
          <w:szCs w:val="18"/>
        </w:rPr>
      </w:pPr>
      <w:r>
        <w:rPr>
          <w:lang w:val="fr-FR"/>
        </w:rPr>
        <w:t>«</w:t>
      </w:r>
      <w:r w:rsidRPr="00A8288A">
        <w:rPr>
          <w:sz w:val="18"/>
          <w:szCs w:val="18"/>
          <w:vertAlign w:val="superscript"/>
          <w:lang w:val="fr-FR"/>
        </w:rPr>
        <w:t>4</w:t>
      </w:r>
      <w:r w:rsidRPr="00A8288A">
        <w:rPr>
          <w:sz w:val="18"/>
          <w:szCs w:val="18"/>
          <w:lang w:val="fr-FR"/>
        </w:rPr>
        <w:tab/>
      </w:r>
      <w:r w:rsidRPr="00D44BB8">
        <w:rPr>
          <w:sz w:val="18"/>
          <w:szCs w:val="18"/>
          <w:lang w:val="fr-FR"/>
        </w:rPr>
        <w:t>Les feux indicateurs de direction sont obligatoires sur les véhicules dont la vitesse maximale par construction dépasse 25 km/h. »</w:t>
      </w:r>
    </w:p>
    <w:p w:rsidR="00FE08DF" w:rsidRPr="000539D8" w:rsidRDefault="00FE08DF" w:rsidP="00FE08DF">
      <w:pPr>
        <w:pStyle w:val="SingleTxtG"/>
        <w:keepNext/>
        <w:keepLines/>
      </w:pPr>
      <w:r>
        <w:rPr>
          <w:i/>
          <w:iCs/>
          <w:lang w:val="fr-FR"/>
        </w:rPr>
        <w:t>Paragraphe 5.15.4</w:t>
      </w:r>
      <w:r>
        <w:rPr>
          <w:lang w:val="fr-FR"/>
        </w:rPr>
        <w:t>, lire :</w:t>
      </w:r>
    </w:p>
    <w:p w:rsidR="00FE08DF" w:rsidRPr="000539D8" w:rsidRDefault="00FE08DF" w:rsidP="00FE08DF">
      <w:pPr>
        <w:spacing w:after="120"/>
        <w:ind w:left="2268" w:right="1134" w:hanging="1134"/>
        <w:jc w:val="both"/>
        <w:rPr>
          <w:bCs/>
        </w:rPr>
      </w:pPr>
      <w:r>
        <w:rPr>
          <w:lang w:val="fr-FR"/>
        </w:rPr>
        <w:t>« 5.15.4</w:t>
      </w:r>
      <w:r>
        <w:rPr>
          <w:lang w:val="fr-FR"/>
        </w:rPr>
        <w:tab/>
        <w:t>Feux indicateurs de direction</w:t>
      </w:r>
      <w:r w:rsidRPr="000B7219">
        <w:rPr>
          <w:sz w:val="18"/>
          <w:szCs w:val="18"/>
          <w:vertAlign w:val="superscript"/>
          <w:lang w:val="fr-FR"/>
        </w:rPr>
        <w:t>5</w:t>
      </w:r>
      <w:r>
        <w:rPr>
          <w:lang w:val="fr-FR"/>
        </w:rPr>
        <w:t xml:space="preserve"> (par. 6.8). »</w:t>
      </w:r>
    </w:p>
    <w:p w:rsidR="00FE08DF" w:rsidRPr="000539D8" w:rsidRDefault="00FE08DF" w:rsidP="00FE08DF">
      <w:pPr>
        <w:pStyle w:val="SingleTxtG"/>
        <w:keepNext/>
        <w:keepLines/>
      </w:pPr>
      <w:r>
        <w:rPr>
          <w:i/>
          <w:iCs/>
          <w:lang w:val="fr-FR"/>
        </w:rPr>
        <w:t>Ajouter la nouvelle note de bas de page 5</w:t>
      </w:r>
      <w:r>
        <w:rPr>
          <w:lang w:val="fr-FR"/>
        </w:rPr>
        <w:t>, libellée comme suit :</w:t>
      </w:r>
    </w:p>
    <w:p w:rsidR="00FE08DF" w:rsidRPr="00D44BB8" w:rsidRDefault="00FE08DF" w:rsidP="005D181A">
      <w:pPr>
        <w:spacing w:after="240"/>
        <w:ind w:left="2268" w:right="1134" w:hanging="1134"/>
        <w:jc w:val="both"/>
        <w:rPr>
          <w:bCs/>
          <w:sz w:val="18"/>
          <w:szCs w:val="18"/>
        </w:rPr>
      </w:pPr>
      <w:r>
        <w:rPr>
          <w:lang w:val="fr-FR"/>
        </w:rPr>
        <w:t>«</w:t>
      </w:r>
      <w:r w:rsidRPr="002C24D5">
        <w:rPr>
          <w:sz w:val="18"/>
          <w:szCs w:val="18"/>
          <w:vertAlign w:val="superscript"/>
          <w:lang w:val="fr-FR"/>
        </w:rPr>
        <w:t>5</w:t>
      </w:r>
      <w:r w:rsidRPr="002C24D5">
        <w:rPr>
          <w:sz w:val="18"/>
          <w:szCs w:val="18"/>
          <w:lang w:val="fr-FR"/>
        </w:rPr>
        <w:tab/>
      </w:r>
      <w:r w:rsidRPr="00D44BB8">
        <w:rPr>
          <w:sz w:val="18"/>
          <w:szCs w:val="18"/>
          <w:lang w:val="fr-FR"/>
        </w:rPr>
        <w:t>Les feux indicateurs de direction sont facultatifs sur les véhicules dont la vitesse est limitée par construction à 25 km/h (la propulsion auxiliaire est coupée lorsque le véhicule atteint une vitesse inférieure ou égale à 25 km/h).</w:t>
      </w:r>
      <w:r w:rsidRPr="00D44BB8">
        <w:rPr>
          <w:sz w:val="18"/>
          <w:szCs w:val="18"/>
          <w:lang w:val="fr-FR"/>
        </w:rPr>
        <w:t> </w:t>
      </w:r>
      <w:r w:rsidRPr="00D44BB8">
        <w:rPr>
          <w:sz w:val="18"/>
          <w:szCs w:val="18"/>
          <w:lang w:val="fr-FR"/>
        </w:rPr>
        <w:t>»</w:t>
      </w:r>
    </w:p>
    <w:p w:rsidR="00FE08DF" w:rsidRDefault="00FE08DF" w:rsidP="00FE08DF">
      <w:pPr>
        <w:pStyle w:val="SingleTxtG"/>
        <w:rPr>
          <w:i/>
        </w:rPr>
      </w:pPr>
      <w:r>
        <w:rPr>
          <w:i/>
          <w:iCs/>
          <w:lang w:val="fr-FR"/>
        </w:rPr>
        <w:t>Les notes de bas de page suivantes</w:t>
      </w:r>
      <w:r>
        <w:rPr>
          <w:lang w:val="fr-FR"/>
        </w:rPr>
        <w:t xml:space="preserve"> sont renumérotées en conséquence.</w:t>
      </w:r>
    </w:p>
    <w:p w:rsidR="00FE08DF" w:rsidRPr="003A62CA" w:rsidRDefault="00FE08DF" w:rsidP="00FE08DF">
      <w:pPr>
        <w:pStyle w:val="SingleTxtG"/>
        <w:keepNext/>
        <w:keepLines/>
      </w:pPr>
      <w:r>
        <w:rPr>
          <w:i/>
          <w:iCs/>
          <w:lang w:val="fr-FR"/>
        </w:rPr>
        <w:t>Ajouter le nouveau paragraphe 5.20</w:t>
      </w:r>
      <w:r>
        <w:rPr>
          <w:lang w:val="fr-FR"/>
        </w:rPr>
        <w:t>, libellé comme suit :</w:t>
      </w:r>
    </w:p>
    <w:p w:rsidR="00FE08DF" w:rsidRPr="004B3117" w:rsidRDefault="00FE08DF" w:rsidP="00FE08DF">
      <w:pPr>
        <w:keepNext/>
        <w:keepLines/>
        <w:spacing w:after="120"/>
        <w:ind w:left="2268" w:right="1134" w:hanging="1134"/>
        <w:jc w:val="both"/>
      </w:pPr>
      <w:r>
        <w:rPr>
          <w:lang w:val="fr-FR"/>
        </w:rPr>
        <w:t>« 5.20</w:t>
      </w:r>
      <w:r>
        <w:rPr>
          <w:lang w:val="fr-FR"/>
        </w:rPr>
        <w:tab/>
      </w:r>
      <w:r>
        <w:rPr>
          <w:lang w:val="fr-FR"/>
        </w:rPr>
        <w:tab/>
        <w:t>L’utilisation de feux homologués pour être équipés de sources lumineuses à DEL de substitution, et qui en sont équipés, est autorisée uniquement lorsque la déclaration mentionnée au paragraphe 3.2.6 a été fournie et est affirmative.</w:t>
      </w:r>
    </w:p>
    <w:p w:rsidR="00FE08DF" w:rsidRPr="004B3117" w:rsidRDefault="00FE08DF" w:rsidP="00FE08DF">
      <w:pPr>
        <w:spacing w:after="120"/>
        <w:ind w:left="2268" w:right="1134"/>
        <w:jc w:val="both"/>
      </w:pPr>
      <w:r>
        <w:rPr>
          <w:lang w:val="fr-FR"/>
        </w:rPr>
        <w:tab/>
        <w:t>Pour vérifier que la déclaration mentionnée au paragraphe 3.2.6 est suivie d’effets, il faut contrôler la présence sur les feux de la marque relative à l’utilisation de sources lumineuses à DEL de substitution, tant au stade de l’homologation de type qu’à celui de la vérification de la conformité de la production. »</w:t>
      </w:r>
    </w:p>
    <w:p w:rsidR="00FE08DF" w:rsidRPr="000539D8" w:rsidRDefault="00FE08DF" w:rsidP="00FE08DF">
      <w:pPr>
        <w:pStyle w:val="SingleTxtG"/>
        <w:keepNext/>
        <w:keepLines/>
      </w:pPr>
      <w:r>
        <w:rPr>
          <w:i/>
          <w:iCs/>
          <w:lang w:val="fr-FR"/>
        </w:rPr>
        <w:t>Ajouter les nouveaux paragraphes 12.4 à 12.9</w:t>
      </w:r>
      <w:r>
        <w:rPr>
          <w:lang w:val="fr-FR"/>
        </w:rPr>
        <w:t>, libellés comme suit :</w:t>
      </w:r>
    </w:p>
    <w:p w:rsidR="00FE08DF" w:rsidRPr="00215275" w:rsidRDefault="00FE08DF" w:rsidP="00FE08DF">
      <w:pPr>
        <w:spacing w:after="120"/>
        <w:ind w:left="2268" w:right="1134" w:hanging="1134"/>
        <w:jc w:val="both"/>
      </w:pPr>
      <w:r>
        <w:rPr>
          <w:lang w:val="fr-FR"/>
        </w:rPr>
        <w:t>« 12.4</w:t>
      </w:r>
      <w:r>
        <w:rPr>
          <w:lang w:val="fr-FR"/>
        </w:rPr>
        <w:tab/>
        <w:t>À compter de la date officielle d’entrée en vigueur de la série 02 d’amendements, aucune Partie contractante appliquant le présent Règlement ne pourra refuser d’accorder ou d’accepter une homologation de type ONU en vertu dudit Règlement  tel que modifié par la série 02 d’amendements.</w:t>
      </w:r>
    </w:p>
    <w:p w:rsidR="00FE08DF" w:rsidRPr="00215275" w:rsidRDefault="00FE08DF" w:rsidP="00FE08DF">
      <w:pPr>
        <w:spacing w:after="120"/>
        <w:ind w:left="2268" w:right="1134" w:hanging="1134"/>
        <w:jc w:val="both"/>
      </w:pPr>
      <w:r>
        <w:rPr>
          <w:lang w:val="fr-FR"/>
        </w:rPr>
        <w:t>12.5</w:t>
      </w:r>
      <w:r>
        <w:rPr>
          <w:lang w:val="fr-FR"/>
        </w:rPr>
        <w:tab/>
        <w:t>À compter du 1</w:t>
      </w:r>
      <w:r>
        <w:rPr>
          <w:vertAlign w:val="superscript"/>
          <w:lang w:val="fr-FR"/>
        </w:rPr>
        <w:t>er</w:t>
      </w:r>
      <w:r>
        <w:rPr>
          <w:lang w:val="fr-FR"/>
        </w:rPr>
        <w:t> septembre 2023, les Parties contractantes appliquant le présent Règlement  ne seront pas tenues d’accepter les homologations de type ONU délivrées en vertu des précédentes séries d’amendements si elles l’ont été après le 1</w:t>
      </w:r>
      <w:r>
        <w:rPr>
          <w:vertAlign w:val="superscript"/>
          <w:lang w:val="fr-FR"/>
        </w:rPr>
        <w:t>er</w:t>
      </w:r>
      <w:r>
        <w:rPr>
          <w:lang w:val="fr-FR"/>
        </w:rPr>
        <w:t> septembre 2023.</w:t>
      </w:r>
    </w:p>
    <w:p w:rsidR="00FE08DF" w:rsidRPr="00215275" w:rsidRDefault="00FE08DF" w:rsidP="00FE08DF">
      <w:pPr>
        <w:spacing w:after="120"/>
        <w:ind w:left="2268" w:right="1134" w:hanging="1134"/>
        <w:jc w:val="both"/>
      </w:pPr>
      <w:r>
        <w:rPr>
          <w:lang w:val="fr-FR"/>
        </w:rPr>
        <w:t>12.6</w:t>
      </w:r>
      <w:r>
        <w:rPr>
          <w:lang w:val="fr-FR"/>
        </w:rPr>
        <w:tab/>
        <w:t>Nonobstant les dispositions transitoires ci-dessus, les Parties contractantes qui commencent à appliquer le présent Règlement  après la date d’entrée en vigueur de la série d’amendements la plus récente ne sont pas tenues d’accepter les homologations de type ONU qui ont été accordées conformément à l’une quelconque des séries précédentes d’amendements audit Règlement.</w:t>
      </w:r>
    </w:p>
    <w:p w:rsidR="00FE08DF" w:rsidRPr="00CA38DF" w:rsidRDefault="00FE08DF" w:rsidP="00FE08DF">
      <w:pPr>
        <w:spacing w:after="120"/>
        <w:ind w:left="2268" w:right="1134" w:hanging="1134"/>
        <w:jc w:val="both"/>
      </w:pPr>
      <w:r>
        <w:rPr>
          <w:lang w:val="fr-FR"/>
        </w:rPr>
        <w:t>12.7</w:t>
      </w:r>
      <w:r>
        <w:rPr>
          <w:lang w:val="fr-FR"/>
        </w:rPr>
        <w:tab/>
        <w:t>Nonobstant le paragraphe 12.5, les Parties contractantes appliquant la série 02 d’amendements au présent Règlement  continueront d’accepter les homologations de type ONU accordées au titre des précédentes séries d’amendements audit Règlement  délivrées après le 1</w:t>
      </w:r>
      <w:r>
        <w:rPr>
          <w:vertAlign w:val="superscript"/>
          <w:lang w:val="fr-FR"/>
        </w:rPr>
        <w:t>er</w:t>
      </w:r>
      <w:r>
        <w:rPr>
          <w:lang w:val="fr-FR"/>
        </w:rPr>
        <w:t> septembre 2023, et toute extension de ces homologations, pour les véhicules qui ne sont pas concernés par les modifications apportées à la série 02 d’amendements.</w:t>
      </w:r>
    </w:p>
    <w:p w:rsidR="00FE08DF" w:rsidRPr="00E75E91" w:rsidRDefault="00FE08DF" w:rsidP="00FE08DF">
      <w:pPr>
        <w:spacing w:after="120"/>
        <w:ind w:left="2254" w:right="1134" w:hanging="1120"/>
        <w:jc w:val="both"/>
        <w:rPr>
          <w:strike/>
          <w:spacing w:val="-3"/>
        </w:rPr>
      </w:pPr>
      <w:r w:rsidRPr="00E75E91">
        <w:rPr>
          <w:spacing w:val="-3"/>
          <w:lang w:val="fr-FR"/>
        </w:rPr>
        <w:t>12.8</w:t>
      </w:r>
      <w:r w:rsidRPr="00E75E91">
        <w:rPr>
          <w:spacing w:val="-3"/>
          <w:lang w:val="fr-FR"/>
        </w:rPr>
        <w:tab/>
        <w:t>Les Parties contractantes appliquant la série 02 d</w:t>
      </w:r>
      <w:r>
        <w:rPr>
          <w:spacing w:val="-3"/>
          <w:lang w:val="fr-FR"/>
        </w:rPr>
        <w:t>’</w:t>
      </w:r>
      <w:r w:rsidRPr="00E75E91">
        <w:rPr>
          <w:spacing w:val="-3"/>
          <w:lang w:val="fr-FR"/>
        </w:rPr>
        <w:t>amendements au présent Règlement continueront, jusqu</w:t>
      </w:r>
      <w:r>
        <w:rPr>
          <w:spacing w:val="-3"/>
          <w:lang w:val="fr-FR"/>
        </w:rPr>
        <w:t>’</w:t>
      </w:r>
      <w:r w:rsidRPr="00E75E91">
        <w:rPr>
          <w:spacing w:val="-3"/>
          <w:lang w:val="fr-FR"/>
        </w:rPr>
        <w:t>au 1</w:t>
      </w:r>
      <w:r w:rsidRPr="00E75E91">
        <w:rPr>
          <w:spacing w:val="-3"/>
          <w:vertAlign w:val="superscript"/>
          <w:lang w:val="fr-FR"/>
        </w:rPr>
        <w:t>er</w:t>
      </w:r>
      <w:r w:rsidRPr="00E75E91">
        <w:rPr>
          <w:spacing w:val="-3"/>
          <w:lang w:val="fr-FR"/>
        </w:rPr>
        <w:t> septembre 2028, de reconnaître les homologations de type accordées au titre des séries d</w:t>
      </w:r>
      <w:r>
        <w:rPr>
          <w:spacing w:val="-3"/>
          <w:lang w:val="fr-FR"/>
        </w:rPr>
        <w:t>’</w:t>
      </w:r>
      <w:r w:rsidRPr="00E75E91">
        <w:rPr>
          <w:spacing w:val="-3"/>
          <w:lang w:val="fr-FR"/>
        </w:rPr>
        <w:t>amendements précédant la série 02 d</w:t>
      </w:r>
      <w:r>
        <w:rPr>
          <w:spacing w:val="-3"/>
          <w:lang w:val="fr-FR"/>
        </w:rPr>
        <w:t>’</w:t>
      </w:r>
      <w:r w:rsidRPr="00E75E91">
        <w:rPr>
          <w:spacing w:val="-3"/>
          <w:lang w:val="fr-FR"/>
        </w:rPr>
        <w:t>amendements audit Règlement, délivrées avant le 1</w:t>
      </w:r>
      <w:r w:rsidRPr="00E75E91">
        <w:rPr>
          <w:spacing w:val="-3"/>
          <w:vertAlign w:val="superscript"/>
          <w:lang w:val="fr-FR"/>
        </w:rPr>
        <w:t>er</w:t>
      </w:r>
      <w:r w:rsidRPr="00E75E91">
        <w:rPr>
          <w:spacing w:val="-3"/>
          <w:lang w:val="fr-FR"/>
        </w:rPr>
        <w:t> septembre 2023.</w:t>
      </w:r>
    </w:p>
    <w:p w:rsidR="00FE08DF" w:rsidRPr="00E36F19" w:rsidRDefault="00FE08DF" w:rsidP="00FE08DF">
      <w:pPr>
        <w:spacing w:after="120"/>
        <w:ind w:left="2254" w:right="1134" w:hanging="1120"/>
        <w:jc w:val="both"/>
        <w:rPr>
          <w:i/>
        </w:rPr>
      </w:pPr>
      <w:r>
        <w:rPr>
          <w:lang w:val="fr-FR"/>
        </w:rPr>
        <w:t>12.9</w:t>
      </w:r>
      <w:r>
        <w:rPr>
          <w:lang w:val="fr-FR"/>
        </w:rPr>
        <w:tab/>
        <w:t>Les Parties contractantes appliquant le présent Règlement  ne pourront refuser d’accorder des homologations de type ONU au titre des séries d’amendements précédentes audit Règlement  ou des extensions à ces homologations. »</w:t>
      </w:r>
    </w:p>
    <w:p w:rsidR="00FE08DF" w:rsidRPr="00FE08DF" w:rsidRDefault="00FE08DF" w:rsidP="00FE08DF">
      <w:pPr>
        <w:spacing w:after="120"/>
        <w:ind w:left="2268" w:right="1134" w:hanging="1134"/>
        <w:jc w:val="both"/>
      </w:pPr>
      <w:r>
        <w:rPr>
          <w:i/>
          <w:iCs/>
          <w:lang w:val="fr-FR"/>
        </w:rPr>
        <w:t>Annexe</w:t>
      </w:r>
      <w:r>
        <w:rPr>
          <w:i/>
          <w:iCs/>
          <w:lang w:val="fr-FR"/>
        </w:rPr>
        <w:t> </w:t>
      </w:r>
      <w:r>
        <w:rPr>
          <w:i/>
          <w:iCs/>
          <w:lang w:val="fr-FR"/>
        </w:rPr>
        <w:t>1</w:t>
      </w:r>
      <w:r w:rsidRPr="00FE08DF">
        <w:t>,</w:t>
      </w:r>
    </w:p>
    <w:p w:rsidR="00FE08DF" w:rsidRPr="004F2217" w:rsidRDefault="00FE08DF" w:rsidP="00FE08DF">
      <w:pPr>
        <w:pStyle w:val="SingleTxtG"/>
        <w:keepNext/>
        <w:keepLines/>
      </w:pPr>
      <w:r>
        <w:rPr>
          <w:i/>
          <w:iCs/>
          <w:lang w:val="fr-FR"/>
        </w:rPr>
        <w:t>Ajouter le nouveau point 5.12</w:t>
      </w:r>
      <w:r>
        <w:rPr>
          <w:lang w:val="fr-FR"/>
        </w:rPr>
        <w:t xml:space="preserve"> </w:t>
      </w:r>
      <w:r>
        <w:rPr>
          <w:i/>
          <w:iCs/>
          <w:lang w:val="fr-FR"/>
        </w:rPr>
        <w:t>et la nouvelle note de bas de page</w:t>
      </w:r>
      <w:r>
        <w:rPr>
          <w:i/>
          <w:iCs/>
          <w:lang w:val="fr-FR"/>
        </w:rPr>
        <w:t> </w:t>
      </w:r>
      <w:r>
        <w:rPr>
          <w:i/>
          <w:iCs/>
          <w:lang w:val="fr-FR"/>
        </w:rPr>
        <w:t>5</w:t>
      </w:r>
      <w:r>
        <w:rPr>
          <w:lang w:val="fr-FR"/>
        </w:rPr>
        <w:t>, libellés comme suit :</w:t>
      </w:r>
    </w:p>
    <w:p w:rsidR="00FE08DF" w:rsidRPr="004B3117" w:rsidRDefault="00FE08DF" w:rsidP="00FE08DF">
      <w:pPr>
        <w:spacing w:after="120"/>
        <w:ind w:left="2268" w:right="1134" w:hanging="1134"/>
        <w:jc w:val="both"/>
        <w:rPr>
          <w:vertAlign w:val="superscript"/>
        </w:rPr>
      </w:pPr>
      <w:r>
        <w:rPr>
          <w:lang w:val="fr-FR"/>
        </w:rPr>
        <w:t>« 5.12</w:t>
      </w:r>
      <w:r>
        <w:rPr>
          <w:lang w:val="fr-FR"/>
        </w:rPr>
        <w:tab/>
        <w:t>Feux homologués pour être équipés de sources lumineuses à DEL de substitution, et qui en sont équipés, autorisés sur ce type de véhicule : oui/non</w:t>
      </w:r>
      <w:r w:rsidRPr="00871554">
        <w:rPr>
          <w:sz w:val="18"/>
          <w:szCs w:val="18"/>
          <w:vertAlign w:val="superscript"/>
          <w:lang w:val="fr-FR"/>
        </w:rPr>
        <w:t>2</w:t>
      </w:r>
      <w:r>
        <w:rPr>
          <w:vertAlign w:val="superscript"/>
          <w:lang w:val="fr-FR"/>
        </w:rPr>
        <w:t xml:space="preserve">, </w:t>
      </w:r>
      <w:r w:rsidRPr="00871554">
        <w:rPr>
          <w:sz w:val="18"/>
          <w:szCs w:val="18"/>
          <w:vertAlign w:val="superscript"/>
          <w:lang w:val="fr-FR"/>
        </w:rPr>
        <w:t>5</w:t>
      </w:r>
    </w:p>
    <w:p w:rsidR="00FE08DF" w:rsidRPr="00E40063" w:rsidRDefault="00FE08DF" w:rsidP="00FE08DF">
      <w:pPr>
        <w:tabs>
          <w:tab w:val="right" w:pos="8505"/>
        </w:tabs>
        <w:spacing w:after="120"/>
        <w:ind w:left="2268" w:right="1134"/>
        <w:jc w:val="both"/>
        <w:rPr>
          <w:u w:val="dotted"/>
        </w:rPr>
      </w:pPr>
      <w:r w:rsidRPr="004B3117">
        <w:rPr>
          <w:u w:val="dotted"/>
        </w:rPr>
        <w:tab/>
      </w:r>
    </w:p>
    <w:p w:rsidR="00FE08DF" w:rsidRDefault="00FE08DF" w:rsidP="00FE08DF">
      <w:pPr>
        <w:tabs>
          <w:tab w:val="left" w:pos="2552"/>
        </w:tabs>
        <w:spacing w:after="120"/>
        <w:ind w:left="2268" w:right="1134"/>
        <w:jc w:val="both"/>
      </w:pPr>
      <w:r w:rsidRPr="000A76E6">
        <w:rPr>
          <w:sz w:val="18"/>
          <w:szCs w:val="18"/>
          <w:vertAlign w:val="superscript"/>
          <w:lang w:val="fr-FR"/>
        </w:rPr>
        <w:t>5</w:t>
      </w:r>
      <w:r w:rsidRPr="000A76E6">
        <w:rPr>
          <w:sz w:val="18"/>
          <w:szCs w:val="18"/>
          <w:lang w:val="fr-FR"/>
        </w:rPr>
        <w:tab/>
        <w:t>Dans l</w:t>
      </w:r>
      <w:r>
        <w:rPr>
          <w:sz w:val="18"/>
          <w:szCs w:val="18"/>
          <w:lang w:val="fr-FR"/>
        </w:rPr>
        <w:t>’</w:t>
      </w:r>
      <w:r w:rsidRPr="000A76E6">
        <w:rPr>
          <w:sz w:val="18"/>
          <w:szCs w:val="18"/>
          <w:lang w:val="fr-FR"/>
        </w:rPr>
        <w:t>affirmative, donner la liste des feux utilisables.</w:t>
      </w:r>
      <w:r>
        <w:rPr>
          <w:lang w:val="fr-FR"/>
        </w:rPr>
        <w:t> </w:t>
      </w:r>
      <w:r>
        <w:rPr>
          <w:lang w:val="fr-FR"/>
        </w:rPr>
        <w:t>»</w:t>
      </w:r>
    </w:p>
    <w:p w:rsidR="00FE08DF" w:rsidRPr="00E13353" w:rsidRDefault="00FE08DF" w:rsidP="00FE08DF">
      <w:pPr>
        <w:pStyle w:val="SingleTxtG"/>
        <w:keepNext/>
        <w:keepLines/>
      </w:pPr>
      <w:r>
        <w:rPr>
          <w:i/>
          <w:iCs/>
          <w:lang w:val="fr-FR"/>
        </w:rPr>
        <w:t>Annexe</w:t>
      </w:r>
      <w:r>
        <w:rPr>
          <w:i/>
          <w:iCs/>
          <w:lang w:val="fr-FR"/>
        </w:rPr>
        <w:t> </w:t>
      </w:r>
      <w:r>
        <w:rPr>
          <w:i/>
          <w:iCs/>
          <w:lang w:val="fr-FR"/>
        </w:rPr>
        <w:t>2</w:t>
      </w:r>
      <w:r>
        <w:rPr>
          <w:lang w:val="fr-FR"/>
        </w:rPr>
        <w:t>, lire</w:t>
      </w:r>
      <w:r>
        <w:rPr>
          <w:lang w:val="fr-FR"/>
        </w:rPr>
        <w:t> :</w:t>
      </w:r>
    </w:p>
    <w:p w:rsidR="00FE08DF" w:rsidRPr="00E13353" w:rsidRDefault="00FE08DF" w:rsidP="00FE08DF">
      <w:pPr>
        <w:pStyle w:val="HChG"/>
      </w:pPr>
      <w:r w:rsidRPr="00FE08DF">
        <w:rPr>
          <w:b w:val="0"/>
          <w:bCs/>
          <w:sz w:val="20"/>
          <w:lang w:val="fr-FR"/>
        </w:rPr>
        <w:t>«</w:t>
      </w:r>
      <w:r w:rsidRPr="00FE08DF">
        <w:rPr>
          <w:b w:val="0"/>
          <w:bCs/>
          <w:lang w:val="fr-FR"/>
        </w:rPr>
        <w:t> </w:t>
      </w:r>
      <w:r>
        <w:rPr>
          <w:lang w:val="fr-FR"/>
        </w:rPr>
        <w:t>Annexe</w:t>
      </w:r>
      <w:r>
        <w:rPr>
          <w:lang w:val="fr-FR"/>
        </w:rPr>
        <w:t> </w:t>
      </w:r>
      <w:r>
        <w:rPr>
          <w:lang w:val="fr-FR"/>
        </w:rPr>
        <w:t>2</w:t>
      </w:r>
    </w:p>
    <w:p w:rsidR="00FE08DF" w:rsidRPr="00E13353" w:rsidRDefault="00FE08DF" w:rsidP="00FE08DF">
      <w:pPr>
        <w:pStyle w:val="HChG"/>
      </w:pPr>
      <w:r>
        <w:rPr>
          <w:lang w:val="fr-FR"/>
        </w:rPr>
        <w:tab/>
      </w:r>
      <w:r>
        <w:rPr>
          <w:lang w:val="fr-FR"/>
        </w:rPr>
        <w:tab/>
      </w:r>
      <w:r>
        <w:rPr>
          <w:lang w:val="fr-FR"/>
        </w:rPr>
        <w:t>Exemples de marques d’homologation</w:t>
      </w:r>
    </w:p>
    <w:p w:rsidR="00FE08DF" w:rsidRPr="00E13353" w:rsidRDefault="00FE08DF" w:rsidP="00FE08DF">
      <w:pPr>
        <w:pStyle w:val="H23G"/>
      </w:pPr>
      <w:r>
        <w:rPr>
          <w:lang w:val="fr-FR"/>
        </w:rPr>
        <w:tab/>
      </w:r>
      <w:r>
        <w:rPr>
          <w:lang w:val="fr-FR"/>
        </w:rPr>
        <w:tab/>
        <w:t>Modèle A</w:t>
      </w:r>
    </w:p>
    <w:p w:rsidR="00FE08DF" w:rsidRDefault="00FE08DF" w:rsidP="00FE08DF">
      <w:pPr>
        <w:pStyle w:val="SingleTxtG"/>
        <w:rPr>
          <w:lang w:val="fr-FR"/>
        </w:rPr>
      </w:pPr>
      <w:r>
        <w:rPr>
          <w:lang w:val="fr-FR"/>
        </w:rPr>
        <w:t>(Voir par. 4.4 du présent Règlement)</w:t>
      </w:r>
    </w:p>
    <w:p w:rsidR="00FE08DF" w:rsidRPr="00E13353" w:rsidRDefault="00FE08DF" w:rsidP="00FE08DF">
      <w:pPr>
        <w:tabs>
          <w:tab w:val="left" w:pos="4820"/>
        </w:tabs>
        <w:spacing w:after="120" w:line="240" w:lineRule="auto"/>
        <w:jc w:val="center"/>
        <w:rPr>
          <w:sz w:val="24"/>
          <w:szCs w:val="24"/>
        </w:rPr>
      </w:pPr>
      <w:r w:rsidRPr="00E13353">
        <w:rPr>
          <w:rFonts w:asciiTheme="majorBidi" w:hAnsiTheme="majorBidi" w:cstheme="majorBidi"/>
          <w:noProof/>
          <w:lang w:val="fr-FR" w:eastAsia="fr-FR"/>
        </w:rPr>
        <mc:AlternateContent>
          <mc:Choice Requires="wps">
            <w:drawing>
              <wp:anchor distT="0" distB="0" distL="114300" distR="114300" simplePos="0" relativeHeight="251657216" behindDoc="0" locked="0" layoutInCell="1" allowOverlap="1" wp14:anchorId="3BB053C3" wp14:editId="768A24D9">
                <wp:simplePos x="0" y="0"/>
                <wp:positionH relativeFrom="column">
                  <wp:posOffset>2678430</wp:posOffset>
                </wp:positionH>
                <wp:positionV relativeFrom="paragraph">
                  <wp:posOffset>321945</wp:posOffset>
                </wp:positionV>
                <wp:extent cx="1857375" cy="419100"/>
                <wp:effectExtent l="0" t="0" r="9525" b="0"/>
                <wp:wrapNone/>
                <wp:docPr id="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19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E08DF" w:rsidRDefault="00FE08DF" w:rsidP="00FE08DF">
                            <w:pPr>
                              <w:rPr>
                                <w:sz w:val="32"/>
                                <w:lang w:eastAsia="ja-JP"/>
                              </w:rPr>
                            </w:pPr>
                            <w:r>
                              <w:rPr>
                                <w:rFonts w:ascii="Arial" w:hAnsi="Arial" w:cs="Arial"/>
                                <w:b/>
                                <w:sz w:val="36"/>
                                <w:szCs w:val="36"/>
                                <w:lang w:eastAsia="ja-JP"/>
                              </w:rPr>
                              <w:t>74R – 02 2439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BB053C3" id="Text Box 176" o:spid="_x0000_s1027" type="#_x0000_t202" style="position:absolute;left:0;text-align:left;margin-left:210.9pt;margin-top:25.35pt;width:146.25pt;height:3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" stroked="f">
                <v:textbox>
                  <w:txbxContent>
                    <w:p w:rsidR="00FE08DF" w:rsidRDefault="00FE08DF" w:rsidP="00FE08DF">
                      <w:pPr>
                        <w:rPr>
                          <w:sz w:val="32"/>
                          <w:lang w:eastAsia="ja-JP"/>
                        </w:rPr>
                      </w:pPr>
                      <w:r>
                        <w:rPr>
                          <w:rFonts w:ascii="Arial" w:hAnsi="Arial" w:cs="Arial"/>
                          <w:b/>
                          <w:sz w:val="36"/>
                          <w:szCs w:val="36"/>
                          <w:lang w:eastAsia="ja-JP"/>
                        </w:rPr>
                        <w:t>74R – 02 2439</w:t>
                      </w:r>
                    </w:p>
                  </w:txbxContent>
                </v:textbox>
              </v:shape>
            </w:pict>
          </mc:Fallback>
        </mc:AlternateContent>
      </w:r>
      <w:r w:rsidRPr="00E13353">
        <w:rPr>
          <w:rFonts w:asciiTheme="majorBidi" w:hAnsiTheme="majorBidi" w:cstheme="majorBidi"/>
          <w:noProof/>
          <w:lang w:val="fr-FR" w:eastAsia="fr-FR"/>
        </w:rPr>
        <w:drawing>
          <wp:inline distT="0" distB="0" distL="0" distR="0" wp14:anchorId="2CB47DD6" wp14:editId="234C4EE4">
            <wp:extent cx="1621790" cy="906145"/>
            <wp:effectExtent l="0" t="0" r="0" b="0"/>
            <wp:docPr id="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r w:rsidRPr="00E13353">
        <w:rPr>
          <w:rFonts w:asciiTheme="majorBidi" w:hAnsiTheme="majorBidi" w:cstheme="majorBidi"/>
          <w:b/>
          <w:noProof/>
          <w:lang w:val="fr-FR" w:eastAsia="fr-FR"/>
        </w:rPr>
        <w:drawing>
          <wp:inline distT="0" distB="0" distL="0" distR="0" wp14:anchorId="417B33A1" wp14:editId="2E78872C">
            <wp:extent cx="533400" cy="866775"/>
            <wp:effectExtent l="0" t="0" r="0" b="9525"/>
            <wp:docPr id="1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3510" r="42795"/>
                    <a:stretch/>
                  </pic:blipFill>
                  <pic:spPr bwMode="auto">
                    <a:xfrm>
                      <a:off x="0" y="0"/>
                      <a:ext cx="533400" cy="8667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E13353">
        <w:rPr>
          <w:rFonts w:asciiTheme="majorBidi" w:hAnsiTheme="majorBidi" w:cstheme="majorBidi"/>
          <w:b/>
          <w:noProof/>
          <w:lang w:val="fr-FR" w:eastAsia="fr-FR"/>
        </w:rPr>
        <w:drawing>
          <wp:inline distT="0" distB="0" distL="0" distR="0" wp14:anchorId="60E67B19" wp14:editId="050D5F4D">
            <wp:extent cx="533400" cy="866775"/>
            <wp:effectExtent l="0" t="0" r="0" b="9525"/>
            <wp:docPr id="12"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3510" r="42795"/>
                    <a:stretch/>
                  </pic:blipFill>
                  <pic:spPr bwMode="auto">
                    <a:xfrm>
                      <a:off x="0" y="0"/>
                      <a:ext cx="533400" cy="8667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E13353">
        <w:rPr>
          <w:rFonts w:asciiTheme="majorBidi" w:hAnsiTheme="majorBidi" w:cstheme="majorBidi"/>
          <w:b/>
          <w:noProof/>
          <w:lang w:val="fr-FR" w:eastAsia="fr-FR"/>
        </w:rPr>
        <w:drawing>
          <wp:inline distT="0" distB="0" distL="0" distR="0" wp14:anchorId="6D0DD20E" wp14:editId="46404F0F">
            <wp:extent cx="828675" cy="866775"/>
            <wp:effectExtent l="0" t="0" r="9525" b="9525"/>
            <wp:docPr id="13"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3510" r="42061"/>
                    <a:stretch/>
                  </pic:blipFill>
                  <pic:spPr bwMode="auto">
                    <a:xfrm>
                      <a:off x="0" y="0"/>
                      <a:ext cx="828675" cy="8667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E13353">
        <w:rPr>
          <w:rFonts w:asciiTheme="majorBidi" w:hAnsiTheme="majorBidi" w:cstheme="majorBidi"/>
          <w:b/>
          <w:noProof/>
          <w:lang w:val="fr-FR" w:eastAsia="fr-FR"/>
        </w:rPr>
        <w:drawing>
          <wp:inline distT="0" distB="0" distL="0" distR="0" wp14:anchorId="2C25C28D" wp14:editId="3FA5555E">
            <wp:extent cx="590550" cy="866775"/>
            <wp:effectExtent l="0" t="0" r="0" b="9525"/>
            <wp:docPr id="14"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84837" r="1"/>
                    <a:stretch/>
                  </pic:blipFill>
                  <pic:spPr bwMode="auto">
                    <a:xfrm>
                      <a:off x="0" y="0"/>
                      <a:ext cx="590550" cy="8667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FE08DF" w:rsidRPr="00E13353" w:rsidRDefault="00FE08DF" w:rsidP="00FE08DF">
      <w:pPr>
        <w:pStyle w:val="SingleTxtG"/>
        <w:jc w:val="right"/>
      </w:pPr>
      <w:r>
        <w:rPr>
          <w:lang w:val="fr-FR"/>
        </w:rPr>
        <w:t>a = 8 mm min.</w:t>
      </w:r>
    </w:p>
    <w:p w:rsidR="00FE08DF" w:rsidRPr="00E13353" w:rsidRDefault="00FE08DF" w:rsidP="00FE08DF">
      <w:pPr>
        <w:pStyle w:val="SingleTxtG"/>
        <w:ind w:firstLine="567"/>
      </w:pPr>
      <w:r>
        <w:rPr>
          <w:lang w:val="fr-FR"/>
        </w:rPr>
        <w:t>La marque d’homologation ci-dessus, apposée sur un cyclomoteur, indique que le type de ce véhicule a été homologué aux Pays-Bas (E4) en ce qui concerne l’installation des dispositifs d’éclairage et de signalisation lumineuse, en application du Règlement ONU n</w:t>
      </w:r>
      <w:r>
        <w:rPr>
          <w:vertAlign w:val="superscript"/>
          <w:lang w:val="fr-FR"/>
        </w:rPr>
        <w:t>o</w:t>
      </w:r>
      <w:r>
        <w:rPr>
          <w:lang w:val="fr-FR"/>
        </w:rPr>
        <w:t xml:space="preserve"> 74 et sous le numéro d’homologation 022439. Les deux premiers chiffres du numéro d’homologation indiquent que l’homologation a été délivrée conformément aux prescriptions du Règlement ONU </w:t>
      </w:r>
      <w:r w:rsidRPr="00FE08DF">
        <w:rPr>
          <w:rFonts w:eastAsia="MS Mincho"/>
          <w:szCs w:val="22"/>
          <w:lang w:val="fr-FR"/>
        </w:rPr>
        <w:t>n</w:t>
      </w:r>
      <w:r w:rsidRPr="00FE08DF">
        <w:rPr>
          <w:rFonts w:eastAsia="MS Mincho"/>
          <w:szCs w:val="22"/>
          <w:vertAlign w:val="superscript"/>
          <w:lang w:val="fr-FR"/>
        </w:rPr>
        <w:t>o</w:t>
      </w:r>
      <w:r>
        <w:rPr>
          <w:lang w:val="fr-FR"/>
        </w:rPr>
        <w:t> </w:t>
      </w:r>
      <w:r>
        <w:rPr>
          <w:lang w:val="fr-FR"/>
        </w:rPr>
        <w:t>74 tel que modifié par la série 02 d’amendements.</w:t>
      </w:r>
    </w:p>
    <w:p w:rsidR="00FE08DF" w:rsidRPr="00E13353" w:rsidRDefault="00FE08DF" w:rsidP="00FE08DF">
      <w:pPr>
        <w:pStyle w:val="H23G"/>
      </w:pPr>
      <w:r>
        <w:rPr>
          <w:lang w:val="fr-FR"/>
        </w:rPr>
        <w:tab/>
      </w:r>
      <w:r>
        <w:rPr>
          <w:lang w:val="fr-FR"/>
        </w:rPr>
        <w:tab/>
        <w:t>Modèle</w:t>
      </w:r>
      <w:r>
        <w:rPr>
          <w:lang w:val="fr-FR"/>
        </w:rPr>
        <w:t> </w:t>
      </w:r>
      <w:r>
        <w:rPr>
          <w:lang w:val="fr-FR"/>
        </w:rPr>
        <w:t>B</w:t>
      </w:r>
    </w:p>
    <w:p w:rsidR="00FE08DF" w:rsidRDefault="00FE08DF" w:rsidP="00FE08DF">
      <w:pPr>
        <w:pStyle w:val="SingleTxtG"/>
        <w:keepNext/>
        <w:keepLines/>
        <w:rPr>
          <w:lang w:val="fr-FR"/>
        </w:rPr>
      </w:pPr>
      <w:r>
        <w:rPr>
          <w:lang w:val="fr-FR"/>
        </w:rPr>
        <w:t>(Voir par. 4.5 du présent Règlement)</w:t>
      </w:r>
    </w:p>
    <w:p w:rsidR="00FE08DF" w:rsidRPr="00E13353" w:rsidRDefault="00FE08DF" w:rsidP="00FE08DF">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after="240" w:line="240" w:lineRule="auto"/>
        <w:ind w:left="1134"/>
        <w:rPr>
          <w:rFonts w:asciiTheme="majorBidi" w:hAnsiTheme="majorBidi" w:cstheme="majorBidi"/>
        </w:rPr>
      </w:pPr>
      <w:r w:rsidRPr="00E13353">
        <w:rPr>
          <w:rFonts w:asciiTheme="majorBidi" w:hAnsiTheme="majorBidi" w:cstheme="majorBidi"/>
          <w:noProof/>
          <w:lang w:val="fr-FR" w:eastAsia="fr-FR"/>
        </w:rPr>
        <mc:AlternateContent>
          <mc:Choice Requires="wps">
            <w:drawing>
              <wp:anchor distT="0" distB="0" distL="114300" distR="114300" simplePos="0" relativeHeight="251659264" behindDoc="0" locked="0" layoutInCell="1" allowOverlap="1" wp14:anchorId="44C8CF30" wp14:editId="66C14EAF">
                <wp:simplePos x="0" y="0"/>
                <wp:positionH relativeFrom="column">
                  <wp:posOffset>2531993</wp:posOffset>
                </wp:positionH>
                <wp:positionV relativeFrom="paragraph">
                  <wp:posOffset>54362</wp:posOffset>
                </wp:positionV>
                <wp:extent cx="2965836" cy="739471"/>
                <wp:effectExtent l="0" t="0" r="6350" b="3810"/>
                <wp:wrapNone/>
                <wp:docPr id="29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836" cy="73947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tblGrid>
                            <w:tr w:rsidR="00FE08DF" w:rsidRPr="00D00EBE" w:rsidTr="00320F0A">
                              <w:trPr>
                                <w:trHeight w:val="411"/>
                              </w:trPr>
                              <w:tc>
                                <w:tcPr>
                                  <w:tcW w:w="1276" w:type="dxa"/>
                                  <w:vAlign w:val="bottom"/>
                                </w:tcPr>
                                <w:p w:rsidR="00FE08DF" w:rsidRPr="00D00EBE" w:rsidRDefault="00FE08DF" w:rsidP="00320F0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lang w:eastAsia="ja-JP"/>
                                    </w:rPr>
                                  </w:pPr>
                                  <w:r>
                                    <w:rPr>
                                      <w:rFonts w:ascii="Arial" w:hAnsi="Arial" w:cs="Arial"/>
                                      <w:b/>
                                      <w:sz w:val="36"/>
                                      <w:szCs w:val="36"/>
                                      <w:lang w:eastAsia="ja-JP"/>
                                    </w:rPr>
                                    <w:t>74</w:t>
                                  </w:r>
                                </w:p>
                              </w:tc>
                              <w:tc>
                                <w:tcPr>
                                  <w:tcW w:w="1843" w:type="dxa"/>
                                  <w:vAlign w:val="bottom"/>
                                </w:tcPr>
                                <w:p w:rsidR="00FE08DF" w:rsidRPr="00D00EBE" w:rsidRDefault="00FE08DF" w:rsidP="00320F0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lang w:eastAsia="ja-JP"/>
                                    </w:rPr>
                                  </w:pPr>
                                  <w:r>
                                    <w:rPr>
                                      <w:rFonts w:ascii="Arial" w:hAnsi="Arial" w:cs="Arial"/>
                                      <w:b/>
                                      <w:sz w:val="36"/>
                                      <w:szCs w:val="36"/>
                                    </w:rPr>
                                    <w:t xml:space="preserve">02 </w:t>
                                  </w:r>
                                  <w:r w:rsidRPr="00D00EBE">
                                    <w:rPr>
                                      <w:rFonts w:ascii="Arial" w:hAnsi="Arial" w:cs="Arial"/>
                                      <w:b/>
                                      <w:sz w:val="36"/>
                                      <w:szCs w:val="36"/>
                                    </w:rPr>
                                    <w:t>24</w:t>
                                  </w:r>
                                  <w:r>
                                    <w:rPr>
                                      <w:rFonts w:ascii="Arial" w:hAnsi="Arial" w:cs="Arial"/>
                                      <w:b/>
                                      <w:sz w:val="36"/>
                                      <w:szCs w:val="36"/>
                                    </w:rPr>
                                    <w:t>39</w:t>
                                  </w:r>
                                </w:p>
                              </w:tc>
                            </w:tr>
                            <w:tr w:rsidR="00FE08DF" w:rsidRPr="00D65598" w:rsidTr="00320F0A">
                              <w:trPr>
                                <w:trHeight w:val="411"/>
                              </w:trPr>
                              <w:tc>
                                <w:tcPr>
                                  <w:tcW w:w="1276" w:type="dxa"/>
                                  <w:vAlign w:val="bottom"/>
                                </w:tcPr>
                                <w:p w:rsidR="00FE08DF" w:rsidRPr="005A1656" w:rsidRDefault="00FE08DF" w:rsidP="00320F0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sz w:val="36"/>
                                      <w:szCs w:val="36"/>
                                      <w:lang w:eastAsia="ja-JP"/>
                                    </w:rPr>
                                  </w:pPr>
                                  <w:r w:rsidRPr="005A1656">
                                    <w:rPr>
                                      <w:rFonts w:ascii="Arial" w:hAnsi="Arial" w:cs="Arial" w:hint="eastAsia"/>
                                      <w:b/>
                                      <w:sz w:val="36"/>
                                      <w:szCs w:val="36"/>
                                      <w:lang w:eastAsia="ja-JP"/>
                                    </w:rPr>
                                    <w:t>78</w:t>
                                  </w:r>
                                </w:p>
                              </w:tc>
                              <w:tc>
                                <w:tcPr>
                                  <w:tcW w:w="1843" w:type="dxa"/>
                                  <w:vAlign w:val="bottom"/>
                                </w:tcPr>
                                <w:p w:rsidR="00FE08DF" w:rsidRPr="005A1656" w:rsidRDefault="00FE08DF" w:rsidP="00320F0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sz w:val="36"/>
                                      <w:szCs w:val="36"/>
                                      <w:lang w:eastAsia="ja-JP"/>
                                    </w:rPr>
                                  </w:pPr>
                                  <w:r w:rsidRPr="005A1656">
                                    <w:rPr>
                                      <w:rFonts w:ascii="Arial" w:hAnsi="Arial" w:cs="Arial"/>
                                      <w:b/>
                                      <w:sz w:val="36"/>
                                      <w:szCs w:val="36"/>
                                    </w:rPr>
                                    <w:t>04 1628</w:t>
                                  </w:r>
                                </w:p>
                              </w:tc>
                            </w:tr>
                          </w:tbl>
                          <w:p w:rsidR="00FE08DF" w:rsidRDefault="00FE08DF" w:rsidP="00FE08D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8CF30" id="Text Box 178" o:spid="_x0000_s1028" type="#_x0000_t202" style="position:absolute;left:0;text-align:left;margin-left:199.35pt;margin-top:4.3pt;width:233.55pt;height: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" stroked="f">
                <v:textbox>
                  <w:txbxContent>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tblGrid>
                      <w:tr w:rsidR="00FE08DF" w:rsidRPr="00D00EBE" w:rsidTr="00320F0A">
                        <w:trPr>
                          <w:trHeight w:val="411"/>
                        </w:trPr>
                        <w:tc>
                          <w:tcPr>
                            <w:tcW w:w="1276" w:type="dxa"/>
                            <w:vAlign w:val="bottom"/>
                          </w:tcPr>
                          <w:p w:rsidR="00FE08DF" w:rsidRPr="00D00EBE" w:rsidRDefault="00FE08DF" w:rsidP="00320F0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lang w:eastAsia="ja-JP"/>
                              </w:rPr>
                            </w:pPr>
                            <w:r>
                              <w:rPr>
                                <w:rFonts w:ascii="Arial" w:hAnsi="Arial" w:cs="Arial"/>
                                <w:b/>
                                <w:sz w:val="36"/>
                                <w:szCs w:val="36"/>
                                <w:lang w:eastAsia="ja-JP"/>
                              </w:rPr>
                              <w:t>74</w:t>
                            </w:r>
                          </w:p>
                        </w:tc>
                        <w:tc>
                          <w:tcPr>
                            <w:tcW w:w="1843" w:type="dxa"/>
                            <w:vAlign w:val="bottom"/>
                          </w:tcPr>
                          <w:p w:rsidR="00FE08DF" w:rsidRPr="00D00EBE" w:rsidRDefault="00FE08DF" w:rsidP="00320F0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lang w:eastAsia="ja-JP"/>
                              </w:rPr>
                            </w:pPr>
                            <w:r>
                              <w:rPr>
                                <w:rFonts w:ascii="Arial" w:hAnsi="Arial" w:cs="Arial"/>
                                <w:b/>
                                <w:sz w:val="36"/>
                                <w:szCs w:val="36"/>
                              </w:rPr>
                              <w:t xml:space="preserve">02 </w:t>
                            </w:r>
                            <w:r w:rsidRPr="00D00EBE">
                              <w:rPr>
                                <w:rFonts w:ascii="Arial" w:hAnsi="Arial" w:cs="Arial"/>
                                <w:b/>
                                <w:sz w:val="36"/>
                                <w:szCs w:val="36"/>
                              </w:rPr>
                              <w:t>24</w:t>
                            </w:r>
                            <w:r>
                              <w:rPr>
                                <w:rFonts w:ascii="Arial" w:hAnsi="Arial" w:cs="Arial"/>
                                <w:b/>
                                <w:sz w:val="36"/>
                                <w:szCs w:val="36"/>
                              </w:rPr>
                              <w:t>39</w:t>
                            </w:r>
                          </w:p>
                        </w:tc>
                      </w:tr>
                      <w:tr w:rsidR="00FE08DF" w:rsidRPr="00D65598" w:rsidTr="00320F0A">
                        <w:trPr>
                          <w:trHeight w:val="411"/>
                        </w:trPr>
                        <w:tc>
                          <w:tcPr>
                            <w:tcW w:w="1276" w:type="dxa"/>
                            <w:vAlign w:val="bottom"/>
                          </w:tcPr>
                          <w:p w:rsidR="00FE08DF" w:rsidRPr="005A1656" w:rsidRDefault="00FE08DF" w:rsidP="00320F0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sz w:val="36"/>
                                <w:szCs w:val="36"/>
                                <w:lang w:eastAsia="ja-JP"/>
                              </w:rPr>
                            </w:pPr>
                            <w:r w:rsidRPr="005A1656">
                              <w:rPr>
                                <w:rFonts w:ascii="Arial" w:hAnsi="Arial" w:cs="Arial" w:hint="eastAsia"/>
                                <w:b/>
                                <w:sz w:val="36"/>
                                <w:szCs w:val="36"/>
                                <w:lang w:eastAsia="ja-JP"/>
                              </w:rPr>
                              <w:t>78</w:t>
                            </w:r>
                          </w:p>
                        </w:tc>
                        <w:tc>
                          <w:tcPr>
                            <w:tcW w:w="1843" w:type="dxa"/>
                            <w:vAlign w:val="bottom"/>
                          </w:tcPr>
                          <w:p w:rsidR="00FE08DF" w:rsidRPr="005A1656" w:rsidRDefault="00FE08DF" w:rsidP="00320F0A">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sz w:val="36"/>
                                <w:szCs w:val="36"/>
                                <w:lang w:eastAsia="ja-JP"/>
                              </w:rPr>
                            </w:pPr>
                            <w:r w:rsidRPr="005A1656">
                              <w:rPr>
                                <w:rFonts w:ascii="Arial" w:hAnsi="Arial" w:cs="Arial"/>
                                <w:b/>
                                <w:sz w:val="36"/>
                                <w:szCs w:val="36"/>
                              </w:rPr>
                              <w:t>04 1628</w:t>
                            </w:r>
                          </w:p>
                        </w:tc>
                      </w:tr>
                    </w:tbl>
                    <w:p w:rsidR="00FE08DF" w:rsidRDefault="00FE08DF" w:rsidP="00FE08DF">
                      <w:pPr>
                        <w:jc w:val="right"/>
                      </w:pPr>
                    </w:p>
                  </w:txbxContent>
                </v:textbox>
              </v:shape>
            </w:pict>
          </mc:Fallback>
        </mc:AlternateContent>
      </w:r>
      <w:r w:rsidRPr="00E13353">
        <w:rPr>
          <w:rFonts w:asciiTheme="majorBidi" w:hAnsiTheme="majorBidi" w:cstheme="majorBidi"/>
          <w:noProof/>
          <w:lang w:val="fr-FR" w:eastAsia="fr-FR"/>
        </w:rPr>
        <w:drawing>
          <wp:anchor distT="0" distB="0" distL="114300" distR="114300" simplePos="0" relativeHeight="251662336" behindDoc="0" locked="0" layoutInCell="1" allowOverlap="1" wp14:anchorId="20F47F25" wp14:editId="5EBE73AC">
            <wp:simplePos x="0" y="0"/>
            <wp:positionH relativeFrom="column">
              <wp:posOffset>5020752</wp:posOffset>
            </wp:positionH>
            <wp:positionV relativeFrom="paragraph">
              <wp:posOffset>106542</wp:posOffset>
            </wp:positionV>
            <wp:extent cx="394779" cy="620202"/>
            <wp:effectExtent l="0" t="0" r="5715" b="889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779" cy="620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3353">
        <w:rPr>
          <w:rFonts w:asciiTheme="majorBidi" w:hAnsiTheme="majorBidi" w:cstheme="majorBidi"/>
          <w:noProof/>
          <w:lang w:val="fr-FR" w:eastAsia="fr-FR"/>
        </w:rPr>
        <mc:AlternateContent>
          <mc:Choice Requires="wps">
            <w:drawing>
              <wp:anchor distT="0" distB="0" distL="114300" distR="114300" simplePos="0" relativeHeight="251661312" behindDoc="0" locked="0" layoutInCell="1" allowOverlap="1" wp14:anchorId="4B688764" wp14:editId="041EF57A">
                <wp:simplePos x="0" y="0"/>
                <wp:positionH relativeFrom="column">
                  <wp:posOffset>5080000</wp:posOffset>
                </wp:positionH>
                <wp:positionV relativeFrom="paragraph">
                  <wp:posOffset>54610</wp:posOffset>
                </wp:positionV>
                <wp:extent cx="297815" cy="728345"/>
                <wp:effectExtent l="3175" t="0" r="0" b="0"/>
                <wp:wrapNone/>
                <wp:docPr id="29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7283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E08DF" w:rsidRDefault="00FE08DF" w:rsidP="00FE08DF"/>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8764" id="Text Box 179" o:spid="_x0000_s1029" type="#_x0000_t202" style="position:absolute;left:0;text-align:left;margin-left:400pt;margin-top:4.3pt;width:23.45pt;height:57.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" stroked="f">
                <v:textbox>
                  <w:txbxContent>
                    <w:p w:rsidR="00FE08DF" w:rsidRDefault="00FE08DF" w:rsidP="00FE08DF"/>
                  </w:txbxContent>
                </v:textbox>
              </v:shape>
            </w:pict>
          </mc:Fallback>
        </mc:AlternateContent>
      </w:r>
      <w:r w:rsidRPr="00EF67DD">
        <w:rPr>
          <w:rFonts w:asciiTheme="majorBidi" w:hAnsiTheme="majorBidi" w:cstheme="majorBidi"/>
        </w:rPr>
        <w:tab/>
      </w:r>
      <w:r w:rsidRPr="00E13353">
        <w:rPr>
          <w:rFonts w:asciiTheme="majorBidi" w:hAnsiTheme="majorBidi" w:cstheme="majorBidi"/>
          <w:noProof/>
          <w:lang w:val="fr-FR" w:eastAsia="fr-FR"/>
        </w:rPr>
        <w:drawing>
          <wp:inline distT="0" distB="0" distL="0" distR="0" wp14:anchorId="32BBFD3F" wp14:editId="70EF2F01">
            <wp:extent cx="1621790" cy="9061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p>
    <w:p w:rsidR="00FE08DF" w:rsidRPr="00E13353" w:rsidRDefault="00FE08DF" w:rsidP="00FE08DF">
      <w:pPr>
        <w:pStyle w:val="SingleTxtG"/>
        <w:jc w:val="right"/>
      </w:pPr>
      <w:r>
        <w:rPr>
          <w:lang w:val="fr-FR"/>
        </w:rPr>
        <w:t>a = 8 mm min.</w:t>
      </w:r>
    </w:p>
    <w:p w:rsidR="00FE08DF" w:rsidRDefault="00FE08DF" w:rsidP="00124308">
      <w:pPr>
        <w:pStyle w:val="SingleTxtG"/>
        <w:ind w:firstLine="567"/>
        <w:rPr>
          <w:lang w:val="fr-FR"/>
        </w:rPr>
      </w:pPr>
      <w:r>
        <w:rPr>
          <w:lang w:val="fr-FR"/>
        </w:rPr>
        <w:t xml:space="preserve">La marque d’homologation ci-dessus, apposée sur un cyclomoteur, indique que le type de ce véhicule a été homologué aux Pays-Bas (E4) en application des Règlements ONU </w:t>
      </w:r>
      <w:r w:rsidRPr="00A2609D">
        <w:rPr>
          <w:rFonts w:eastAsia="MS Mincho"/>
          <w:szCs w:val="22"/>
          <w:lang w:val="fr-FR"/>
        </w:rPr>
        <w:t>n</w:t>
      </w:r>
      <w:r w:rsidRPr="00A2609D">
        <w:rPr>
          <w:rFonts w:eastAsia="MS Mincho"/>
          <w:szCs w:val="22"/>
          <w:vertAlign w:val="superscript"/>
          <w:lang w:val="fr-FR"/>
        </w:rPr>
        <w:t>o</w:t>
      </w:r>
      <w:r>
        <w:rPr>
          <w:rFonts w:eastAsia="MS Mincho"/>
          <w:szCs w:val="22"/>
          <w:vertAlign w:val="superscript"/>
          <w:lang w:val="fr-FR"/>
        </w:rPr>
        <w:t>s</w:t>
      </w:r>
      <w:r>
        <w:rPr>
          <w:lang w:val="fr-FR"/>
        </w:rPr>
        <w:t> 74 et 78</w:t>
      </w:r>
      <w:r w:rsidRPr="00726087">
        <w:rPr>
          <w:rStyle w:val="Appelnotedebasdep"/>
        </w:rPr>
        <w:footnoteReference w:id="3"/>
      </w:r>
      <w:r>
        <w:rPr>
          <w:lang w:val="fr-FR"/>
        </w:rPr>
        <w:t xml:space="preserve">. Les numéros d’homologation indiquent qu’aux dates où les </w:t>
      </w:r>
      <w:r w:rsidRPr="00790078">
        <w:rPr>
          <w:spacing w:val="-2"/>
          <w:lang w:val="fr-FR"/>
        </w:rPr>
        <w:t xml:space="preserve">homologations respectives ont été délivrées, le Règlement ONU </w:t>
      </w:r>
      <w:r w:rsidRPr="00790078">
        <w:rPr>
          <w:rFonts w:eastAsia="MS Mincho"/>
          <w:spacing w:val="-2"/>
          <w:szCs w:val="22"/>
          <w:lang w:val="fr-FR"/>
        </w:rPr>
        <w:t>n</w:t>
      </w:r>
      <w:r w:rsidRPr="00790078">
        <w:rPr>
          <w:rFonts w:eastAsia="MS Mincho"/>
          <w:spacing w:val="-2"/>
          <w:szCs w:val="22"/>
          <w:vertAlign w:val="superscript"/>
          <w:lang w:val="fr-FR"/>
        </w:rPr>
        <w:t>o</w:t>
      </w:r>
      <w:r w:rsidRPr="00790078">
        <w:rPr>
          <w:spacing w:val="-2"/>
          <w:lang w:val="fr-FR"/>
        </w:rPr>
        <w:t xml:space="preserve"> 74 </w:t>
      </w:r>
      <w:r w:rsidRPr="009434DE">
        <w:t>comprenait</w:t>
      </w:r>
      <w:r w:rsidRPr="00790078">
        <w:rPr>
          <w:spacing w:val="-2"/>
          <w:lang w:val="fr-FR"/>
        </w:rPr>
        <w:t xml:space="preserve"> la série 02</w:t>
      </w:r>
      <w:r>
        <w:rPr>
          <w:lang w:val="fr-FR"/>
        </w:rPr>
        <w:t xml:space="preserve"> d’amendements et le Règlement ONU </w:t>
      </w:r>
      <w:r w:rsidRPr="00A2609D">
        <w:rPr>
          <w:rFonts w:eastAsia="MS Mincho"/>
          <w:szCs w:val="22"/>
          <w:lang w:val="fr-FR"/>
        </w:rPr>
        <w:t>n</w:t>
      </w:r>
      <w:r w:rsidRPr="00A2609D">
        <w:rPr>
          <w:rFonts w:eastAsia="MS Mincho"/>
          <w:szCs w:val="22"/>
          <w:vertAlign w:val="superscript"/>
          <w:lang w:val="fr-FR"/>
        </w:rPr>
        <w:t>o</w:t>
      </w:r>
      <w:r>
        <w:rPr>
          <w:lang w:val="fr-FR"/>
        </w:rPr>
        <w:t> 78 comprenait déjà la série 04 d’amendements. »</w:t>
      </w:r>
    </w:p>
    <w:p w:rsidR="005F0207" w:rsidRPr="00FE08DF" w:rsidRDefault="00FE08DF" w:rsidP="00FE08DF">
      <w:pPr>
        <w:pStyle w:val="SingleTxtG"/>
        <w:spacing w:before="240" w:after="0"/>
        <w:jc w:val="center"/>
        <w:rPr>
          <w:u w:val="single"/>
        </w:rPr>
      </w:pPr>
      <w:r>
        <w:rPr>
          <w:u w:val="single"/>
          <w:lang w:val="fr-FR"/>
        </w:rPr>
        <w:tab/>
      </w:r>
      <w:r>
        <w:rPr>
          <w:u w:val="single"/>
          <w:lang w:val="fr-FR"/>
        </w:rPr>
        <w:tab/>
      </w:r>
      <w:r>
        <w:rPr>
          <w:u w:val="single"/>
          <w:lang w:val="fr-FR"/>
        </w:rPr>
        <w:tab/>
      </w:r>
    </w:p>
    <w:sectPr w:rsidR="005F0207" w:rsidRPr="00FE08DF" w:rsidSect="000D4181">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DCC" w:rsidRDefault="00541DCC"/>
  </w:endnote>
  <w:endnote w:type="continuationSeparator" w:id="0">
    <w:p w:rsidR="00541DCC" w:rsidRDefault="00541DCC">
      <w:pPr>
        <w:pStyle w:val="Pieddepage"/>
      </w:pPr>
    </w:p>
  </w:endnote>
  <w:endnote w:type="continuationNotice" w:id="1">
    <w:p w:rsidR="00541DCC" w:rsidRPr="00C451B9" w:rsidRDefault="00541DC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181" w:rsidRPr="000D4181" w:rsidRDefault="000D4181" w:rsidP="000D4181">
    <w:pPr>
      <w:pStyle w:val="Pieddepage"/>
      <w:tabs>
        <w:tab w:val="right" w:pos="9638"/>
      </w:tabs>
    </w:pPr>
    <w:r w:rsidRPr="000D4181">
      <w:rPr>
        <w:b/>
        <w:sz w:val="18"/>
      </w:rPr>
      <w:fldChar w:fldCharType="begin"/>
    </w:r>
    <w:r w:rsidRPr="000D4181">
      <w:rPr>
        <w:b/>
        <w:sz w:val="18"/>
      </w:rPr>
      <w:instrText xml:space="preserve"> PAGE  \* MERGEFORMAT </w:instrText>
    </w:r>
    <w:r w:rsidRPr="000D4181">
      <w:rPr>
        <w:b/>
        <w:sz w:val="18"/>
      </w:rPr>
      <w:fldChar w:fldCharType="separate"/>
    </w:r>
    <w:r w:rsidRPr="000D4181">
      <w:rPr>
        <w:b/>
        <w:noProof/>
        <w:sz w:val="18"/>
      </w:rPr>
      <w:t>2</w:t>
    </w:r>
    <w:r w:rsidRPr="000D4181">
      <w:rPr>
        <w:b/>
        <w:sz w:val="18"/>
      </w:rPr>
      <w:fldChar w:fldCharType="end"/>
    </w:r>
    <w:r>
      <w:rPr>
        <w:b/>
        <w:sz w:val="18"/>
      </w:rPr>
      <w:tab/>
    </w:r>
    <w:r>
      <w:t>GE.20-08738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181" w:rsidRPr="000D4181" w:rsidRDefault="000D4181" w:rsidP="000D4181">
    <w:pPr>
      <w:pStyle w:val="Pieddepage"/>
      <w:tabs>
        <w:tab w:val="right" w:pos="9638"/>
      </w:tabs>
      <w:rPr>
        <w:b/>
        <w:sz w:val="18"/>
      </w:rPr>
    </w:pPr>
    <w:r>
      <w:t>GE.20-08738</w:t>
    </w:r>
    <w:r>
      <w:tab/>
    </w:r>
    <w:r w:rsidRPr="000D4181">
      <w:rPr>
        <w:b/>
        <w:sz w:val="18"/>
      </w:rPr>
      <w:fldChar w:fldCharType="begin"/>
    </w:r>
    <w:r w:rsidRPr="000D4181">
      <w:rPr>
        <w:b/>
        <w:sz w:val="18"/>
      </w:rPr>
      <w:instrText xml:space="preserve"> PAGE  \* MERGEFORMAT </w:instrText>
    </w:r>
    <w:r w:rsidRPr="000D4181">
      <w:rPr>
        <w:b/>
        <w:sz w:val="18"/>
      </w:rPr>
      <w:fldChar w:fldCharType="separate"/>
    </w:r>
    <w:r w:rsidRPr="000D4181">
      <w:rPr>
        <w:b/>
        <w:noProof/>
        <w:sz w:val="18"/>
      </w:rPr>
      <w:t>3</w:t>
    </w:r>
    <w:r w:rsidRPr="000D41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0D4181" w:rsidRDefault="000D4181" w:rsidP="000D4181">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20-08738  (F)</w:t>
    </w:r>
    <w:r w:rsidR="00FE08DF">
      <w:rPr>
        <w:sz w:val="20"/>
      </w:rPr>
      <w:t xml:space="preserve">    061120    061120</w:t>
    </w:r>
    <w:r>
      <w:rPr>
        <w:sz w:val="20"/>
      </w:rPr>
      <w:br/>
    </w:r>
    <w:r w:rsidRPr="000D4181">
      <w:rPr>
        <w:rFonts w:ascii="C39T30Lfz" w:hAnsi="C39T30Lfz"/>
        <w:sz w:val="56"/>
      </w:rPr>
      <w:t>*2008738*</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DCC" w:rsidRPr="00D27D5E" w:rsidRDefault="00541DCC" w:rsidP="00D27D5E">
      <w:pPr>
        <w:tabs>
          <w:tab w:val="right" w:pos="2155"/>
        </w:tabs>
        <w:spacing w:after="80"/>
        <w:ind w:left="680"/>
        <w:rPr>
          <w:u w:val="single"/>
        </w:rPr>
      </w:pPr>
      <w:r>
        <w:rPr>
          <w:u w:val="single"/>
        </w:rPr>
        <w:tab/>
      </w:r>
    </w:p>
  </w:footnote>
  <w:footnote w:type="continuationSeparator" w:id="0">
    <w:p w:rsidR="00541DCC" w:rsidRPr="00D171D4" w:rsidRDefault="00541DCC" w:rsidP="00D171D4">
      <w:pPr>
        <w:tabs>
          <w:tab w:val="right" w:pos="2155"/>
        </w:tabs>
        <w:spacing w:after="80"/>
        <w:ind w:left="680"/>
        <w:rPr>
          <w:u w:val="single"/>
        </w:rPr>
      </w:pPr>
      <w:r w:rsidRPr="00D171D4">
        <w:rPr>
          <w:u w:val="single"/>
        </w:rPr>
        <w:tab/>
      </w:r>
    </w:p>
  </w:footnote>
  <w:footnote w:type="continuationNotice" w:id="1">
    <w:p w:rsidR="00541DCC" w:rsidRPr="00C451B9" w:rsidRDefault="00541DCC" w:rsidP="00C451B9">
      <w:pPr>
        <w:spacing w:line="240" w:lineRule="auto"/>
        <w:rPr>
          <w:sz w:val="2"/>
          <w:szCs w:val="2"/>
        </w:rPr>
      </w:pPr>
    </w:p>
  </w:footnote>
  <w:footnote w:id="2">
    <w:p w:rsidR="00FE08DF" w:rsidRDefault="00FE08DF" w:rsidP="00FE08DF">
      <w:pPr>
        <w:pStyle w:val="Notedebasdepage"/>
        <w:rPr>
          <w:spacing w:val="-4"/>
        </w:rPr>
      </w:pPr>
      <w:r w:rsidRPr="00782EA4">
        <w:tab/>
      </w:r>
      <w:r w:rsidRPr="00BF284B">
        <w:rPr>
          <w:rStyle w:val="Appelnotedebasdep"/>
          <w:sz w:val="20"/>
          <w:vertAlign w:val="baseline"/>
        </w:rPr>
        <w:t>*</w:t>
      </w:r>
      <w:r w:rsidRPr="00FE08DF">
        <w:rPr>
          <w:sz w:val="20"/>
        </w:rPr>
        <w:tab/>
      </w:r>
      <w:r w:rsidRPr="00BD0091">
        <w:rPr>
          <w:spacing w:val="-4"/>
        </w:rPr>
        <w:t>Anciens titres de l’Accord</w:t>
      </w:r>
      <w:r>
        <w:rPr>
          <w:spacing w:val="-4"/>
        </w:rPr>
        <w:t> :</w:t>
      </w:r>
    </w:p>
    <w:p w:rsidR="00FE08DF" w:rsidRPr="00FE08DF" w:rsidRDefault="00FE08DF" w:rsidP="00FE08DF">
      <w:pPr>
        <w:pStyle w:val="Notedebasdepage"/>
        <w:rPr>
          <w:sz w:val="20"/>
        </w:rPr>
      </w:pPr>
      <w:r>
        <w:rPr>
          <w:spacing w:val="-4"/>
        </w:rPr>
        <w:tab/>
      </w:r>
      <w:r>
        <w:rPr>
          <w:spacing w:val="-4"/>
        </w:rPr>
        <w:tab/>
      </w:r>
      <w:r w:rsidRPr="00BD0091">
        <w:rPr>
          <w:spacing w:val="-4"/>
        </w:rPr>
        <w:t>Accord concernant l’adoption de conditions uniformes d’homologation et la reconnaissance réciproque de l’homologation des équipements et pièces de véhicules à moteur, en date, à Genève, du 20</w:t>
      </w:r>
      <w:r>
        <w:rPr>
          <w:spacing w:val="-4"/>
        </w:rPr>
        <w:t> </w:t>
      </w:r>
      <w:r w:rsidRPr="00BD0091">
        <w:rPr>
          <w:spacing w:val="-4"/>
        </w:rPr>
        <w:t>mars 1958 (version originale)</w:t>
      </w:r>
      <w:r>
        <w:rPr>
          <w:spacing w:val="-4"/>
        </w:rPr>
        <w:t> ;</w:t>
      </w:r>
    </w:p>
    <w:p w:rsidR="00FE08DF" w:rsidRPr="00FE08DF" w:rsidRDefault="00FE08DF" w:rsidP="00FE08DF">
      <w:pPr>
        <w:pStyle w:val="Notedebasdepage"/>
      </w:pPr>
      <w:r w:rsidRPr="00FE08DF">
        <w:tab/>
      </w:r>
      <w:r w:rsidRPr="00FE08DF">
        <w:tab/>
      </w:r>
      <w:r w:rsidRPr="00BD0091">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w:t>
      </w:r>
      <w:r>
        <w:t> </w:t>
      </w:r>
      <w:r w:rsidRPr="00BD0091">
        <w:t>octobre 1995 (Révision 2).</w:t>
      </w:r>
    </w:p>
  </w:footnote>
  <w:footnote w:id="3">
    <w:p w:rsidR="00FE08DF" w:rsidRPr="00686C0E" w:rsidRDefault="00FE08DF" w:rsidP="00FE08DF">
      <w:pPr>
        <w:pStyle w:val="Notedebasdepage"/>
      </w:pPr>
      <w:r w:rsidRPr="00BB2385">
        <w:rPr>
          <w:lang w:val="fr-FR"/>
        </w:rPr>
        <w:tab/>
      </w:r>
      <w:r w:rsidRPr="00726087">
        <w:rPr>
          <w:rStyle w:val="Appelnotedebasdep"/>
        </w:rPr>
        <w:footnoteRef/>
      </w:r>
      <w:r>
        <w:rPr>
          <w:lang w:val="fr-FR"/>
        </w:rPr>
        <w:tab/>
        <w:t xml:space="preserve">Ce dernier numéro n’est donné qu’à titre d’exemple.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181" w:rsidRPr="000D4181" w:rsidRDefault="000D4181">
    <w:pPr>
      <w:pStyle w:val="En-tte"/>
      <w:rPr>
        <w:lang w:val="en-US"/>
      </w:rPr>
    </w:pPr>
    <w:r>
      <w:fldChar w:fldCharType="begin"/>
    </w:r>
    <w:r w:rsidRPr="000D4181">
      <w:rPr>
        <w:lang w:val="en-US"/>
      </w:rPr>
      <w:instrText xml:space="preserve"> TITLE  \* MERGEFORMAT </w:instrText>
    </w:r>
    <w:r>
      <w:fldChar w:fldCharType="separate"/>
    </w:r>
    <w:r w:rsidR="00235321">
      <w:rPr>
        <w:lang w:val="en-US"/>
      </w:rPr>
      <w:t>E/ECE/324/Rev.1/Add.73/Rev.2/Amend.7</w:t>
    </w:r>
    <w:r>
      <w:fldChar w:fldCharType="end"/>
    </w:r>
    <w:r w:rsidRPr="000D4181">
      <w:rPr>
        <w:lang w:val="en-US"/>
      </w:rPr>
      <w:br/>
    </w:r>
    <w:r>
      <w:fldChar w:fldCharType="begin"/>
    </w:r>
    <w:r w:rsidRPr="000D4181">
      <w:rPr>
        <w:lang w:val="en-US"/>
      </w:rPr>
      <w:instrText xml:space="preserve"> KEYWORDS  \* MERGEFORMAT </w:instrText>
    </w:r>
    <w:r>
      <w:fldChar w:fldCharType="separate"/>
    </w:r>
    <w:r w:rsidR="00235321">
      <w:rPr>
        <w:lang w:val="en-US"/>
      </w:rPr>
      <w:t>E/ECE/TRANS/505/Rev.1/Add.73/Rev.2/Amend.7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181" w:rsidRPr="000D4181" w:rsidRDefault="000D4181" w:rsidP="000D4181">
    <w:pPr>
      <w:pStyle w:val="En-tte"/>
      <w:jc w:val="right"/>
      <w:rPr>
        <w:lang w:val="en-US"/>
      </w:rPr>
    </w:pPr>
    <w:r>
      <w:fldChar w:fldCharType="begin"/>
    </w:r>
    <w:r w:rsidRPr="000D4181">
      <w:rPr>
        <w:lang w:val="en-US"/>
      </w:rPr>
      <w:instrText xml:space="preserve"> TITLE  \* MERGEFORMAT </w:instrText>
    </w:r>
    <w:r>
      <w:fldChar w:fldCharType="separate"/>
    </w:r>
    <w:r w:rsidR="00235321">
      <w:rPr>
        <w:lang w:val="en-US"/>
      </w:rPr>
      <w:t>E/ECE/324/Rev.1/Add.73/Rev.2/Amend.7</w:t>
    </w:r>
    <w:r>
      <w:fldChar w:fldCharType="end"/>
    </w:r>
    <w:r w:rsidRPr="000D4181">
      <w:rPr>
        <w:lang w:val="en-US"/>
      </w:rPr>
      <w:br/>
    </w:r>
    <w:r>
      <w:fldChar w:fldCharType="begin"/>
    </w:r>
    <w:r w:rsidRPr="000D4181">
      <w:rPr>
        <w:lang w:val="en-US"/>
      </w:rPr>
      <w:instrText xml:space="preserve"> KEYWORDS  \* MERGEFORMAT </w:instrText>
    </w:r>
    <w:r>
      <w:fldChar w:fldCharType="separate"/>
    </w:r>
    <w:r w:rsidR="00235321">
      <w:rPr>
        <w:lang w:val="en-US"/>
      </w:rPr>
      <w:t>E/ECE/TRANS/505/Rev.1/Add.73/Rev.2/Amend.7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1DCC"/>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4181"/>
    <w:rsid w:val="000D5C25"/>
    <w:rsid w:val="000E4F06"/>
    <w:rsid w:val="000E5601"/>
    <w:rsid w:val="000E5602"/>
    <w:rsid w:val="000F41F2"/>
    <w:rsid w:val="0010373B"/>
    <w:rsid w:val="0011415F"/>
    <w:rsid w:val="00124308"/>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35321"/>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A64A9"/>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1DCC"/>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C6455"/>
    <w:rsid w:val="005D0035"/>
    <w:rsid w:val="005D181A"/>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E37"/>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284B"/>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44BB8"/>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08DF"/>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EFF3EB1"/>
  <w15:docId w15:val="{345F3BD1-4034-4608-9154-B21EC2E8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Footnote Text Char,5_G_6"/>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
    <w:uiPriority w:val="99"/>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Footnote Text Char Car,5_G_6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rsid w:val="00FE08DF"/>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emf"/><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03551-BE98-41D2-98F2-C39FE2B08993}"/>
</file>

<file path=customXml/itemProps2.xml><?xml version="1.0" encoding="utf-8"?>
<ds:datastoreItem xmlns:ds="http://schemas.openxmlformats.org/officeDocument/2006/customXml" ds:itemID="{6E7A71AE-E546-4D5F-B96B-FE2FBD83428E}"/>
</file>

<file path=customXml/itemProps3.xml><?xml version="1.0" encoding="utf-8"?>
<ds:datastoreItem xmlns:ds="http://schemas.openxmlformats.org/officeDocument/2006/customXml" ds:itemID="{5A3F0A3F-6401-491D-8964-9CC445A34D58}"/>
</file>

<file path=docProps/app.xml><?xml version="1.0" encoding="utf-8"?>
<Properties xmlns="http://schemas.openxmlformats.org/officeDocument/2006/extended-properties" xmlns:vt="http://schemas.openxmlformats.org/officeDocument/2006/docPropsVTypes">
  <Template>E_ECE_324.dotm</Template>
  <TotalTime>0</TotalTime>
  <Pages>4</Pages>
  <Words>918</Words>
  <Characters>5971</Characters>
  <Application>Microsoft Office Word</Application>
  <DocSecurity>0</DocSecurity>
  <Lines>597</Lines>
  <Paragraphs>405</Paragraphs>
  <ScaleCrop>false</ScaleCrop>
  <HeadingPairs>
    <vt:vector size="2" baseType="variant">
      <vt:variant>
        <vt:lpstr>Titre</vt:lpstr>
      </vt:variant>
      <vt:variant>
        <vt:i4>1</vt:i4>
      </vt:variant>
    </vt:vector>
  </HeadingPairs>
  <TitlesOfParts>
    <vt:vector size="1" baseType="lpstr">
      <vt:lpstr>E/ECE/324/Rev.1/Add.73/Rev.2/Amend.7</vt:lpstr>
    </vt:vector>
  </TitlesOfParts>
  <Company>CSD</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E/ECE/324/Rev.1/Add.73/Rev.2/Amend.7</dc:title>
  <dc:creator>Edith BOURION</dc:creator>
  <cp:keywords>E/ECE/TRANS/505/Rev.1/Add.73/Rev.2/Amend.7</cp:keywords>
  <cp:lastModifiedBy>Edith Bourion</cp:lastModifiedBy>
  <cp:revision>2</cp:revision>
  <cp:lastPrinted>2020-11-06T11:29:00Z</cp:lastPrinted>
  <dcterms:created xsi:type="dcterms:W3CDTF">2020-11-06T11:41:00Z</dcterms:created>
  <dcterms:modified xsi:type="dcterms:W3CDTF">2020-11-06T11:41:00Z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