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F6619" w14:paraId="5D143B1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FCE8F" w14:textId="77777777" w:rsidR="00CF6619" w:rsidRPr="00CF6619" w:rsidRDefault="00CF6619" w:rsidP="00CF6619">
            <w:pPr>
              <w:jc w:val="right"/>
              <w:rPr>
                <w:lang w:val="en-US"/>
              </w:rPr>
            </w:pPr>
            <w:r w:rsidRPr="00CF6619">
              <w:rPr>
                <w:sz w:val="40"/>
                <w:lang w:val="en-US"/>
              </w:rPr>
              <w:t>E</w:t>
            </w:r>
            <w:r w:rsidRPr="00CF6619">
              <w:rPr>
                <w:lang w:val="en-US"/>
              </w:rPr>
              <w:t>/ECE/324/Rev.1/Add.66/Rev.5/Amend.3−</w:t>
            </w:r>
            <w:r w:rsidRPr="00CF6619">
              <w:rPr>
                <w:sz w:val="40"/>
                <w:lang w:val="en-US"/>
              </w:rPr>
              <w:t>E</w:t>
            </w:r>
            <w:r w:rsidRPr="00CF6619">
              <w:rPr>
                <w:lang w:val="en-US"/>
              </w:rPr>
              <w:t>/ECE/TRANS/505/Rev.1/Add.66/Rev.5/Amend.3</w:t>
            </w:r>
          </w:p>
        </w:tc>
      </w:tr>
      <w:tr w:rsidR="00421A10" w:rsidRPr="00DB58B5" w14:paraId="4A70F3C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2B8DA3" w14:textId="77777777" w:rsidR="00421A10" w:rsidRPr="00CF661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E58D77" w14:textId="77777777" w:rsidR="00421A10" w:rsidRPr="00DB58B5" w:rsidRDefault="00CF6619" w:rsidP="00A27C92">
            <w:pPr>
              <w:spacing w:before="480" w:line="240" w:lineRule="exact"/>
            </w:pPr>
            <w:r>
              <w:t>1</w:t>
            </w:r>
            <w:r w:rsidRPr="00CF6619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6A443809" w14:textId="77777777" w:rsidR="00CF6619" w:rsidRPr="006549FF" w:rsidRDefault="00CF6619" w:rsidP="00CF6619">
      <w:pPr>
        <w:pStyle w:val="HChG"/>
        <w:spacing w:before="300" w:after="200" w:line="280" w:lineRule="exact"/>
      </w:pPr>
      <w:r>
        <w:tab/>
      </w:r>
      <w:r>
        <w:tab/>
      </w:r>
      <w:r w:rsidRPr="006549FF">
        <w:t>Accord</w:t>
      </w:r>
    </w:p>
    <w:p w14:paraId="562693F3" w14:textId="77777777" w:rsidR="00CF6619" w:rsidRPr="00583D68" w:rsidRDefault="00CF6619" w:rsidP="00CF6619">
      <w:pPr>
        <w:pStyle w:val="H1G"/>
        <w:spacing w:before="260" w:after="200"/>
      </w:pPr>
      <w:r>
        <w:tab/>
      </w:r>
      <w:r>
        <w:tab/>
      </w:r>
      <w:r w:rsidRPr="00583D68">
        <w:t>Concernant l</w:t>
      </w:r>
      <w:r>
        <w:t>’</w:t>
      </w:r>
      <w:r w:rsidRPr="00583D68">
        <w:t xml:space="preserve">adoption </w:t>
      </w:r>
      <w:r w:rsidRPr="00BD0091">
        <w:t>de Règlements techniques harmonisés de l</w:t>
      </w:r>
      <w:r>
        <w:t>’</w:t>
      </w:r>
      <w:r w:rsidRPr="00BD0091">
        <w:t>ONU applicables aux véhicules à roues et aux équipements et pièces susceptibles d</w:t>
      </w:r>
      <w:r>
        <w:t>’</w:t>
      </w:r>
      <w:r w:rsidRPr="00BD0091">
        <w:t>être montés ou utilisés sur les véhicules à roues et</w:t>
      </w:r>
      <w:r>
        <w:t> </w:t>
      </w:r>
      <w:r w:rsidRPr="00BD0091">
        <w:t>les </w:t>
      </w:r>
      <w:r w:rsidRPr="00BD0091">
        <w:rPr>
          <w:iCs/>
        </w:rPr>
        <w:t>conditions</w:t>
      </w:r>
      <w:r w:rsidRPr="00BD0091">
        <w:t> de reconnaissance réciproque des homologations délivrées conformément à ces Règlements</w:t>
      </w:r>
      <w:r w:rsidRPr="00717E9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106B396" w14:textId="77777777" w:rsidR="00CF6619" w:rsidRPr="00717E94" w:rsidRDefault="00CF6619" w:rsidP="00CF6619">
      <w:pPr>
        <w:pStyle w:val="SingleTxtG"/>
        <w:spacing w:after="60" w:line="220" w:lineRule="atLeast"/>
        <w:jc w:val="left"/>
        <w:rPr>
          <w:bCs/>
          <w:sz w:val="24"/>
          <w:szCs w:val="24"/>
        </w:rPr>
      </w:pPr>
      <w:r w:rsidRPr="006549FF">
        <w:t xml:space="preserve">(Révision </w:t>
      </w:r>
      <w:r w:rsidRPr="00782EA4">
        <w:t xml:space="preserve">3, </w:t>
      </w:r>
      <w:r w:rsidRPr="00320F0A">
        <w:t>comprenant les amendements entrés en vigueur le 14 septembre 2017</w:t>
      </w:r>
      <w:r w:rsidRPr="006549FF">
        <w:t>)</w:t>
      </w:r>
    </w:p>
    <w:p w14:paraId="192440F6" w14:textId="77777777" w:rsidR="00CF6619" w:rsidRPr="006549FF" w:rsidRDefault="00CF6619" w:rsidP="00CF6619">
      <w:pPr>
        <w:jc w:val="center"/>
      </w:pPr>
      <w:r>
        <w:t>_______________</w:t>
      </w:r>
    </w:p>
    <w:p w14:paraId="1EDCCB13" w14:textId="77777777" w:rsidR="00CF6619" w:rsidRPr="006549FF" w:rsidRDefault="00CF6619" w:rsidP="00CF6619">
      <w:pPr>
        <w:pStyle w:val="HChG"/>
        <w:spacing w:before="240"/>
      </w:pPr>
      <w:r>
        <w:tab/>
      </w:r>
      <w:r>
        <w:tab/>
      </w:r>
      <w:r w:rsidRPr="006549FF">
        <w:t xml:space="preserve">Additif </w:t>
      </w:r>
      <w:r>
        <w:t xml:space="preserve">66 </w:t>
      </w:r>
      <w:r w:rsidRPr="006549FF">
        <w:t>: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67</w:t>
      </w:r>
    </w:p>
    <w:p w14:paraId="17676A1A" w14:textId="77777777" w:rsidR="00CF6619" w:rsidRPr="006549FF" w:rsidRDefault="00CF6619" w:rsidP="00CF6619">
      <w:pPr>
        <w:pStyle w:val="H1G"/>
        <w:spacing w:before="260" w:after="200"/>
      </w:pPr>
      <w:r>
        <w:tab/>
      </w:r>
      <w:r>
        <w:tab/>
      </w:r>
      <w:r w:rsidRPr="006549FF">
        <w:t xml:space="preserve">Révision </w:t>
      </w:r>
      <w:r>
        <w:t xml:space="preserve">5 − Amendement </w:t>
      </w:r>
      <w:r>
        <w:t>3</w:t>
      </w:r>
    </w:p>
    <w:p w14:paraId="755E24E2" w14:textId="77777777" w:rsidR="00CF6619" w:rsidRPr="0029791D" w:rsidRDefault="00CF6619" w:rsidP="00CF6619">
      <w:pPr>
        <w:pStyle w:val="SingleTxtG"/>
        <w:spacing w:after="0" w:line="220" w:lineRule="atLeast"/>
      </w:pPr>
      <w:r>
        <w:rPr>
          <w:spacing w:val="-2"/>
        </w:rPr>
        <w:t>S</w:t>
      </w:r>
      <w:r>
        <w:rPr>
          <w:spacing w:val="-2"/>
        </w:rPr>
        <w:t xml:space="preserve">érie </w:t>
      </w:r>
      <w:r w:rsidRPr="00782EA4">
        <w:rPr>
          <w:spacing w:val="-2"/>
        </w:rPr>
        <w:t>0</w:t>
      </w:r>
      <w:r>
        <w:rPr>
          <w:spacing w:val="-2"/>
        </w:rPr>
        <w:t>3</w:t>
      </w:r>
      <w:r w:rsidRPr="00782EA4">
        <w:rPr>
          <w:spacing w:val="-2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’</w:t>
      </w:r>
      <w:r>
        <w:rPr>
          <w:spacing w:val="-2"/>
        </w:rPr>
        <w:t>amendements</w:t>
      </w:r>
      <w:r w:rsidRPr="00782EA4">
        <w:rPr>
          <w:spacing w:val="-2"/>
        </w:rPr>
        <w:t xml:space="preserve"> </w:t>
      </w:r>
      <w:r>
        <w:rPr>
          <w:spacing w:val="-2"/>
        </w:rPr>
        <w:t>−</w:t>
      </w:r>
      <w:r w:rsidRPr="00782EA4">
        <w:rPr>
          <w:spacing w:val="-2"/>
        </w:rPr>
        <w:t xml:space="preserve"> Date </w:t>
      </w:r>
      <w:r>
        <w:rPr>
          <w:spacing w:val="-2"/>
        </w:rPr>
        <w:t>d</w:t>
      </w:r>
      <w:r>
        <w:rPr>
          <w:spacing w:val="-2"/>
        </w:rPr>
        <w:t>’</w:t>
      </w:r>
      <w:r>
        <w:rPr>
          <w:spacing w:val="-2"/>
        </w:rPr>
        <w:t xml:space="preserve">entrée en vigueur </w:t>
      </w:r>
      <w:r w:rsidRPr="00782EA4">
        <w:rPr>
          <w:spacing w:val="-2"/>
        </w:rPr>
        <w:t xml:space="preserve">: </w:t>
      </w:r>
      <w:r w:rsidRPr="00782EA4">
        <w:t xml:space="preserve">29 </w:t>
      </w:r>
      <w:r>
        <w:t>mai</w:t>
      </w:r>
      <w:r w:rsidRPr="00782EA4">
        <w:t xml:space="preserve"> 2020</w:t>
      </w:r>
    </w:p>
    <w:p w14:paraId="37B9F035" w14:textId="77777777" w:rsidR="00CF6619" w:rsidRDefault="00CF6619" w:rsidP="00CF6619">
      <w:pPr>
        <w:pStyle w:val="H1G"/>
        <w:spacing w:before="240" w:after="180"/>
      </w:pPr>
      <w:r>
        <w:tab/>
      </w:r>
      <w:r>
        <w:tab/>
      </w:r>
      <w:r w:rsidRPr="007619D3">
        <w:t xml:space="preserve">Prescriptions uniformes relatives </w:t>
      </w:r>
      <w:r w:rsidRPr="000D6A5C">
        <w:t>à l</w:t>
      </w:r>
      <w:r>
        <w:t>’</w:t>
      </w:r>
      <w:r w:rsidRPr="000D6A5C">
        <w:t>homologation</w:t>
      </w:r>
      <w:r>
        <w:t> :</w:t>
      </w:r>
    </w:p>
    <w:p w14:paraId="7340EFB3" w14:textId="77777777" w:rsidR="00CF6619" w:rsidRPr="000D6A5C" w:rsidRDefault="00CF6619" w:rsidP="00CF6619">
      <w:pPr>
        <w:pStyle w:val="H1G"/>
        <w:spacing w:before="240" w:after="180"/>
      </w:pPr>
      <w:r>
        <w:tab/>
      </w:r>
      <w:r>
        <w:tab/>
      </w:r>
      <w:r w:rsidRPr="000D6A5C">
        <w:t>I.</w:t>
      </w:r>
      <w:r>
        <w:tab/>
      </w:r>
      <w:r w:rsidRPr="000D6A5C">
        <w:t>Des équipements spéciaux pour l</w:t>
      </w:r>
      <w:r>
        <w:t>’</w:t>
      </w:r>
      <w:r w:rsidRPr="000D6A5C">
        <w:t>alimentation du moteur aux gaz de pétrole liquéfiés sur les véhicules des catégories </w:t>
      </w:r>
      <w:r w:rsidRPr="000D6A5C">
        <w:rPr>
          <w:iCs/>
        </w:rPr>
        <w:t>M</w:t>
      </w:r>
      <w:r w:rsidRPr="000D6A5C">
        <w:t> et </w:t>
      </w:r>
      <w:r w:rsidRPr="000D6A5C">
        <w:rPr>
          <w:iCs/>
        </w:rPr>
        <w:t>N</w:t>
      </w:r>
    </w:p>
    <w:p w14:paraId="1D38AD0D" w14:textId="77777777" w:rsidR="00CF6619" w:rsidRPr="000D6A5C" w:rsidRDefault="00CF6619" w:rsidP="00CF6619">
      <w:pPr>
        <w:pStyle w:val="H1G"/>
        <w:spacing w:before="240" w:after="180"/>
      </w:pPr>
      <w:r>
        <w:tab/>
      </w:r>
      <w:r>
        <w:tab/>
      </w:r>
      <w:r w:rsidRPr="000D6A5C">
        <w:t>II.</w:t>
      </w:r>
      <w:r>
        <w:tab/>
      </w:r>
      <w:r w:rsidRPr="000D6A5C">
        <w:t>Des véhicules des catégories </w:t>
      </w:r>
      <w:r w:rsidRPr="000D6A5C">
        <w:rPr>
          <w:iCs/>
        </w:rPr>
        <w:t>M</w:t>
      </w:r>
      <w:r w:rsidRPr="000D6A5C">
        <w:t> et </w:t>
      </w:r>
      <w:r w:rsidRPr="000D6A5C">
        <w:rPr>
          <w:iCs/>
        </w:rPr>
        <w:t>N</w:t>
      </w:r>
      <w:r w:rsidRPr="000D6A5C">
        <w:t> munis d</w:t>
      </w:r>
      <w:r>
        <w:t>’</w:t>
      </w:r>
      <w:r w:rsidRPr="000D6A5C">
        <w:t>un équipement spécial pour l</w:t>
      </w:r>
      <w:r>
        <w:t>’</w:t>
      </w:r>
      <w:r w:rsidRPr="000D6A5C">
        <w:t xml:space="preserve">alimentation du moteur aux gaz de pétrole liquéfiés, </w:t>
      </w:r>
      <w:r>
        <w:br/>
      </w:r>
      <w:bookmarkStart w:id="0" w:name="_GoBack"/>
      <w:bookmarkEnd w:id="0"/>
      <w:r w:rsidRPr="000D6A5C">
        <w:t>en ce qui concerne l</w:t>
      </w:r>
      <w:r>
        <w:t>’</w:t>
      </w:r>
      <w:r w:rsidRPr="000D6A5C">
        <w:t>installation de cet équipement</w:t>
      </w:r>
    </w:p>
    <w:p w14:paraId="22538B7D" w14:textId="2E60CFAC" w:rsidR="00CF6619" w:rsidRDefault="00CF6619" w:rsidP="00CF6619">
      <w:pPr>
        <w:pStyle w:val="SingleTxtG"/>
        <w:rPr>
          <w:spacing w:val="-6"/>
          <w:lang w:eastAsia="en-GB"/>
        </w:rPr>
      </w:pPr>
      <w:r w:rsidRPr="00CF6619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C3A87" wp14:editId="3E628762">
                <wp:simplePos x="0" y="0"/>
                <wp:positionH relativeFrom="margin">
                  <wp:posOffset>-8890</wp:posOffset>
                </wp:positionH>
                <wp:positionV relativeFrom="margin">
                  <wp:posOffset>6522932</wp:posOffset>
                </wp:positionV>
                <wp:extent cx="6119495" cy="1096434"/>
                <wp:effectExtent l="0" t="0" r="0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09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EE1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21C093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70A1CC2" wp14:editId="09FE297A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9A92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C3A8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7pt;margin-top:513.6pt;width:481.85pt;height: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" stroked="f">
                <v:textbox inset="0,0,0,0">
                  <w:txbxContent>
                    <w:p w14:paraId="36CAEE1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21C093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70A1CC2" wp14:editId="09FE297A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99A92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653F">
        <w:rPr>
          <w:spacing w:val="-2"/>
        </w:rPr>
        <w:t>Le présent document est communiqué uniquement à titre d</w:t>
      </w:r>
      <w:r>
        <w:rPr>
          <w:spacing w:val="-2"/>
        </w:rPr>
        <w:t>’</w:t>
      </w:r>
      <w:r w:rsidRPr="0067653F">
        <w:rPr>
          <w:spacing w:val="-2"/>
        </w:rPr>
        <w:t>information.</w:t>
      </w:r>
      <w:r>
        <w:rPr>
          <w:spacing w:val="-2"/>
        </w:rPr>
        <w:t xml:space="preserve"> </w:t>
      </w:r>
      <w:r w:rsidRPr="0067653F">
        <w:rPr>
          <w:spacing w:val="-2"/>
        </w:rPr>
        <w:t>Le texte authentique, juridiquement contraignant, est celui du document </w:t>
      </w:r>
      <w:r w:rsidRPr="00782EA4">
        <w:rPr>
          <w:spacing w:val="-6"/>
          <w:lang w:eastAsia="en-GB"/>
        </w:rPr>
        <w:t>ECE/TRANS/</w:t>
      </w:r>
      <w:r>
        <w:rPr>
          <w:spacing w:val="-6"/>
          <w:lang w:eastAsia="en-GB"/>
        </w:rPr>
        <w:t xml:space="preserve">WP.29/2019/94 (tel que </w:t>
      </w:r>
      <w:r w:rsidRPr="00641E13">
        <w:rPr>
          <w:spacing w:val="-6"/>
          <w:lang w:eastAsia="en-GB"/>
        </w:rPr>
        <w:t xml:space="preserve">modifié par le paragraphe </w:t>
      </w:r>
      <w:r w:rsidRPr="00B37244">
        <w:rPr>
          <w:spacing w:val="-6"/>
          <w:lang w:eastAsia="en-GB"/>
        </w:rPr>
        <w:t>70 du rapport publié sous la cote ECE/TRANS/WP.29/1149).</w:t>
      </w:r>
    </w:p>
    <w:p w14:paraId="7A1B03FD" w14:textId="77777777" w:rsidR="00CF6619" w:rsidRPr="00A756F5" w:rsidRDefault="00CF6619" w:rsidP="00CF6619">
      <w:pPr>
        <w:pStyle w:val="SingleTxtG"/>
      </w:pPr>
      <w:r>
        <w:rPr>
          <w:spacing w:val="-6"/>
          <w:lang w:eastAsia="en-GB"/>
        </w:rPr>
        <w:br w:type="page"/>
      </w:r>
      <w:r w:rsidRPr="00A756F5">
        <w:rPr>
          <w:i/>
          <w:iCs/>
          <w:lang w:val="fr-FR"/>
        </w:rPr>
        <w:lastRenderedPageBreak/>
        <w:t>Paragraphe 5.2</w:t>
      </w:r>
      <w:r w:rsidRPr="00A756F5">
        <w:rPr>
          <w:lang w:val="fr-FR"/>
        </w:rPr>
        <w:t>, remplacer le texte entre crochets par «</w:t>
      </w:r>
      <w:r>
        <w:rPr>
          <w:lang w:val="fr-FR"/>
        </w:rPr>
        <w:t> </w:t>
      </w:r>
      <w:r w:rsidRPr="00A756F5">
        <w:rPr>
          <w:lang w:val="fr-FR"/>
        </w:rPr>
        <w:t>(actuellement 03 pour la série 03 d</w:t>
      </w:r>
      <w:r>
        <w:rPr>
          <w:lang w:val="fr-FR"/>
        </w:rPr>
        <w:t>’</w:t>
      </w:r>
      <w:r w:rsidRPr="00A756F5">
        <w:rPr>
          <w:lang w:val="fr-FR"/>
        </w:rPr>
        <w:t>amendements)</w:t>
      </w:r>
      <w:r>
        <w:rPr>
          <w:lang w:val="fr-FR"/>
        </w:rPr>
        <w:t> </w:t>
      </w:r>
      <w:r w:rsidRPr="00A756F5">
        <w:rPr>
          <w:lang w:val="fr-FR"/>
        </w:rPr>
        <w:t>».</w:t>
      </w:r>
    </w:p>
    <w:p w14:paraId="7974E8FB" w14:textId="77777777" w:rsidR="00CF6619" w:rsidRPr="00A756F5" w:rsidRDefault="00CF6619" w:rsidP="00CF6619">
      <w:pPr>
        <w:pStyle w:val="SingleTxtG"/>
        <w:rPr>
          <w:iCs/>
        </w:rPr>
      </w:pPr>
      <w:r w:rsidRPr="00A756F5">
        <w:rPr>
          <w:i/>
          <w:iCs/>
          <w:lang w:val="fr-FR"/>
        </w:rPr>
        <w:t>Ajouter un nouveau paragraphe 6.1</w:t>
      </w:r>
      <w:r>
        <w:rPr>
          <w:i/>
          <w:iCs/>
          <w:lang w:val="fr-FR"/>
        </w:rPr>
        <w:t>7</w:t>
      </w:r>
      <w:r w:rsidRPr="00A756F5">
        <w:rPr>
          <w:i/>
          <w:iCs/>
          <w:lang w:val="fr-FR"/>
        </w:rPr>
        <w:t>.10.8</w:t>
      </w:r>
      <w:r w:rsidRPr="00A756F5">
        <w:rPr>
          <w:lang w:val="fr-FR"/>
        </w:rPr>
        <w:t>, libellé comme suit :</w:t>
      </w:r>
    </w:p>
    <w:p w14:paraId="151AF0EE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« 6.1</w:t>
      </w:r>
      <w:r>
        <w:rPr>
          <w:lang w:val="fr-FR"/>
        </w:rPr>
        <w:t>7</w:t>
      </w:r>
      <w:r w:rsidRPr="00A756F5">
        <w:rPr>
          <w:lang w:val="fr-FR"/>
        </w:rPr>
        <w:t>.10.8</w:t>
      </w:r>
      <w:r w:rsidRPr="00A756F5">
        <w:rPr>
          <w:lang w:val="fr-FR"/>
        </w:rPr>
        <w:tab/>
        <w:t>Pour les véhicules de la catégorie M</w:t>
      </w:r>
      <w:r w:rsidRPr="00B010D9">
        <w:rPr>
          <w:vertAlign w:val="subscript"/>
          <w:lang w:val="fr-FR"/>
        </w:rPr>
        <w:t>1</w:t>
      </w:r>
      <w:r w:rsidRPr="00A756F5">
        <w:rPr>
          <w:lang w:val="fr-FR"/>
        </w:rPr>
        <w:t>, l</w:t>
      </w:r>
      <w:r>
        <w:rPr>
          <w:lang w:val="fr-FR"/>
        </w:rPr>
        <w:t>’</w:t>
      </w:r>
      <w:r w:rsidRPr="00A756F5">
        <w:rPr>
          <w:lang w:val="fr-FR"/>
        </w:rPr>
        <w:t>embout de remplissage ne doit pas être situé au-dessous de la carrosserie du véhicule et doit respecter les prescriptions du paragraphe 17.4.5 relatives à la hauteur. »</w:t>
      </w:r>
      <w:r>
        <w:rPr>
          <w:lang w:val="fr-FR"/>
        </w:rPr>
        <w:t>.</w:t>
      </w:r>
    </w:p>
    <w:p w14:paraId="459984CC" w14:textId="77777777" w:rsidR="00CF6619" w:rsidRPr="00A756F5" w:rsidRDefault="00CF6619" w:rsidP="00CF6619">
      <w:pPr>
        <w:pStyle w:val="SingleTxtG"/>
        <w:rPr>
          <w:iCs/>
        </w:rPr>
      </w:pPr>
      <w:r w:rsidRPr="00A756F5">
        <w:rPr>
          <w:i/>
          <w:iCs/>
          <w:lang w:val="fr-FR"/>
        </w:rPr>
        <w:t>Ajouter de nouveaux paragraphes 22.14 à 22.18</w:t>
      </w:r>
      <w:r w:rsidRPr="00A756F5">
        <w:rPr>
          <w:lang w:val="fr-FR"/>
        </w:rPr>
        <w:t>, libellés comme suit</w:t>
      </w:r>
      <w:r>
        <w:rPr>
          <w:lang w:val="fr-FR"/>
        </w:rPr>
        <w:t> </w:t>
      </w:r>
      <w:r w:rsidRPr="00A756F5">
        <w:rPr>
          <w:lang w:val="fr-FR"/>
        </w:rPr>
        <w:t>:</w:t>
      </w:r>
    </w:p>
    <w:p w14:paraId="2D8851A3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«</w:t>
      </w:r>
      <w:r>
        <w:rPr>
          <w:lang w:val="fr-FR"/>
        </w:rPr>
        <w:t> </w:t>
      </w:r>
      <w:r w:rsidRPr="00A756F5">
        <w:rPr>
          <w:lang w:val="fr-FR"/>
        </w:rPr>
        <w:t>22.14</w:t>
      </w:r>
      <w:r w:rsidRPr="00A756F5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A756F5">
        <w:rPr>
          <w:lang w:val="fr-FR"/>
        </w:rPr>
        <w:t>entrée en vigueur de la série 03 d</w:t>
      </w:r>
      <w:r>
        <w:rPr>
          <w:lang w:val="fr-FR"/>
        </w:rPr>
        <w:t>’</w:t>
      </w:r>
      <w:r w:rsidRPr="00A756F5">
        <w:rPr>
          <w:lang w:val="fr-FR"/>
        </w:rPr>
        <w:t>amendements, aucune Partie contractante appliquant le présent Règlement ne pourra refuser de délivrer ou d</w:t>
      </w:r>
      <w:r>
        <w:rPr>
          <w:lang w:val="fr-FR"/>
        </w:rPr>
        <w:t>’</w:t>
      </w:r>
      <w:r w:rsidRPr="00A756F5">
        <w:rPr>
          <w:lang w:val="fr-FR"/>
        </w:rPr>
        <w:t>accepter une homologation de type accordée en vertu du présent Règlement tel que modifié par la série 03 d</w:t>
      </w:r>
      <w:r>
        <w:rPr>
          <w:lang w:val="fr-FR"/>
        </w:rPr>
        <w:t>’</w:t>
      </w:r>
      <w:r w:rsidRPr="00A756F5">
        <w:rPr>
          <w:lang w:val="fr-FR"/>
        </w:rPr>
        <w:t>amendements.</w:t>
      </w:r>
    </w:p>
    <w:p w14:paraId="61B0B7A6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22.15</w:t>
      </w:r>
      <w:r w:rsidRPr="00A756F5">
        <w:rPr>
          <w:lang w:val="fr-FR"/>
        </w:rPr>
        <w:tab/>
        <w:t>À compter du 1</w:t>
      </w:r>
      <w:r w:rsidRPr="00B010D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756F5">
        <w:rPr>
          <w:lang w:val="fr-FR"/>
        </w:rPr>
        <w:t>septembre 2021, les Parties contractantes appliquant le présent Règlement ne seront plus tenues d</w:t>
      </w:r>
      <w:r>
        <w:rPr>
          <w:lang w:val="fr-FR"/>
        </w:rPr>
        <w:t>’</w:t>
      </w:r>
      <w:r w:rsidRPr="00A756F5">
        <w:rPr>
          <w:lang w:val="fr-FR"/>
        </w:rPr>
        <w:t>accepter les homologations de type délivrées au titre des précédentes séries d</w:t>
      </w:r>
      <w:r>
        <w:rPr>
          <w:lang w:val="fr-FR"/>
        </w:rPr>
        <w:t>’</w:t>
      </w:r>
      <w:r w:rsidRPr="00A756F5">
        <w:rPr>
          <w:lang w:val="fr-FR"/>
        </w:rPr>
        <w:t>amendements délivrées pour la première fois après le 1</w:t>
      </w:r>
      <w:r w:rsidRPr="00B010D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756F5">
        <w:rPr>
          <w:lang w:val="fr-FR"/>
        </w:rPr>
        <w:t>septembre 2021.</w:t>
      </w:r>
    </w:p>
    <w:p w14:paraId="5382488D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22.16</w:t>
      </w:r>
      <w:r w:rsidRPr="00A756F5">
        <w:rPr>
          <w:lang w:val="fr-FR"/>
        </w:rPr>
        <w:tab/>
        <w:t>Jusqu</w:t>
      </w:r>
      <w:r>
        <w:rPr>
          <w:lang w:val="fr-FR"/>
        </w:rPr>
        <w:t>’</w:t>
      </w:r>
      <w:r w:rsidRPr="00A756F5">
        <w:rPr>
          <w:lang w:val="fr-FR"/>
        </w:rPr>
        <w:t>au 1</w:t>
      </w:r>
      <w:r w:rsidRPr="00B010D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756F5">
        <w:rPr>
          <w:lang w:val="fr-FR"/>
        </w:rPr>
        <w:t>septembre 2022, les Parties contractantes appliquant le présent Règlement devront accepter les homologations de type délivrées en vertu des précédentes séries d</w:t>
      </w:r>
      <w:r>
        <w:rPr>
          <w:lang w:val="fr-FR"/>
        </w:rPr>
        <w:t>’</w:t>
      </w:r>
      <w:r w:rsidRPr="00A756F5">
        <w:rPr>
          <w:lang w:val="fr-FR"/>
        </w:rPr>
        <w:t>amendements avant le 1</w:t>
      </w:r>
      <w:r w:rsidRPr="00B010D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756F5">
        <w:rPr>
          <w:lang w:val="fr-FR"/>
        </w:rPr>
        <w:t>septembre 2021.</w:t>
      </w:r>
    </w:p>
    <w:p w14:paraId="48261C9E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22.17</w:t>
      </w:r>
      <w:r w:rsidRPr="00A756F5">
        <w:rPr>
          <w:lang w:val="fr-FR"/>
        </w:rPr>
        <w:tab/>
        <w:t>À compter du 1</w:t>
      </w:r>
      <w:r w:rsidRPr="00B010D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756F5">
        <w:rPr>
          <w:lang w:val="fr-FR"/>
        </w:rPr>
        <w:t>septembre 2022, les Parties contractantes appliquant le présent Règlement ne seront plus tenues d</w:t>
      </w:r>
      <w:r>
        <w:rPr>
          <w:lang w:val="fr-FR"/>
        </w:rPr>
        <w:t>’</w:t>
      </w:r>
      <w:r w:rsidRPr="00A756F5">
        <w:rPr>
          <w:lang w:val="fr-FR"/>
        </w:rPr>
        <w:t>accepter les homologations de type délivrées en vertu des précédentes séries d</w:t>
      </w:r>
      <w:r>
        <w:rPr>
          <w:lang w:val="fr-FR"/>
        </w:rPr>
        <w:t>’</w:t>
      </w:r>
      <w:r w:rsidRPr="00A756F5">
        <w:rPr>
          <w:lang w:val="fr-FR"/>
        </w:rPr>
        <w:t>amendements audit Règlement.</w:t>
      </w:r>
    </w:p>
    <w:p w14:paraId="7924B99A" w14:textId="77777777" w:rsidR="00CF6619" w:rsidRPr="00A756F5" w:rsidRDefault="00CF6619" w:rsidP="00CF661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22.18</w:t>
      </w:r>
      <w:r w:rsidRPr="00A756F5">
        <w:rPr>
          <w:lang w:val="fr-FR"/>
        </w:rPr>
        <w:tab/>
        <w:t>Nonobstant les dispositions du paragraphe 22.15 ci-dessus, les Parties contractantes appliquant le présent Règlement ONU continueront de reconnaître les homologations de type délivrées au titre des précédentes séries d</w:t>
      </w:r>
      <w:r>
        <w:rPr>
          <w:lang w:val="fr-FR"/>
        </w:rPr>
        <w:t>’</w:t>
      </w:r>
      <w:r w:rsidRPr="00A756F5">
        <w:rPr>
          <w:lang w:val="fr-FR"/>
        </w:rPr>
        <w:t>amendements audit Règlement ONU pour les véhicules ou les systèmes embarqués ou les composants de véhicule qui ne sont pas concernés par les modifications apportées par la série 03 d</w:t>
      </w:r>
      <w:r>
        <w:rPr>
          <w:lang w:val="fr-FR"/>
        </w:rPr>
        <w:t>’</w:t>
      </w:r>
      <w:r w:rsidRPr="00A756F5">
        <w:rPr>
          <w:lang w:val="fr-FR"/>
        </w:rPr>
        <w:t>amendements.</w:t>
      </w:r>
      <w:r>
        <w:rPr>
          <w:lang w:val="fr-FR"/>
        </w:rPr>
        <w:t> </w:t>
      </w:r>
      <w:r w:rsidRPr="00A756F5">
        <w:rPr>
          <w:lang w:val="fr-FR"/>
        </w:rPr>
        <w:t>»</w:t>
      </w:r>
      <w:r>
        <w:rPr>
          <w:lang w:val="fr-FR"/>
        </w:rPr>
        <w:t>.</w:t>
      </w:r>
    </w:p>
    <w:p w14:paraId="10F151D8" w14:textId="77777777" w:rsidR="00421A10" w:rsidRDefault="00CF6619" w:rsidP="00CF6619">
      <w:pPr>
        <w:pStyle w:val="SingleTxtG"/>
        <w:rPr>
          <w:lang w:val="fr-FR"/>
        </w:rPr>
      </w:pPr>
      <w:r w:rsidRPr="00A756F5">
        <w:rPr>
          <w:i/>
          <w:lang w:val="fr-FR"/>
        </w:rPr>
        <w:t>D</w:t>
      </w:r>
      <w:r>
        <w:rPr>
          <w:i/>
          <w:lang w:val="fr-FR"/>
        </w:rPr>
        <w:t>’</w:t>
      </w:r>
      <w:r w:rsidRPr="00A756F5">
        <w:rPr>
          <w:i/>
          <w:lang w:val="fr-FR"/>
        </w:rPr>
        <w:t>un bout à l</w:t>
      </w:r>
      <w:r>
        <w:rPr>
          <w:i/>
          <w:lang w:val="fr-FR"/>
        </w:rPr>
        <w:t>’</w:t>
      </w:r>
      <w:r w:rsidRPr="00A756F5">
        <w:rPr>
          <w:i/>
          <w:lang w:val="fr-FR"/>
        </w:rPr>
        <w:t>autre des annexes 2A et 2C (Modèle A et Modèle B)</w:t>
      </w:r>
      <w:r w:rsidRPr="00A756F5">
        <w:rPr>
          <w:lang w:val="fr-FR"/>
        </w:rPr>
        <w:t>, remplacer «</w:t>
      </w:r>
      <w:r>
        <w:rPr>
          <w:lang w:val="fr-FR"/>
        </w:rPr>
        <w:t> </w:t>
      </w:r>
      <w:r w:rsidRPr="00A756F5">
        <w:rPr>
          <w:lang w:val="fr-FR"/>
        </w:rPr>
        <w:t>02</w:t>
      </w:r>
      <w:r>
        <w:rPr>
          <w:lang w:val="fr-FR"/>
        </w:rPr>
        <w:t> </w:t>
      </w:r>
      <w:r w:rsidRPr="00A756F5">
        <w:rPr>
          <w:lang w:val="fr-FR"/>
        </w:rPr>
        <w:t>» par « 03 » (9 fois).</w:t>
      </w:r>
    </w:p>
    <w:p w14:paraId="14DD798D" w14:textId="77777777" w:rsidR="00CF6619" w:rsidRPr="00CF6619" w:rsidRDefault="00CF6619" w:rsidP="00CF66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6619" w:rsidRPr="00CF6619" w:rsidSect="00CF6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AD00" w14:textId="77777777" w:rsidR="008F26C4" w:rsidRDefault="008F26C4"/>
  </w:endnote>
  <w:endnote w:type="continuationSeparator" w:id="0">
    <w:p w14:paraId="2E7F6E89" w14:textId="77777777" w:rsidR="008F26C4" w:rsidRDefault="008F26C4">
      <w:pPr>
        <w:pStyle w:val="Pieddepage"/>
      </w:pPr>
    </w:p>
  </w:endnote>
  <w:endnote w:type="continuationNotice" w:id="1">
    <w:p w14:paraId="10950860" w14:textId="77777777" w:rsidR="008F26C4" w:rsidRPr="00C451B9" w:rsidRDefault="008F26C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280E" w14:textId="77777777" w:rsidR="00CF6619" w:rsidRPr="00CF6619" w:rsidRDefault="00CF6619" w:rsidP="00CF6619">
    <w:pPr>
      <w:pStyle w:val="Pieddepage"/>
      <w:tabs>
        <w:tab w:val="right" w:pos="9638"/>
      </w:tabs>
    </w:pPr>
    <w:r w:rsidRPr="00CF6619">
      <w:rPr>
        <w:b/>
        <w:sz w:val="18"/>
      </w:rPr>
      <w:fldChar w:fldCharType="begin"/>
    </w:r>
    <w:r w:rsidRPr="00CF6619">
      <w:rPr>
        <w:b/>
        <w:sz w:val="18"/>
      </w:rPr>
      <w:instrText xml:space="preserve"> PAGE  \* MERGEFORMAT </w:instrText>
    </w:r>
    <w:r w:rsidRPr="00CF6619">
      <w:rPr>
        <w:b/>
        <w:sz w:val="18"/>
      </w:rPr>
      <w:fldChar w:fldCharType="separate"/>
    </w:r>
    <w:r w:rsidRPr="00CF6619">
      <w:rPr>
        <w:b/>
        <w:noProof/>
        <w:sz w:val="18"/>
      </w:rPr>
      <w:t>2</w:t>
    </w:r>
    <w:r w:rsidRPr="00CF6619">
      <w:rPr>
        <w:b/>
        <w:sz w:val="18"/>
      </w:rPr>
      <w:fldChar w:fldCharType="end"/>
    </w:r>
    <w:r>
      <w:rPr>
        <w:b/>
        <w:sz w:val="18"/>
      </w:rPr>
      <w:tab/>
    </w:r>
    <w:r>
      <w:t>GE.20-08736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7B3B" w14:textId="77777777" w:rsidR="00CF6619" w:rsidRPr="00CF6619" w:rsidRDefault="00CF6619" w:rsidP="00CF6619">
    <w:pPr>
      <w:pStyle w:val="Pieddepage"/>
      <w:tabs>
        <w:tab w:val="right" w:pos="9638"/>
      </w:tabs>
      <w:rPr>
        <w:b/>
        <w:sz w:val="18"/>
      </w:rPr>
    </w:pPr>
    <w:r>
      <w:t>GE.20-08736</w:t>
    </w:r>
    <w:r>
      <w:tab/>
    </w:r>
    <w:r w:rsidRPr="00CF6619">
      <w:rPr>
        <w:b/>
        <w:sz w:val="18"/>
      </w:rPr>
      <w:fldChar w:fldCharType="begin"/>
    </w:r>
    <w:r w:rsidRPr="00CF6619">
      <w:rPr>
        <w:b/>
        <w:sz w:val="18"/>
      </w:rPr>
      <w:instrText xml:space="preserve"> PAGE  \* MERGEFORMAT </w:instrText>
    </w:r>
    <w:r w:rsidRPr="00CF6619">
      <w:rPr>
        <w:b/>
        <w:sz w:val="18"/>
      </w:rPr>
      <w:fldChar w:fldCharType="separate"/>
    </w:r>
    <w:r w:rsidRPr="00CF6619">
      <w:rPr>
        <w:b/>
        <w:noProof/>
        <w:sz w:val="18"/>
      </w:rPr>
      <w:t>3</w:t>
    </w:r>
    <w:r w:rsidRPr="00CF66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2DE6" w14:textId="77777777" w:rsidR="00467F2C" w:rsidRPr="00CF6619" w:rsidRDefault="00CF6619" w:rsidP="00CF661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F9D48DB" wp14:editId="67036AB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20-08736  (F)    061120    061120</w:t>
    </w:r>
    <w:r>
      <w:rPr>
        <w:sz w:val="20"/>
      </w:rPr>
      <w:br/>
    </w:r>
    <w:r w:rsidRPr="00CF6619">
      <w:rPr>
        <w:rFonts w:ascii="C39T30Lfz" w:hAnsi="C39T30Lfz"/>
        <w:sz w:val="56"/>
      </w:rPr>
      <w:t>*2008736*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EF2D552" wp14:editId="0921C49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A313" w14:textId="77777777" w:rsidR="008F26C4" w:rsidRPr="00D27D5E" w:rsidRDefault="008F26C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B49592" w14:textId="77777777" w:rsidR="008F26C4" w:rsidRPr="00D171D4" w:rsidRDefault="008F26C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6DB8545" w14:textId="77777777" w:rsidR="008F26C4" w:rsidRPr="00C451B9" w:rsidRDefault="008F26C4" w:rsidP="00C451B9">
      <w:pPr>
        <w:spacing w:line="240" w:lineRule="auto"/>
        <w:rPr>
          <w:sz w:val="2"/>
          <w:szCs w:val="2"/>
        </w:rPr>
      </w:pPr>
    </w:p>
  </w:footnote>
  <w:footnote w:id="2">
    <w:p w14:paraId="5E151E24" w14:textId="77777777" w:rsidR="00CF6619" w:rsidRPr="00591072" w:rsidRDefault="00CF6619" w:rsidP="00CF6619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6B323181" w14:textId="77777777" w:rsidR="00CF6619" w:rsidRPr="00591072" w:rsidRDefault="00CF6619" w:rsidP="00CF6619">
      <w:pPr>
        <w:pStyle w:val="Notedebasdepage"/>
      </w:pPr>
      <w:r w:rsidRPr="00717E94">
        <w:tab/>
      </w:r>
      <w:r w:rsidRPr="00717E94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FA20750" w14:textId="77777777" w:rsidR="00CF6619" w:rsidRPr="00442E31" w:rsidRDefault="00CF6619" w:rsidP="00CF6619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5744" w14:textId="6910892D" w:rsidR="00CF6619" w:rsidRPr="00CF6619" w:rsidRDefault="00CF6619">
    <w:pPr>
      <w:pStyle w:val="En-tte"/>
      <w:rPr>
        <w:lang w:val="en-US"/>
      </w:rPr>
    </w:pPr>
    <w:r>
      <w:fldChar w:fldCharType="begin"/>
    </w:r>
    <w:r w:rsidRPr="00CF6619">
      <w:rPr>
        <w:lang w:val="en-US"/>
      </w:rPr>
      <w:instrText xml:space="preserve"> TITLE  \* MERGEFORMAT </w:instrText>
    </w:r>
    <w:r>
      <w:fldChar w:fldCharType="separate"/>
    </w:r>
    <w:r w:rsidR="00B45529">
      <w:rPr>
        <w:lang w:val="en-US"/>
      </w:rPr>
      <w:t>E/ECE/324/Rev.1/Add.66/Rev.5/Amend.3</w:t>
    </w:r>
    <w:r>
      <w:fldChar w:fldCharType="end"/>
    </w:r>
    <w:r w:rsidRPr="00CF6619">
      <w:rPr>
        <w:lang w:val="en-US"/>
      </w:rPr>
      <w:br/>
    </w:r>
    <w:r>
      <w:fldChar w:fldCharType="begin"/>
    </w:r>
    <w:r w:rsidRPr="00CF6619">
      <w:rPr>
        <w:lang w:val="en-US"/>
      </w:rPr>
      <w:instrText xml:space="preserve"> KEYWORDS  \* MERGEFORMAT </w:instrText>
    </w:r>
    <w:r>
      <w:fldChar w:fldCharType="separate"/>
    </w:r>
    <w:r w:rsidR="00B45529">
      <w:rPr>
        <w:lang w:val="en-US"/>
      </w:rPr>
      <w:t>E/ECE/TRANS/505/Rev.1/Add.66/Rev.5/Amend.3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0122" w14:textId="5CBC134E" w:rsidR="00CF6619" w:rsidRPr="00CF6619" w:rsidRDefault="00CF6619" w:rsidP="00CF6619">
    <w:pPr>
      <w:pStyle w:val="En-tte"/>
      <w:jc w:val="right"/>
      <w:rPr>
        <w:lang w:val="en-US"/>
      </w:rPr>
    </w:pPr>
    <w:r>
      <w:fldChar w:fldCharType="begin"/>
    </w:r>
    <w:r w:rsidRPr="00CF6619">
      <w:rPr>
        <w:lang w:val="en-US"/>
      </w:rPr>
      <w:instrText xml:space="preserve"> TITLE  \* MERGEFORMAT </w:instrText>
    </w:r>
    <w:r>
      <w:fldChar w:fldCharType="separate"/>
    </w:r>
    <w:r w:rsidR="00B45529">
      <w:rPr>
        <w:lang w:val="en-US"/>
      </w:rPr>
      <w:t>E/ECE/324/Rev.1/Add.66/Rev.5/Amend.3</w:t>
    </w:r>
    <w:r>
      <w:fldChar w:fldCharType="end"/>
    </w:r>
    <w:r w:rsidRPr="00CF6619">
      <w:rPr>
        <w:lang w:val="en-US"/>
      </w:rPr>
      <w:br/>
    </w:r>
    <w:r>
      <w:fldChar w:fldCharType="begin"/>
    </w:r>
    <w:r w:rsidRPr="00CF6619">
      <w:rPr>
        <w:lang w:val="en-US"/>
      </w:rPr>
      <w:instrText xml:space="preserve"> KEYWORDS  \* MERGEFORMAT </w:instrText>
    </w:r>
    <w:r>
      <w:fldChar w:fldCharType="separate"/>
    </w:r>
    <w:r w:rsidR="00B45529">
      <w:rPr>
        <w:lang w:val="en-US"/>
      </w:rPr>
      <w:t>E/ECE/TRANS/505/Rev.1/Add.66/Rev.5/Amend.3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3834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26C4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020"/>
    <w:rsid w:val="00B21751"/>
    <w:rsid w:val="00B256F0"/>
    <w:rsid w:val="00B31D7D"/>
    <w:rsid w:val="00B32E2D"/>
    <w:rsid w:val="00B416B8"/>
    <w:rsid w:val="00B42351"/>
    <w:rsid w:val="00B43741"/>
    <w:rsid w:val="00B45529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1CE7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6619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89EF7B"/>
  <w15:docId w15:val="{6F30F50C-4597-4810-9308-A16ADCC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437</Words>
  <Characters>2846</Characters>
  <Application>Microsoft Office Word</Application>
  <DocSecurity>0</DocSecurity>
  <Lines>284</Lines>
  <Paragraphs>193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E/ECE/324/Rev.1/Add.66/Rev.5/Amend.3</vt:lpstr>
    </vt:vector>
  </TitlesOfParts>
  <Company>CSD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E/ECE/324/Rev.1/Add.66/Rev.5/Amend.3</dc:title>
  <dc:creator>Corinne ROBERT</dc:creator>
  <cp:keywords>E/ECE/TRANS/505/Rev.1/Add.66/Rev.5/Amend.3</cp:keywords>
  <cp:lastModifiedBy>Corinne ROBERT</cp:lastModifiedBy>
  <cp:revision>2</cp:revision>
  <cp:lastPrinted>2020-11-06T14:06:00Z</cp:lastPrinted>
  <dcterms:created xsi:type="dcterms:W3CDTF">2020-11-06T14:11:00Z</dcterms:created>
  <dcterms:modified xsi:type="dcterms:W3CDTF">2020-11-06T14:11:00Z</dcterms:modified>
</cp:coreProperties>
</file>