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17E94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E94" w:rsidRPr="00717E94" w:rsidRDefault="00717E94" w:rsidP="00717E94">
            <w:pPr>
              <w:jc w:val="right"/>
              <w:rPr>
                <w:lang w:val="en-US"/>
              </w:rPr>
            </w:pPr>
            <w:r w:rsidRPr="00717E94">
              <w:rPr>
                <w:sz w:val="40"/>
                <w:lang w:val="en-US"/>
              </w:rPr>
              <w:t>E</w:t>
            </w:r>
            <w:r w:rsidRPr="00717E94">
              <w:rPr>
                <w:lang w:val="en-US"/>
              </w:rPr>
              <w:t>/ECE/324/Rev.1/Add.66/Rev.5/Amend.2−</w:t>
            </w:r>
            <w:r w:rsidRPr="00717E94">
              <w:rPr>
                <w:sz w:val="40"/>
                <w:lang w:val="en-US"/>
              </w:rPr>
              <w:t>E</w:t>
            </w:r>
            <w:r w:rsidRPr="00717E94">
              <w:rPr>
                <w:lang w:val="en-US"/>
              </w:rPr>
              <w:t>/ECE/TRANS/505/Rev.1/Add.66/Rev.5/Amend.2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17E9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17E94" w:rsidP="00A27C92">
            <w:pPr>
              <w:spacing w:before="480" w:line="240" w:lineRule="exact"/>
            </w:pPr>
            <w:r>
              <w:t>1</w:t>
            </w:r>
            <w:r w:rsidRPr="00717E94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:rsidR="00421A10" w:rsidRPr="006549FF" w:rsidRDefault="0029791D" w:rsidP="00717E94">
      <w:pPr>
        <w:pStyle w:val="HChG"/>
        <w:spacing w:before="300" w:after="200" w:line="28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717E94">
      <w:pPr>
        <w:pStyle w:val="H1G"/>
        <w:spacing w:before="260" w:after="200"/>
      </w:pPr>
      <w:r>
        <w:tab/>
      </w:r>
      <w:r>
        <w:tab/>
      </w:r>
      <w:r w:rsidR="00421A10" w:rsidRPr="00583D68">
        <w:t>Concernant l</w:t>
      </w:r>
      <w:r w:rsidR="00BC598C">
        <w:t>’</w:t>
      </w:r>
      <w:r w:rsidR="00421A10" w:rsidRPr="00583D68">
        <w:t xml:space="preserve">adoption </w:t>
      </w:r>
      <w:r w:rsidR="00717E94" w:rsidRPr="00BD0091">
        <w:t>de Règlements techniques harmonisés de l</w:t>
      </w:r>
      <w:r w:rsidR="00BC598C">
        <w:t>’</w:t>
      </w:r>
      <w:r w:rsidR="00717E94" w:rsidRPr="00BD0091">
        <w:t>ONU applicables aux véhicules à roues et aux équipements et pièces susceptibles d</w:t>
      </w:r>
      <w:r w:rsidR="00BC598C">
        <w:t>’</w:t>
      </w:r>
      <w:r w:rsidR="00717E94" w:rsidRPr="00BD0091">
        <w:t>être montés ou utilisés sur les véhicules à roues et</w:t>
      </w:r>
      <w:r w:rsidR="00072DB8">
        <w:t> </w:t>
      </w:r>
      <w:r w:rsidR="00717E94" w:rsidRPr="00BD0091">
        <w:t>les </w:t>
      </w:r>
      <w:r w:rsidR="00717E94" w:rsidRPr="00BD0091">
        <w:rPr>
          <w:iCs/>
        </w:rPr>
        <w:t>conditions</w:t>
      </w:r>
      <w:r w:rsidR="00717E94" w:rsidRPr="00BD0091">
        <w:t> de reconnaissance réciproque des homologations délivrées conformément à ces Règlements</w:t>
      </w:r>
      <w:r w:rsidR="00442E31" w:rsidRPr="00717E9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717E94" w:rsidRDefault="00421A10" w:rsidP="00717E94">
      <w:pPr>
        <w:pStyle w:val="SingleTxtG"/>
        <w:spacing w:after="60" w:line="220" w:lineRule="atLeast"/>
        <w:jc w:val="left"/>
        <w:rPr>
          <w:bCs/>
          <w:sz w:val="24"/>
          <w:szCs w:val="24"/>
        </w:rPr>
      </w:pPr>
      <w:r w:rsidRPr="006549FF">
        <w:t xml:space="preserve">(Révision </w:t>
      </w:r>
      <w:r w:rsidR="00717E94" w:rsidRPr="00782EA4">
        <w:t xml:space="preserve">3, </w:t>
      </w:r>
      <w:r w:rsidR="00717E94" w:rsidRPr="00320F0A">
        <w:t>comprenant les amendements entrés en vigueur le 14 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072DB8">
      <w:pPr>
        <w:pStyle w:val="HChG"/>
        <w:spacing w:before="240"/>
      </w:pPr>
      <w:r>
        <w:tab/>
      </w:r>
      <w:r>
        <w:tab/>
      </w:r>
      <w:r w:rsidR="00421A10" w:rsidRPr="006549FF">
        <w:t xml:space="preserve">Additif </w:t>
      </w:r>
      <w:r w:rsidR="00717E94">
        <w:t xml:space="preserve">66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17E94">
        <w:t>67</w:t>
      </w:r>
    </w:p>
    <w:p w:rsidR="00421A10" w:rsidRPr="006549FF" w:rsidRDefault="0029791D" w:rsidP="00717E94">
      <w:pPr>
        <w:pStyle w:val="H1G"/>
        <w:spacing w:before="260" w:after="200"/>
      </w:pPr>
      <w:r>
        <w:tab/>
      </w:r>
      <w:r>
        <w:tab/>
      </w:r>
      <w:r w:rsidR="00421A10" w:rsidRPr="006549FF">
        <w:t xml:space="preserve">Révision </w:t>
      </w:r>
      <w:r w:rsidR="00717E94">
        <w:t>5 − Amendement 2</w:t>
      </w:r>
    </w:p>
    <w:p w:rsidR="00421A10" w:rsidRPr="0029791D" w:rsidRDefault="00717E94" w:rsidP="00717E94">
      <w:pPr>
        <w:pStyle w:val="SingleTxtG"/>
        <w:spacing w:after="0" w:line="220" w:lineRule="atLeast"/>
      </w:pPr>
      <w:r>
        <w:rPr>
          <w:spacing w:val="-2"/>
        </w:rPr>
        <w:t xml:space="preserve">Complément 2 à la </w:t>
      </w:r>
      <w:r>
        <w:rPr>
          <w:spacing w:val="-2"/>
        </w:rPr>
        <w:t>s</w:t>
      </w:r>
      <w:r>
        <w:rPr>
          <w:spacing w:val="-2"/>
        </w:rPr>
        <w:t xml:space="preserve">érie </w:t>
      </w:r>
      <w:r w:rsidRPr="00782EA4">
        <w:rPr>
          <w:spacing w:val="-2"/>
        </w:rPr>
        <w:t xml:space="preserve">02 </w:t>
      </w:r>
      <w:r>
        <w:rPr>
          <w:spacing w:val="-2"/>
        </w:rPr>
        <w:t>d</w:t>
      </w:r>
      <w:r w:rsidR="00BC598C">
        <w:rPr>
          <w:spacing w:val="-2"/>
        </w:rPr>
        <w:t>’</w:t>
      </w:r>
      <w:r>
        <w:rPr>
          <w:spacing w:val="-2"/>
        </w:rPr>
        <w:t>amendements</w:t>
      </w:r>
      <w:r w:rsidRPr="00782EA4">
        <w:rPr>
          <w:spacing w:val="-2"/>
        </w:rPr>
        <w:t xml:space="preserve"> </w:t>
      </w:r>
      <w:r>
        <w:rPr>
          <w:spacing w:val="-2"/>
        </w:rPr>
        <w:t>−</w:t>
      </w:r>
      <w:r w:rsidRPr="00782EA4">
        <w:rPr>
          <w:spacing w:val="-2"/>
        </w:rPr>
        <w:t xml:space="preserve"> Date </w:t>
      </w:r>
      <w:r>
        <w:rPr>
          <w:spacing w:val="-2"/>
        </w:rPr>
        <w:t>d</w:t>
      </w:r>
      <w:r w:rsidR="00BC598C">
        <w:rPr>
          <w:spacing w:val="-2"/>
        </w:rPr>
        <w:t>’</w:t>
      </w:r>
      <w:r>
        <w:rPr>
          <w:spacing w:val="-2"/>
        </w:rPr>
        <w:t>entrée en vigueur</w:t>
      </w:r>
      <w:r>
        <w:rPr>
          <w:spacing w:val="-2"/>
        </w:rPr>
        <w:t xml:space="preserve"> </w:t>
      </w:r>
      <w:r w:rsidRPr="00782EA4">
        <w:rPr>
          <w:spacing w:val="-2"/>
        </w:rPr>
        <w:t xml:space="preserve">: </w:t>
      </w:r>
      <w:r w:rsidRPr="00782EA4">
        <w:t xml:space="preserve">29 </w:t>
      </w:r>
      <w:r>
        <w:t>mai</w:t>
      </w:r>
      <w:r w:rsidRPr="00782EA4">
        <w:t xml:space="preserve"> 2020</w:t>
      </w:r>
    </w:p>
    <w:p w:rsidR="00421A10" w:rsidRDefault="0029791D" w:rsidP="0064247E">
      <w:pPr>
        <w:pStyle w:val="H1G"/>
        <w:spacing w:before="240" w:after="180"/>
      </w:pPr>
      <w:r>
        <w:tab/>
      </w:r>
      <w:r>
        <w:tab/>
      </w:r>
      <w:r w:rsidR="00421A10" w:rsidRPr="007619D3">
        <w:t xml:space="preserve">Prescriptions uniformes relatives </w:t>
      </w:r>
      <w:r w:rsidR="00717E94" w:rsidRPr="000D6A5C">
        <w:t>à l</w:t>
      </w:r>
      <w:r w:rsidR="00BC598C">
        <w:t>’</w:t>
      </w:r>
      <w:r w:rsidR="00717E94" w:rsidRPr="000D6A5C">
        <w:t>homologation</w:t>
      </w:r>
      <w:r w:rsidR="00717E94">
        <w:t> :</w:t>
      </w:r>
    </w:p>
    <w:p w:rsidR="00717E94" w:rsidRPr="000D6A5C" w:rsidRDefault="00717E94" w:rsidP="0064247E">
      <w:pPr>
        <w:pStyle w:val="H1G"/>
        <w:spacing w:before="240" w:after="180"/>
      </w:pPr>
      <w:r>
        <w:tab/>
      </w:r>
      <w:r>
        <w:tab/>
      </w:r>
      <w:r w:rsidRPr="000D6A5C">
        <w:t>I.</w:t>
      </w:r>
      <w:r>
        <w:tab/>
      </w:r>
      <w:r w:rsidRPr="000D6A5C">
        <w:t>Des équipements spéciaux pour l</w:t>
      </w:r>
      <w:r w:rsidR="00BC598C">
        <w:t>’</w:t>
      </w:r>
      <w:r w:rsidRPr="000D6A5C">
        <w:t>alimentation du moteur aux gaz de pétrole liquéfiés sur les véhicules des catégories </w:t>
      </w:r>
      <w:r w:rsidRPr="000D6A5C">
        <w:rPr>
          <w:iCs/>
        </w:rPr>
        <w:t>M</w:t>
      </w:r>
      <w:r w:rsidRPr="000D6A5C">
        <w:t> et </w:t>
      </w:r>
      <w:r w:rsidRPr="000D6A5C">
        <w:rPr>
          <w:iCs/>
        </w:rPr>
        <w:t>N</w:t>
      </w:r>
    </w:p>
    <w:p w:rsidR="00717E94" w:rsidRPr="000D6A5C" w:rsidRDefault="00717E94" w:rsidP="0064247E">
      <w:pPr>
        <w:pStyle w:val="H1G"/>
        <w:spacing w:before="240" w:after="180"/>
      </w:pPr>
      <w:r>
        <w:tab/>
      </w:r>
      <w:r>
        <w:tab/>
      </w:r>
      <w:r w:rsidRPr="000D6A5C">
        <w:t>II.</w:t>
      </w:r>
      <w:r>
        <w:tab/>
      </w:r>
      <w:r w:rsidRPr="000D6A5C">
        <w:t>Des véhicules des catégories </w:t>
      </w:r>
      <w:r w:rsidRPr="000D6A5C">
        <w:rPr>
          <w:iCs/>
        </w:rPr>
        <w:t>M</w:t>
      </w:r>
      <w:r w:rsidRPr="000D6A5C">
        <w:t> et </w:t>
      </w:r>
      <w:r w:rsidRPr="000D6A5C">
        <w:rPr>
          <w:iCs/>
        </w:rPr>
        <w:t>N</w:t>
      </w:r>
      <w:r w:rsidRPr="000D6A5C">
        <w:t> munis d</w:t>
      </w:r>
      <w:r w:rsidR="00BC598C">
        <w:t>’</w:t>
      </w:r>
      <w:r w:rsidRPr="000D6A5C">
        <w:t>un équipement spécial pour l</w:t>
      </w:r>
      <w:r w:rsidR="00BC598C">
        <w:t>’</w:t>
      </w:r>
      <w:r w:rsidRPr="000D6A5C">
        <w:t xml:space="preserve">alimentation du moteur aux gaz de pétrole liquéfiés, </w:t>
      </w:r>
      <w:r>
        <w:br/>
      </w:r>
      <w:r w:rsidRPr="000D6A5C">
        <w:t>en ce qui concerne l</w:t>
      </w:r>
      <w:r w:rsidR="00BC598C">
        <w:t>’</w:t>
      </w:r>
      <w:r w:rsidRPr="000D6A5C">
        <w:t>installation de cet équipement</w:t>
      </w:r>
    </w:p>
    <w:p w:rsidR="00BC598C" w:rsidRDefault="00717E94" w:rsidP="00717E94">
      <w:pPr>
        <w:pStyle w:val="SingleTxtG"/>
        <w:rPr>
          <w:spacing w:val="-2"/>
          <w:lang w:eastAsia="en-GB"/>
        </w:rPr>
      </w:pPr>
      <w:bookmarkStart w:id="0" w:name="_GoBack"/>
      <w:r w:rsidRPr="00717E94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5F320" wp14:editId="26CCF6CE">
                <wp:simplePos x="0" y="0"/>
                <wp:positionH relativeFrom="margin">
                  <wp:posOffset>62865</wp:posOffset>
                </wp:positionH>
                <wp:positionV relativeFrom="margin">
                  <wp:posOffset>6520603</wp:posOffset>
                </wp:positionV>
                <wp:extent cx="6119495" cy="1109133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0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.95pt;margin-top:513.45pt;width:481.85pt;height:87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EIwIAAB0EAAAOAAAAZHJzL2Uyb0RvYy54bWysU02P2yAQvVfqf0DcG9vZZLWx4qy22aaq&#10;tP2Qtr30hgHbqJihQGKnv34HnGS37a0qBzTAzOPNm5n17dhrcpDOKzAVLWY5JdJwEMq0Ff32dffm&#10;hhIfmBFMg5EVPUpPbzevX60HW8o5dKCFdARBjC8HW9EuBFtmmeed7JmfgZUGHxtwPQt4dG0mHBsQ&#10;vdfZPM+vswGcsA649B5v76dHukn4TSN5+Nw0XgaiK4rcQtpd2uu4Z5s1K1vHbKf4iQb7BxY9UwY/&#10;vUDds8DI3qm/oHrFHXhowoxDn0HTKC5TDphNkf+RzWPHrEy5oDjeXmTy/w+Wfzp8cUSJii4oMazH&#10;En3HQhEhSZBjkGQRJRqsL9Hz0aJvGN/CiKVO6Xr7APyHJwa2HTOtvHMOhk4ygRSLGJm9CJ1wfASp&#10;h48g8C+2D5CAxsb1UT9UhCA6lup4KQ/yIBwvr4titVgtKeH4VhT5qri6Sn+w8hxunQ/vJfQkGhV1&#10;WP8Ezw4PPkQ6rDy7xN88aCV2Sut0cG291Y4cGPbKLq0T+m9u2pChoqvlfJmQDcT41Ea9CtjLWvUV&#10;vcnjiuGsjHK8MyLZgSk92chEm5M+UZJJnDDWIzpG0WoQR1TKwdSzOGNodOB+UTJgv1bU/9wzJynR&#10;HwyqHZv7bLizUZ8NZjiGVjRQMpnbMA3B3jrVdog81dPAHVakUUmrZxYnntiDScLTvMQmf3lOXs9T&#10;vXkCAAD//wMAUEsDBBQABgAIAAAAIQANK3SW3wAAAAsBAAAPAAAAZHJzL2Rvd25yZXYueG1sTI/B&#10;TsMwEETvSPyDtUhcELUbJENCnApauNFDS9WzG5skIl5HttOkf89ygtvuzGj2bbmaXc/ONsTOo4Ll&#10;QgCzWHvTYaPg8Pl+/wQsJo1G9x6tgouNsKqur0pdGD/hzp73qWFUgrHQCtqUhoLzWLfW6bjwg0Xy&#10;vnxwOtEaGm6Cnqjc9TwTQnKnO6QLrR7surX19350CuQmjNMO13ebw9uH3g5Ndny9HJW6vZlfnoEl&#10;O6e/MPziEzpUxHTyI5rIegV5TkGSRSZpokD++CCBnUjKxFICr0r+/4fqBwAA//8DAFBLAQItABQA&#10;BgAIAAAAIQC2gziS/gAAAOEBAAATAAAAAAAAAAAAAAAAAAAAAABbQ29udGVudF9UeXBlc10ueG1s&#10;UEsBAi0AFAAGAAgAAAAhADj9If/WAAAAlAEAAAsAAAAAAAAAAAAAAAAALwEAAF9yZWxzLy5yZWxz&#10;UEsBAi0AFAAGAAgAAAAhAMkeIAQjAgAAHQQAAA4AAAAAAAAAAAAAAAAALgIAAGRycy9lMm9Eb2Mu&#10;eG1sUEsBAi0AFAAGAAgAAAAhAA0rdJbfAAAACwEAAA8AAAAAAAAAAAAAAAAAfQQAAGRycy9kb3du&#10;cmV2LnhtbFBLBQYAAAAABAAEAPMAAACJBQAAAAA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17E94">
        <w:rPr>
          <w:spacing w:val="-2"/>
        </w:rPr>
        <w:t>Le présent document est communiqué uniquement à titre d</w:t>
      </w:r>
      <w:r w:rsidR="00BC598C">
        <w:rPr>
          <w:spacing w:val="-2"/>
        </w:rPr>
        <w:t>’</w:t>
      </w:r>
      <w:r w:rsidRPr="00717E94">
        <w:rPr>
          <w:spacing w:val="-2"/>
        </w:rPr>
        <w:t>information. Le texte authentique, juridiquement contraignant, est celui du document </w:t>
      </w:r>
      <w:r w:rsidRPr="00717E94">
        <w:rPr>
          <w:spacing w:val="-2"/>
          <w:lang w:eastAsia="en-GB"/>
        </w:rPr>
        <w:t>ECE/TRANS/WP.29/2019/98 (tel que modifié par le paragraphe 70 du rapport publié sous la cote ECE/TRANS/WP.29/1149).</w:t>
      </w:r>
      <w:bookmarkEnd w:id="0"/>
    </w:p>
    <w:p w:rsidR="00BC598C" w:rsidRPr="00613181" w:rsidRDefault="00BC598C" w:rsidP="00BC598C">
      <w:pPr>
        <w:pStyle w:val="SingleTxtG"/>
        <w:rPr>
          <w:lang w:val="fr-FR"/>
        </w:rPr>
      </w:pPr>
      <w:r>
        <w:rPr>
          <w:lang w:eastAsia="en-GB"/>
        </w:rPr>
        <w:br w:type="page"/>
      </w:r>
      <w:r w:rsidRPr="00EC0357">
        <w:rPr>
          <w:i/>
          <w:lang w:val="fr-FR"/>
        </w:rPr>
        <w:lastRenderedPageBreak/>
        <w:t>Ajouter un nouveau paragraphe 11.6 (</w:t>
      </w:r>
      <w:r>
        <w:rPr>
          <w:i/>
          <w:lang w:val="fr-FR"/>
        </w:rPr>
        <w:t>d</w:t>
      </w:r>
      <w:r w:rsidRPr="00EC0357">
        <w:rPr>
          <w:i/>
          <w:lang w:val="fr-FR"/>
        </w:rPr>
        <w:t>ispositions transitoires),</w:t>
      </w:r>
      <w:r w:rsidRPr="00613181">
        <w:rPr>
          <w:iCs/>
          <w:lang w:val="fr-FR"/>
        </w:rPr>
        <w:t xml:space="preserve"> </w:t>
      </w:r>
      <w:r>
        <w:rPr>
          <w:iCs/>
          <w:lang w:val="fr-FR"/>
        </w:rPr>
        <w:t>libellé comme suit </w:t>
      </w:r>
      <w:r w:rsidRPr="00613181">
        <w:rPr>
          <w:iCs/>
          <w:lang w:val="fr-FR"/>
        </w:rPr>
        <w:t>:</w:t>
      </w:r>
    </w:p>
    <w:p w:rsidR="00BC598C" w:rsidRPr="00D012A9" w:rsidRDefault="00BC598C" w:rsidP="00BC598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012A9">
        <w:rPr>
          <w:lang w:val="fr-FR"/>
        </w:rPr>
        <w:t>11.6</w:t>
      </w:r>
      <w:r w:rsidRPr="00D012A9">
        <w:rPr>
          <w:lang w:val="fr-FR"/>
        </w:rPr>
        <w:tab/>
        <w:t xml:space="preserve">À </w:t>
      </w:r>
      <w:r>
        <w:rPr>
          <w:lang w:val="fr-FR"/>
        </w:rPr>
        <w:t>compter</w:t>
      </w:r>
      <w:r w:rsidRPr="00D012A9">
        <w:rPr>
          <w:lang w:val="fr-FR"/>
        </w:rPr>
        <w:t xml:space="preserve"> du 1</w:t>
      </w:r>
      <w:r w:rsidRPr="00D012A9">
        <w:rPr>
          <w:vertAlign w:val="superscript"/>
          <w:lang w:val="fr-FR"/>
        </w:rPr>
        <w:t>er</w:t>
      </w:r>
      <w:r w:rsidRPr="00D012A9">
        <w:rPr>
          <w:lang w:val="fr-FR"/>
        </w:rPr>
        <w:t xml:space="preserve"> septembre 2022, les Parties contractantes appliquant le présent Règlement pourront refuser la </w:t>
      </w:r>
      <w:r>
        <w:rPr>
          <w:lang w:val="fr-FR"/>
        </w:rPr>
        <w:t>commercialisation</w:t>
      </w:r>
      <w:r w:rsidRPr="00D012A9">
        <w:rPr>
          <w:lang w:val="fr-FR"/>
        </w:rPr>
        <w:t xml:space="preserve"> d</w:t>
      </w:r>
      <w:r>
        <w:rPr>
          <w:lang w:val="fr-FR"/>
        </w:rPr>
        <w:t>’</w:t>
      </w:r>
      <w:r w:rsidRPr="00D012A9">
        <w:rPr>
          <w:lang w:val="fr-FR"/>
        </w:rPr>
        <w:t>un type de composant ne satisfaisant pas aux prescriptions de la série 02 d</w:t>
      </w:r>
      <w:r>
        <w:rPr>
          <w:lang w:val="fr-FR"/>
        </w:rPr>
        <w:t>’</w:t>
      </w:r>
      <w:r w:rsidRPr="00D012A9">
        <w:rPr>
          <w:lang w:val="fr-FR"/>
        </w:rPr>
        <w:t>amendements au présent Règlement, sauf si ledit composant est conçu comme un élément de remplacement devant être monté sur des véhicules en service.</w:t>
      </w:r>
      <w:r>
        <w:rPr>
          <w:lang w:val="fr-FR"/>
        </w:rPr>
        <w:t> ».</w:t>
      </w:r>
    </w:p>
    <w:p w:rsidR="00BC598C" w:rsidRPr="00DD1D4D" w:rsidRDefault="00BC598C" w:rsidP="00BC598C">
      <w:pPr>
        <w:pStyle w:val="SingleTxtG"/>
        <w:rPr>
          <w:i/>
        </w:rPr>
      </w:pPr>
      <w:r w:rsidRPr="00DD1D4D">
        <w:rPr>
          <w:i/>
        </w:rPr>
        <w:t>Annex</w:t>
      </w:r>
      <w:r>
        <w:rPr>
          <w:i/>
        </w:rPr>
        <w:t>e</w:t>
      </w:r>
      <w:r w:rsidRPr="00DD1D4D">
        <w:rPr>
          <w:i/>
        </w:rPr>
        <w:t xml:space="preserve"> 3</w:t>
      </w:r>
    </w:p>
    <w:p w:rsidR="00BC598C" w:rsidRPr="00D012A9" w:rsidRDefault="00BC598C" w:rsidP="00BC598C">
      <w:pPr>
        <w:pStyle w:val="SingleTxtG"/>
        <w:rPr>
          <w:i/>
          <w:lang w:val="fr-FR"/>
        </w:rPr>
      </w:pPr>
      <w:r w:rsidRPr="00D012A9">
        <w:rPr>
          <w:i/>
          <w:lang w:val="fr-FR"/>
        </w:rPr>
        <w:t xml:space="preserve">Paragraphe 3, </w:t>
      </w:r>
      <w:r w:rsidRPr="00D012A9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:rsidR="00BC598C" w:rsidRPr="00D012A9" w:rsidRDefault="00BC598C" w:rsidP="00BC598C">
      <w:pPr>
        <w:pStyle w:val="SingleTxtG"/>
        <w:ind w:left="2268" w:hanging="1134"/>
        <w:rPr>
          <w:b/>
          <w:bCs/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3.</w:t>
      </w:r>
      <w:r w:rsidRPr="00D012A9">
        <w:rPr>
          <w:iCs/>
          <w:lang w:val="fr-FR"/>
        </w:rPr>
        <w:tab/>
        <w:t xml:space="preserve">Soupape de surpression (soupape de décharge) </w:t>
      </w:r>
      <w:r w:rsidRPr="00D012A9">
        <w:rPr>
          <w:bCs/>
          <w:iCs/>
          <w:lang w:val="fr-FR"/>
        </w:rPr>
        <w:t>et composants reliant la soupape de surpression à la phase gazeuse à l</w:t>
      </w:r>
      <w:r>
        <w:rPr>
          <w:bCs/>
          <w:iCs/>
          <w:lang w:val="fr-FR"/>
        </w:rPr>
        <w:t>’</w:t>
      </w:r>
      <w:r w:rsidRPr="00D012A9">
        <w:rPr>
          <w:bCs/>
          <w:iCs/>
          <w:lang w:val="fr-FR"/>
        </w:rPr>
        <w:t>intérieur du réservoir de GPL</w:t>
      </w:r>
      <w:r>
        <w:rPr>
          <w:bCs/>
          <w:iCs/>
          <w:lang w:val="fr-FR"/>
        </w:rPr>
        <w:t>.</w:t>
      </w:r>
      <w:r>
        <w:rPr>
          <w:iCs/>
          <w:lang w:val="fr-FR"/>
        </w:rPr>
        <w:t> ».</w:t>
      </w:r>
    </w:p>
    <w:p w:rsidR="00BC598C" w:rsidRPr="00D012A9" w:rsidRDefault="00BC598C" w:rsidP="00BC598C">
      <w:pPr>
        <w:pStyle w:val="SingleTxtG"/>
        <w:rPr>
          <w:i/>
          <w:lang w:val="fr-FR"/>
        </w:rPr>
      </w:pPr>
      <w:r w:rsidRPr="00D012A9">
        <w:rPr>
          <w:i/>
          <w:lang w:val="fr-FR"/>
        </w:rPr>
        <w:t xml:space="preserve">Paragraphe 3.6, </w:t>
      </w:r>
      <w:r w:rsidRPr="00D012A9">
        <w:rPr>
          <w:iCs/>
          <w:lang w:val="fr-FR"/>
        </w:rPr>
        <w:t>lire (</w:t>
      </w:r>
      <w:r>
        <w:rPr>
          <w:iCs/>
          <w:lang w:val="fr-FR"/>
        </w:rPr>
        <w:t>y compris l</w:t>
      </w:r>
      <w:r>
        <w:rPr>
          <w:iCs/>
          <w:lang w:val="fr-FR"/>
        </w:rPr>
        <w:t>’</w:t>
      </w:r>
      <w:r>
        <w:rPr>
          <w:iCs/>
          <w:lang w:val="fr-FR"/>
        </w:rPr>
        <w:t>ajout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un appel de la note existante**)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:rsidR="00BC598C" w:rsidRDefault="00BC598C" w:rsidP="00BC598C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3.6</w:t>
      </w:r>
      <w:r w:rsidRPr="00D012A9">
        <w:rPr>
          <w:iCs/>
          <w:lang w:val="fr-FR"/>
        </w:rPr>
        <w:tab/>
        <w:t>Méthodes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essai applicables :</w:t>
      </w:r>
    </w:p>
    <w:tbl>
      <w:tblPr>
        <w:tblStyle w:val="Grilledutableau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</w:tblGrid>
      <w:tr w:rsidR="00BC598C" w:rsidTr="00D65550">
        <w:tc>
          <w:tcPr>
            <w:tcW w:w="4253" w:type="dxa"/>
          </w:tcPr>
          <w:p w:rsidR="00BC598C" w:rsidRDefault="00BC598C" w:rsidP="00D65550">
            <w:pPr>
              <w:pStyle w:val="SingleTxtG"/>
              <w:ind w:left="0"/>
              <w:rPr>
                <w:iCs/>
                <w:lang w:val="fr-FR"/>
              </w:rPr>
            </w:pPr>
            <w:r w:rsidRPr="00D012A9">
              <w:rPr>
                <w:lang w:val="fr-FR"/>
              </w:rPr>
              <w:t>Surpression</w:t>
            </w:r>
          </w:p>
        </w:tc>
        <w:tc>
          <w:tcPr>
            <w:tcW w:w="2126" w:type="dxa"/>
          </w:tcPr>
          <w:p w:rsidR="00BC598C" w:rsidRPr="00585927" w:rsidRDefault="00BC598C" w:rsidP="00D65550">
            <w:pPr>
              <w:pStyle w:val="SingleTxtG"/>
              <w:ind w:left="0" w:right="57"/>
              <w:rPr>
                <w:lang w:val="fr-FR"/>
              </w:rPr>
            </w:pPr>
            <w:r w:rsidRPr="00D012A9">
              <w:rPr>
                <w:lang w:val="fr-FR"/>
              </w:rPr>
              <w:t>Annex</w:t>
            </w:r>
            <w:r>
              <w:rPr>
                <w:lang w:val="fr-FR"/>
              </w:rPr>
              <w:t xml:space="preserve">e </w:t>
            </w:r>
            <w:r w:rsidRPr="00D012A9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D012A9">
              <w:rPr>
                <w:lang w:val="fr-FR"/>
              </w:rPr>
              <w:t xml:space="preserve">, par. </w:t>
            </w:r>
            <w:r w:rsidRPr="00585927">
              <w:rPr>
                <w:lang w:val="fr-FR"/>
              </w:rPr>
              <w:t>4</w:t>
            </w:r>
          </w:p>
        </w:tc>
      </w:tr>
      <w:tr w:rsidR="00BC598C" w:rsidTr="00D65550">
        <w:tc>
          <w:tcPr>
            <w:tcW w:w="4253" w:type="dxa"/>
          </w:tcPr>
          <w:p w:rsidR="00BC598C" w:rsidRPr="00D012A9" w:rsidRDefault="00BC598C" w:rsidP="00D65550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...</w:t>
            </w:r>
          </w:p>
        </w:tc>
        <w:tc>
          <w:tcPr>
            <w:tcW w:w="2126" w:type="dxa"/>
          </w:tcPr>
          <w:p w:rsidR="00BC598C" w:rsidRPr="00D012A9" w:rsidRDefault="00BC598C" w:rsidP="00D65550">
            <w:pPr>
              <w:pStyle w:val="SingleTxtG"/>
              <w:ind w:left="0" w:right="57"/>
              <w:rPr>
                <w:lang w:val="fr-FR"/>
              </w:rPr>
            </w:pPr>
          </w:p>
        </w:tc>
      </w:tr>
      <w:tr w:rsidR="00BC598C" w:rsidTr="00D65550">
        <w:tc>
          <w:tcPr>
            <w:tcW w:w="4253" w:type="dxa"/>
          </w:tcPr>
          <w:p w:rsidR="00BC598C" w:rsidRPr="00EC0357" w:rsidRDefault="00BC598C" w:rsidP="00D65550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Cycle thermique</w:t>
            </w:r>
          </w:p>
        </w:tc>
        <w:tc>
          <w:tcPr>
            <w:tcW w:w="2126" w:type="dxa"/>
          </w:tcPr>
          <w:p w:rsidR="00BC598C" w:rsidRPr="00D012A9" w:rsidRDefault="00BC598C" w:rsidP="00D65550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</w:t>
            </w:r>
            <w:r>
              <w:rPr>
                <w:lang w:val="fr-FR"/>
              </w:rPr>
              <w:t>6</w:t>
            </w:r>
            <w:r w:rsidRPr="00EC0357">
              <w:rPr>
                <w:lang w:val="fr-FR"/>
              </w:rPr>
              <w:t>, par. 16**</w:t>
            </w:r>
          </w:p>
        </w:tc>
      </w:tr>
      <w:tr w:rsidR="00BC598C" w:rsidTr="00D65550">
        <w:tc>
          <w:tcPr>
            <w:tcW w:w="4253" w:type="dxa"/>
          </w:tcPr>
          <w:p w:rsidR="00BC598C" w:rsidRPr="00EC0357" w:rsidRDefault="00BC598C" w:rsidP="00D65550">
            <w:pPr>
              <w:pStyle w:val="SingleTxtG"/>
              <w:ind w:left="0" w:right="57"/>
              <w:jc w:val="left"/>
              <w:rPr>
                <w:lang w:val="fr-FR"/>
              </w:rPr>
            </w:pPr>
            <w:r w:rsidRPr="00EC0357">
              <w:rPr>
                <w:lang w:val="fr-FR"/>
              </w:rPr>
              <w:t>Essai sur un matériau</w:t>
            </w:r>
            <w:r w:rsidRPr="00D012A9">
              <w:rPr>
                <w:bCs/>
                <w:iCs/>
                <w:lang w:val="fr-FR"/>
              </w:rPr>
              <w:t xml:space="preserve"> non métallique</w:t>
            </w:r>
            <w:r>
              <w:rPr>
                <w:bCs/>
                <w:iCs/>
                <w:lang w:val="fr-FR"/>
              </w:rPr>
              <w:t xml:space="preserve"> </w:t>
            </w:r>
            <w:r w:rsidRPr="00D012A9">
              <w:rPr>
                <w:bCs/>
                <w:iCs/>
                <w:lang w:val="fr-FR"/>
              </w:rPr>
              <w:t>à l</w:t>
            </w:r>
            <w:r>
              <w:rPr>
                <w:bCs/>
                <w:iCs/>
                <w:lang w:val="fr-FR"/>
              </w:rPr>
              <w:t>’</w:t>
            </w:r>
            <w:r w:rsidRPr="00D012A9">
              <w:rPr>
                <w:bCs/>
                <w:iCs/>
                <w:lang w:val="fr-FR"/>
              </w:rPr>
              <w:t>intérieur d</w:t>
            </w:r>
            <w:r>
              <w:rPr>
                <w:bCs/>
                <w:iCs/>
                <w:lang w:val="fr-FR"/>
              </w:rPr>
              <w:t>’</w:t>
            </w:r>
            <w:r w:rsidRPr="00D012A9">
              <w:rPr>
                <w:bCs/>
                <w:iCs/>
                <w:lang w:val="fr-FR"/>
              </w:rPr>
              <w:t>un réservoir</w:t>
            </w:r>
          </w:p>
        </w:tc>
        <w:tc>
          <w:tcPr>
            <w:tcW w:w="2126" w:type="dxa"/>
          </w:tcPr>
          <w:p w:rsidR="00BC598C" w:rsidRPr="00585927" w:rsidRDefault="00BC598C" w:rsidP="00D65550">
            <w:pPr>
              <w:pStyle w:val="SingleTxtG"/>
              <w:ind w:left="0" w:right="57"/>
              <w:rPr>
                <w:iCs/>
                <w:lang w:val="fr-FR"/>
              </w:rPr>
            </w:pPr>
            <w:r w:rsidRPr="00585927">
              <w:rPr>
                <w:lang w:val="fr-FR"/>
              </w:rPr>
              <w:t>Annexe 1</w:t>
            </w:r>
            <w:r>
              <w:rPr>
                <w:lang w:val="fr-FR"/>
              </w:rPr>
              <w:t>6</w:t>
            </w:r>
            <w:r w:rsidRPr="00585927">
              <w:rPr>
                <w:lang w:val="fr-FR"/>
              </w:rPr>
              <w:t>, par. 18**</w:t>
            </w:r>
            <w:r>
              <w:rPr>
                <w:lang w:val="fr-FR"/>
              </w:rPr>
              <w:t>.</w:t>
            </w:r>
            <w:r w:rsidRPr="00585927">
              <w:rPr>
                <w:lang w:val="fr-FR"/>
              </w:rPr>
              <w:t> </w:t>
            </w:r>
            <w:r>
              <w:rPr>
                <w:iCs/>
                <w:lang w:val="fr-FR"/>
              </w:rPr>
              <w:t>».</w:t>
            </w:r>
          </w:p>
        </w:tc>
      </w:tr>
    </w:tbl>
    <w:p w:rsidR="00BC598C" w:rsidRPr="00D012A9" w:rsidRDefault="00BC598C" w:rsidP="00BC598C">
      <w:pPr>
        <w:pStyle w:val="SingleTxtG"/>
        <w:spacing w:before="120"/>
        <w:rPr>
          <w:i/>
          <w:lang w:val="fr-FR"/>
        </w:rPr>
      </w:pPr>
      <w:r w:rsidRPr="00D012A9">
        <w:rPr>
          <w:i/>
          <w:lang w:val="fr-FR"/>
        </w:rPr>
        <w:t xml:space="preserve">Paragraphe 7, </w:t>
      </w:r>
      <w:r w:rsidRPr="00D012A9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:rsidR="00BC598C" w:rsidRPr="00D012A9" w:rsidRDefault="00BC598C" w:rsidP="00BC598C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7.</w:t>
      </w:r>
      <w:r w:rsidRPr="00D012A9">
        <w:rPr>
          <w:iCs/>
          <w:lang w:val="fr-FR"/>
        </w:rPr>
        <w:tab/>
        <w:t>Prescriptions relatives à l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 xml:space="preserve">homologation du dispositif de décompression (fusible) </w:t>
      </w:r>
      <w:r w:rsidRPr="00D012A9">
        <w:rPr>
          <w:bCs/>
          <w:iCs/>
          <w:lang w:val="fr-FR"/>
        </w:rPr>
        <w:t>et des composants reliant le dispositif de décompression à la phase gazeuse à l</w:t>
      </w:r>
      <w:r>
        <w:rPr>
          <w:bCs/>
          <w:iCs/>
          <w:lang w:val="fr-FR"/>
        </w:rPr>
        <w:t>’</w:t>
      </w:r>
      <w:r w:rsidRPr="00D012A9">
        <w:rPr>
          <w:bCs/>
          <w:iCs/>
          <w:lang w:val="fr-FR"/>
        </w:rPr>
        <w:t>intérieur du réservoir de GPL</w:t>
      </w:r>
      <w:r>
        <w:rPr>
          <w:bCs/>
          <w:iCs/>
          <w:lang w:val="fr-FR"/>
        </w:rPr>
        <w:t>. ».</w:t>
      </w:r>
    </w:p>
    <w:p w:rsidR="00BC598C" w:rsidRPr="00D012A9" w:rsidRDefault="00BC598C" w:rsidP="00BC598C">
      <w:pPr>
        <w:pStyle w:val="SingleTxtG"/>
        <w:rPr>
          <w:i/>
          <w:lang w:val="fr-FR"/>
        </w:rPr>
      </w:pPr>
      <w:r w:rsidRPr="00D012A9">
        <w:rPr>
          <w:i/>
          <w:lang w:val="fr-FR"/>
        </w:rPr>
        <w:t xml:space="preserve">Paragraphe 7.6, </w:t>
      </w:r>
      <w:r w:rsidRPr="00D012A9">
        <w:rPr>
          <w:iCs/>
          <w:lang w:val="fr-FR"/>
        </w:rPr>
        <w:t>lire (y compris l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ajout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un appel de la note existante**)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:rsidR="00BC598C" w:rsidRDefault="00BC598C" w:rsidP="00BC598C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7.6</w:t>
      </w:r>
      <w:r w:rsidRPr="00D012A9">
        <w:rPr>
          <w:iCs/>
          <w:lang w:val="fr-FR"/>
        </w:rPr>
        <w:tab/>
        <w:t>Procédures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essai à appliquer :</w:t>
      </w:r>
    </w:p>
    <w:tbl>
      <w:tblPr>
        <w:tblStyle w:val="Grilledutableau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</w:tblGrid>
      <w:tr w:rsidR="00BC598C" w:rsidTr="00D65550">
        <w:tc>
          <w:tcPr>
            <w:tcW w:w="4253" w:type="dxa"/>
          </w:tcPr>
          <w:p w:rsidR="00BC598C" w:rsidRDefault="00BC598C" w:rsidP="00D65550">
            <w:pPr>
              <w:pStyle w:val="SingleTxtG"/>
              <w:ind w:left="0"/>
              <w:rPr>
                <w:iCs/>
                <w:lang w:val="fr-FR"/>
              </w:rPr>
            </w:pPr>
            <w:r w:rsidRPr="00EC0357">
              <w:rPr>
                <w:lang w:val="fr-FR"/>
              </w:rPr>
              <w:t>Surpression</w:t>
            </w:r>
          </w:p>
        </w:tc>
        <w:tc>
          <w:tcPr>
            <w:tcW w:w="2126" w:type="dxa"/>
          </w:tcPr>
          <w:p w:rsidR="00BC598C" w:rsidRPr="00974A6A" w:rsidRDefault="00BC598C" w:rsidP="00D65550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</w:t>
            </w:r>
            <w:r>
              <w:rPr>
                <w:lang w:val="fr-FR"/>
              </w:rPr>
              <w:t>6</w:t>
            </w:r>
            <w:r w:rsidRPr="00EC0357">
              <w:rPr>
                <w:lang w:val="fr-FR"/>
              </w:rPr>
              <w:t>, par. 4</w:t>
            </w:r>
          </w:p>
        </w:tc>
      </w:tr>
      <w:tr w:rsidR="00BC598C" w:rsidTr="00D65550">
        <w:tc>
          <w:tcPr>
            <w:tcW w:w="4253" w:type="dxa"/>
          </w:tcPr>
          <w:p w:rsidR="00BC598C" w:rsidRPr="00D012A9" w:rsidRDefault="00BC598C" w:rsidP="00D65550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...</w:t>
            </w:r>
          </w:p>
        </w:tc>
        <w:tc>
          <w:tcPr>
            <w:tcW w:w="2126" w:type="dxa"/>
          </w:tcPr>
          <w:p w:rsidR="00BC598C" w:rsidRPr="00D012A9" w:rsidRDefault="00BC598C" w:rsidP="00D65550">
            <w:pPr>
              <w:pStyle w:val="SingleTxtG"/>
              <w:ind w:left="0" w:right="57"/>
              <w:rPr>
                <w:lang w:val="fr-FR"/>
              </w:rPr>
            </w:pPr>
          </w:p>
        </w:tc>
      </w:tr>
      <w:tr w:rsidR="00BC598C" w:rsidTr="00D65550">
        <w:tc>
          <w:tcPr>
            <w:tcW w:w="4253" w:type="dxa"/>
          </w:tcPr>
          <w:p w:rsidR="00BC598C" w:rsidRPr="00EC0357" w:rsidRDefault="00BC598C" w:rsidP="00D65550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Cycle thermique</w:t>
            </w:r>
          </w:p>
        </w:tc>
        <w:tc>
          <w:tcPr>
            <w:tcW w:w="2126" w:type="dxa"/>
          </w:tcPr>
          <w:p w:rsidR="00BC598C" w:rsidRPr="00D012A9" w:rsidRDefault="00BC598C" w:rsidP="00D65550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</w:t>
            </w:r>
            <w:r>
              <w:rPr>
                <w:lang w:val="fr-FR"/>
              </w:rPr>
              <w:t>6</w:t>
            </w:r>
            <w:r w:rsidRPr="00EC0357">
              <w:rPr>
                <w:lang w:val="fr-FR"/>
              </w:rPr>
              <w:t>, par. 16**</w:t>
            </w:r>
          </w:p>
        </w:tc>
      </w:tr>
      <w:tr w:rsidR="00BC598C" w:rsidTr="00D65550">
        <w:tc>
          <w:tcPr>
            <w:tcW w:w="4253" w:type="dxa"/>
          </w:tcPr>
          <w:p w:rsidR="00BC598C" w:rsidRPr="00EC0357" w:rsidRDefault="00BC598C" w:rsidP="00D65550">
            <w:pPr>
              <w:pStyle w:val="SingleTxtG"/>
              <w:ind w:left="0" w:right="57"/>
              <w:jc w:val="left"/>
              <w:rPr>
                <w:lang w:val="fr-FR"/>
              </w:rPr>
            </w:pPr>
            <w:r w:rsidRPr="00EC0357">
              <w:rPr>
                <w:lang w:val="fr-FR"/>
              </w:rPr>
              <w:t>Essai sur un matériau non métallique</w:t>
            </w:r>
            <w:r>
              <w:rPr>
                <w:lang w:val="fr-FR"/>
              </w:rPr>
              <w:t xml:space="preserve"> </w:t>
            </w:r>
            <w:r w:rsidRPr="00EC0357">
              <w:rPr>
                <w:lang w:val="fr-FR"/>
              </w:rPr>
              <w:t>à l</w:t>
            </w:r>
            <w:r>
              <w:rPr>
                <w:lang w:val="fr-FR"/>
              </w:rPr>
              <w:t>’</w:t>
            </w:r>
            <w:r w:rsidRPr="00EC0357">
              <w:rPr>
                <w:lang w:val="fr-FR"/>
              </w:rPr>
              <w:t>intérieur d</w:t>
            </w:r>
            <w:r>
              <w:rPr>
                <w:lang w:val="fr-FR"/>
              </w:rPr>
              <w:t>’</w:t>
            </w:r>
            <w:r w:rsidRPr="00EC0357">
              <w:rPr>
                <w:lang w:val="fr-FR"/>
              </w:rPr>
              <w:t>un réservoir</w:t>
            </w:r>
          </w:p>
        </w:tc>
        <w:tc>
          <w:tcPr>
            <w:tcW w:w="2126" w:type="dxa"/>
          </w:tcPr>
          <w:p w:rsidR="00BC598C" w:rsidRPr="00974A6A" w:rsidRDefault="00BC598C" w:rsidP="00D65550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</w:t>
            </w:r>
            <w:r>
              <w:rPr>
                <w:lang w:val="fr-FR"/>
              </w:rPr>
              <w:t>6</w:t>
            </w:r>
            <w:r w:rsidRPr="00EC0357">
              <w:rPr>
                <w:lang w:val="fr-FR"/>
              </w:rPr>
              <w:t>, par. 18**</w:t>
            </w:r>
            <w:r>
              <w:rPr>
                <w:lang w:val="fr-FR"/>
              </w:rPr>
              <w:t>. </w:t>
            </w:r>
            <w:r w:rsidRPr="00974A6A">
              <w:rPr>
                <w:lang w:val="fr-FR"/>
              </w:rPr>
              <w:t>»</w:t>
            </w:r>
            <w:r>
              <w:rPr>
                <w:lang w:val="fr-FR"/>
              </w:rPr>
              <w:t>.</w:t>
            </w:r>
          </w:p>
          <w:p w:rsidR="00BC598C" w:rsidRPr="00EC0357" w:rsidRDefault="00BC598C" w:rsidP="00D65550">
            <w:pPr>
              <w:pStyle w:val="SingleTxtG"/>
              <w:ind w:left="0" w:right="57"/>
              <w:rPr>
                <w:lang w:val="fr-FR"/>
              </w:rPr>
            </w:pPr>
          </w:p>
        </w:tc>
      </w:tr>
    </w:tbl>
    <w:p w:rsidR="00BC598C" w:rsidRPr="00D012A9" w:rsidRDefault="00BC598C" w:rsidP="00BC598C">
      <w:pPr>
        <w:pStyle w:val="SingleTxtG"/>
        <w:spacing w:before="120"/>
        <w:rPr>
          <w:b/>
          <w:bCs/>
          <w:iCs/>
          <w:lang w:val="fr-FR"/>
        </w:rPr>
      </w:pPr>
      <w:r w:rsidRPr="00D012A9">
        <w:rPr>
          <w:i/>
          <w:lang w:val="fr-FR"/>
        </w:rPr>
        <w:t>Annexe 1</w:t>
      </w:r>
      <w:r>
        <w:rPr>
          <w:i/>
          <w:lang w:val="fr-FR"/>
        </w:rPr>
        <w:t>6</w:t>
      </w:r>
      <w:r w:rsidRPr="00D012A9">
        <w:rPr>
          <w:i/>
          <w:lang w:val="fr-FR"/>
        </w:rPr>
        <w:t>, ajouter les nouveaux paragraphes 18 à 18.3.2</w:t>
      </w:r>
      <w:r w:rsidRPr="00974A6A">
        <w:rPr>
          <w:lang w:val="fr-FR"/>
        </w:rPr>
        <w:t>,</w:t>
      </w:r>
      <w:r w:rsidRPr="00D012A9">
        <w:rPr>
          <w:iCs/>
          <w:lang w:val="fr-FR"/>
        </w:rPr>
        <w:t xml:space="preserve"> </w:t>
      </w:r>
      <w:r>
        <w:rPr>
          <w:iCs/>
          <w:lang w:val="fr-FR"/>
        </w:rPr>
        <w:t>libellés comme suit </w:t>
      </w:r>
      <w:r w:rsidRPr="00D012A9">
        <w:rPr>
          <w:iCs/>
          <w:lang w:val="fr-FR"/>
        </w:rPr>
        <w:t>:</w:t>
      </w:r>
    </w:p>
    <w:p w:rsidR="00BC598C" w:rsidRPr="00341EDC" w:rsidRDefault="00BC598C" w:rsidP="00BC598C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341EDC">
        <w:rPr>
          <w:iCs/>
          <w:lang w:val="fr-FR"/>
        </w:rPr>
        <w:t>18.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Essai sur un matériau non métallique à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intérieur d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un réservoir</w:t>
      </w:r>
    </w:p>
    <w:p w:rsidR="00BC598C" w:rsidRPr="00341EDC" w:rsidRDefault="00BC598C" w:rsidP="00BC598C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Tous les composants raccordant la soupape de surpression et/ou le dispositif de surpression à la phase gazeuse du réservoir de GPL doivent être éprouvés conformément à la procédure suivante.</w:t>
      </w:r>
    </w:p>
    <w:p w:rsidR="00BC598C" w:rsidRPr="00341EDC" w:rsidRDefault="00BC598C" w:rsidP="00BC598C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 xml:space="preserve">Les essais seront effectués sur deux échantillons, </w:t>
      </w:r>
      <w:r w:rsidRPr="00341EDC">
        <w:t>“</w:t>
      </w:r>
      <w:r w:rsidRPr="00341EDC">
        <w:rPr>
          <w:lang w:val="fr-FR"/>
        </w:rPr>
        <w:t>a</w:t>
      </w:r>
      <w:r w:rsidRPr="00341EDC">
        <w:t>”</w:t>
      </w:r>
      <w:r w:rsidRPr="00341EDC">
        <w:rPr>
          <w:lang w:val="fr-FR"/>
        </w:rPr>
        <w:t xml:space="preserve"> et </w:t>
      </w:r>
      <w:r w:rsidRPr="00341EDC">
        <w:t>“</w:t>
      </w:r>
      <w:r w:rsidRPr="00341EDC">
        <w:rPr>
          <w:lang w:val="fr-FR"/>
        </w:rPr>
        <w:t>b</w:t>
      </w:r>
      <w:r w:rsidRPr="00341EDC">
        <w:t>”</w:t>
      </w:r>
      <w:r w:rsidRPr="00341EDC">
        <w:rPr>
          <w:lang w:val="fr-FR"/>
        </w:rPr>
        <w:t> :</w:t>
      </w:r>
    </w:p>
    <w:p w:rsidR="00BC598C" w:rsidRPr="00341EDC" w:rsidRDefault="00BC598C" w:rsidP="00BC598C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L</w:t>
      </w:r>
      <w:r>
        <w:rPr>
          <w:lang w:val="fr-FR"/>
        </w:rPr>
        <w:t>’</w:t>
      </w:r>
      <w:r w:rsidRPr="00341EDC">
        <w:rPr>
          <w:lang w:val="fr-FR"/>
        </w:rPr>
        <w:t xml:space="preserve">échantillon </w:t>
      </w:r>
      <w:r w:rsidRPr="00341EDC">
        <w:t>“</w:t>
      </w:r>
      <w:r w:rsidRPr="00341EDC">
        <w:rPr>
          <w:lang w:val="fr-FR"/>
        </w:rPr>
        <w:t>a</w:t>
      </w:r>
      <w:r w:rsidRPr="00341EDC">
        <w:t>”</w:t>
      </w:r>
      <w:r w:rsidRPr="00341EDC">
        <w:rPr>
          <w:lang w:val="fr-FR"/>
        </w:rPr>
        <w:t xml:space="preserve"> est vieilli conformément au paragraphe 18.1.1 ou 18.1.2</w:t>
      </w:r>
      <w:r>
        <w:rPr>
          <w:lang w:val="fr-FR"/>
        </w:rPr>
        <w:t> ;</w:t>
      </w:r>
    </w:p>
    <w:p w:rsidR="00BC598C" w:rsidRPr="00341EDC" w:rsidRDefault="00BC598C" w:rsidP="00BC598C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L</w:t>
      </w:r>
      <w:r>
        <w:rPr>
          <w:lang w:val="fr-FR"/>
        </w:rPr>
        <w:t>’</w:t>
      </w:r>
      <w:r w:rsidRPr="00341EDC">
        <w:rPr>
          <w:lang w:val="fr-FR"/>
        </w:rPr>
        <w:t xml:space="preserve">échantillon vieilli </w:t>
      </w:r>
      <w:r w:rsidRPr="00341EDC">
        <w:t>“</w:t>
      </w:r>
      <w:r w:rsidRPr="00341EDC">
        <w:rPr>
          <w:lang w:val="fr-FR"/>
        </w:rPr>
        <w:t>a</w:t>
      </w:r>
      <w:r w:rsidRPr="00341EDC">
        <w:t>”</w:t>
      </w:r>
      <w:r w:rsidRPr="00341EDC">
        <w:rPr>
          <w:lang w:val="fr-FR"/>
        </w:rPr>
        <w:t xml:space="preserve"> doit subir l</w:t>
      </w:r>
      <w:r>
        <w:rPr>
          <w:lang w:val="fr-FR"/>
        </w:rPr>
        <w:t>’</w:t>
      </w:r>
      <w:r w:rsidRPr="00341EDC">
        <w:rPr>
          <w:lang w:val="fr-FR"/>
        </w:rPr>
        <w:t>essai de vibration conformément au paragraphe 18.2</w:t>
      </w:r>
      <w:r>
        <w:rPr>
          <w:lang w:val="fr-FR"/>
        </w:rPr>
        <w:t> ;</w:t>
      </w:r>
    </w:p>
    <w:p w:rsidR="00BC598C" w:rsidRPr="00341EDC" w:rsidRDefault="00BC598C" w:rsidP="00BC598C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L</w:t>
      </w:r>
      <w:r>
        <w:rPr>
          <w:lang w:val="fr-FR"/>
        </w:rPr>
        <w:t>’</w:t>
      </w:r>
      <w:r w:rsidRPr="00341EDC">
        <w:rPr>
          <w:lang w:val="fr-FR"/>
        </w:rPr>
        <w:t xml:space="preserve">échantillon vierge </w:t>
      </w:r>
      <w:r w:rsidRPr="00341EDC">
        <w:t>“</w:t>
      </w:r>
      <w:r w:rsidRPr="00341EDC">
        <w:rPr>
          <w:lang w:val="fr-FR"/>
        </w:rPr>
        <w:t>b</w:t>
      </w:r>
      <w:r w:rsidRPr="00341EDC">
        <w:t xml:space="preserve">” </w:t>
      </w:r>
      <w:r w:rsidRPr="00341EDC">
        <w:rPr>
          <w:lang w:val="fr-FR"/>
        </w:rPr>
        <w:t>est utilisé comme référence pour l</w:t>
      </w:r>
      <w:r>
        <w:rPr>
          <w:lang w:val="fr-FR"/>
        </w:rPr>
        <w:t>’</w:t>
      </w:r>
      <w:r w:rsidRPr="00341EDC">
        <w:rPr>
          <w:lang w:val="fr-FR"/>
        </w:rPr>
        <w:t>essai de débit conformément au paragraphe 18.3.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</w:t>
      </w:r>
      <w:r w:rsidRPr="00341EDC">
        <w:rPr>
          <w:iCs/>
          <w:lang w:val="fr-FR"/>
        </w:rPr>
        <w:tab/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Essais de vieillissement sur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 xml:space="preserve">échantillon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a</w:t>
      </w:r>
      <w:r w:rsidRPr="00341EDC">
        <w:rPr>
          <w:bCs/>
          <w:iCs/>
        </w:rPr>
        <w:t>”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Procédure de vieillissement 1 (composant démonté)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18.1.1.1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Démonter, selon les instructions du fabricant, tous les matériaux non métalliques du composant en contact avec le GPL liquide.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18.1.1.2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Vieillir les matériaux non métalliques en utilisant la description d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essai du paragraphe 11.1 de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annexe 1</w:t>
      </w:r>
      <w:r>
        <w:rPr>
          <w:bCs/>
          <w:iCs/>
          <w:lang w:val="fr-FR"/>
        </w:rPr>
        <w:t>6</w:t>
      </w:r>
      <w:r w:rsidRPr="00341EDC">
        <w:rPr>
          <w:bCs/>
          <w:iCs/>
          <w:lang w:val="fr-FR"/>
        </w:rPr>
        <w:t>.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18.1.1.3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Vérifier la conformité avec le paragraphe 11.2 de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annexe 1</w:t>
      </w:r>
      <w:r>
        <w:rPr>
          <w:bCs/>
          <w:iCs/>
          <w:lang w:val="fr-FR"/>
        </w:rPr>
        <w:t>6</w:t>
      </w:r>
      <w:r w:rsidRPr="00341EDC">
        <w:rPr>
          <w:bCs/>
          <w:iCs/>
          <w:lang w:val="fr-FR"/>
        </w:rPr>
        <w:t>.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18.1.1.4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Remonter les matériaux non métalliques vieillis sur le composant en suivant les instructions du fabricant.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18.1.2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Procédure de vieillissement 2 (composant entier)</w:t>
      </w:r>
    </w:p>
    <w:p w:rsidR="00BC598C" w:rsidRPr="00EC0357" w:rsidRDefault="00BC598C" w:rsidP="00BC598C">
      <w:pPr>
        <w:pStyle w:val="SingleTxtG"/>
        <w:ind w:left="2268" w:hanging="1134"/>
        <w:rPr>
          <w:lang w:val="fr-FR"/>
        </w:rPr>
      </w:pPr>
      <w:r w:rsidRPr="00341EDC">
        <w:rPr>
          <w:iCs/>
          <w:lang w:val="fr-FR"/>
        </w:rPr>
        <w:t>18.1.2.1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 xml:space="preserve">Exposer le composant entier au n-pentane conformément au paragraphe 11.1 </w:t>
      </w:r>
      <w:r w:rsidRPr="00EC0357">
        <w:rPr>
          <w:lang w:val="fr-FR"/>
        </w:rPr>
        <w:t>de l</w:t>
      </w:r>
      <w:r>
        <w:rPr>
          <w:lang w:val="fr-FR"/>
        </w:rPr>
        <w:t>’</w:t>
      </w:r>
      <w:r w:rsidRPr="00EC0357">
        <w:rPr>
          <w:lang w:val="fr-FR"/>
        </w:rPr>
        <w:t>annexe 1</w:t>
      </w:r>
      <w:r>
        <w:rPr>
          <w:lang w:val="fr-FR"/>
        </w:rPr>
        <w:t>6</w:t>
      </w:r>
      <w:r w:rsidRPr="00EC0357">
        <w:rPr>
          <w:lang w:val="fr-FR"/>
        </w:rPr>
        <w:t>.</w:t>
      </w:r>
    </w:p>
    <w:p w:rsidR="00BC598C" w:rsidRPr="00EC0357" w:rsidRDefault="00BC598C" w:rsidP="00BC598C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18.1.2.2</w:t>
      </w:r>
      <w:r w:rsidRPr="00EC0357">
        <w:rPr>
          <w:lang w:val="fr-FR"/>
        </w:rPr>
        <w:tab/>
        <w:t>Vérifier la conformité avec le paragraphe 11.2 de l</w:t>
      </w:r>
      <w:r>
        <w:rPr>
          <w:lang w:val="fr-FR"/>
        </w:rPr>
        <w:t>’</w:t>
      </w:r>
      <w:r w:rsidRPr="00EC0357">
        <w:rPr>
          <w:lang w:val="fr-FR"/>
        </w:rPr>
        <w:t>annexe 1</w:t>
      </w:r>
      <w:r>
        <w:rPr>
          <w:lang w:val="fr-FR"/>
        </w:rPr>
        <w:t>6</w:t>
      </w:r>
      <w:r w:rsidRPr="00EC0357">
        <w:rPr>
          <w:lang w:val="fr-FR"/>
        </w:rPr>
        <w:t>.</w:t>
      </w:r>
    </w:p>
    <w:p w:rsidR="00BC598C" w:rsidRPr="00EC0357" w:rsidRDefault="00BC598C" w:rsidP="00BC598C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18.2</w:t>
      </w:r>
      <w:r w:rsidRPr="00EC0357">
        <w:rPr>
          <w:lang w:val="fr-FR"/>
        </w:rPr>
        <w:tab/>
        <w:t>Essai de vibration sur un échantillon vieilli “a”</w:t>
      </w:r>
    </w:p>
    <w:p w:rsidR="00BC598C" w:rsidRPr="00341EDC" w:rsidRDefault="00BC598C" w:rsidP="00BC598C">
      <w:pPr>
        <w:pStyle w:val="SingleTxtG"/>
        <w:ind w:left="2268" w:hanging="1134"/>
        <w:rPr>
          <w:bCs/>
          <w:iCs/>
        </w:rPr>
      </w:pPr>
      <w:r w:rsidRPr="00EC0357">
        <w:rPr>
          <w:lang w:val="fr-FR"/>
        </w:rPr>
        <w:t>18.2.1</w:t>
      </w:r>
      <w:r w:rsidRPr="00EC0357">
        <w:rPr>
          <w:lang w:val="fr-FR"/>
        </w:rPr>
        <w:tab/>
        <w:t>Effectuer sur l</w:t>
      </w:r>
      <w:r>
        <w:rPr>
          <w:lang w:val="fr-FR"/>
        </w:rPr>
        <w:t>’</w:t>
      </w:r>
      <w:r w:rsidRPr="00EC0357">
        <w:rPr>
          <w:lang w:val="fr-FR"/>
        </w:rPr>
        <w:t>échantillon vieilli l</w:t>
      </w:r>
      <w:r>
        <w:rPr>
          <w:lang w:val="fr-FR"/>
        </w:rPr>
        <w:t>’</w:t>
      </w:r>
      <w:r w:rsidRPr="00EC0357">
        <w:rPr>
          <w:lang w:val="fr-FR"/>
        </w:rPr>
        <w:t>essai de vibration décrit au paragraphe 10.5 de l</w:t>
      </w:r>
      <w:r>
        <w:rPr>
          <w:lang w:val="fr-FR"/>
        </w:rPr>
        <w:t>’</w:t>
      </w:r>
      <w:r w:rsidRPr="00EC0357">
        <w:rPr>
          <w:lang w:val="fr-FR"/>
        </w:rPr>
        <w:t>annexe 1</w:t>
      </w:r>
      <w:r>
        <w:rPr>
          <w:lang w:val="fr-FR"/>
        </w:rPr>
        <w:t>6</w:t>
      </w:r>
      <w:r w:rsidRPr="00EC0357">
        <w:rPr>
          <w:lang w:val="fr-FR"/>
        </w:rPr>
        <w:t>, procédure A ou</w:t>
      </w:r>
      <w:r w:rsidRPr="00341EDC">
        <w:rPr>
          <w:bCs/>
          <w:iCs/>
          <w:lang w:val="fr-FR"/>
        </w:rPr>
        <w:t xml:space="preserve"> B.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échantillon doit satisfaire aux prescriptions d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essai énoncées au paragraphe 10.5 de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annexe 1</w:t>
      </w:r>
      <w:r>
        <w:rPr>
          <w:bCs/>
          <w:iCs/>
          <w:lang w:val="fr-FR"/>
        </w:rPr>
        <w:t>6</w:t>
      </w:r>
      <w:r w:rsidRPr="00341EDC">
        <w:rPr>
          <w:bCs/>
          <w:iCs/>
          <w:lang w:val="fr-FR"/>
        </w:rPr>
        <w:t>, procédure A ou B.</w:t>
      </w:r>
    </w:p>
    <w:p w:rsidR="00BC598C" w:rsidRPr="00EC0357" w:rsidRDefault="00BC598C" w:rsidP="00BC598C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18.3</w:t>
      </w:r>
      <w:r w:rsidRPr="00EC0357">
        <w:rPr>
          <w:lang w:val="fr-FR"/>
        </w:rPr>
        <w:tab/>
        <w:t>Essai de débit avec un réservoir fictif pour comparer l</w:t>
      </w:r>
      <w:r>
        <w:rPr>
          <w:lang w:val="fr-FR"/>
        </w:rPr>
        <w:t>’</w:t>
      </w:r>
      <w:r w:rsidRPr="00EC0357">
        <w:rPr>
          <w:lang w:val="fr-FR"/>
        </w:rPr>
        <w:t>échantillon “a” et l</w:t>
      </w:r>
      <w:r>
        <w:rPr>
          <w:lang w:val="fr-FR"/>
        </w:rPr>
        <w:t>’</w:t>
      </w:r>
      <w:r w:rsidRPr="00EC0357">
        <w:rPr>
          <w:lang w:val="fr-FR"/>
        </w:rPr>
        <w:t>échantillon de référence “b”.</w:t>
      </w:r>
    </w:p>
    <w:p w:rsidR="00BC598C" w:rsidRPr="00EC0357" w:rsidRDefault="00BC598C" w:rsidP="00BC598C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18.3.1</w:t>
      </w:r>
      <w:r w:rsidRPr="00EC0357">
        <w:rPr>
          <w:lang w:val="fr-FR"/>
        </w:rPr>
        <w:tab/>
        <w:t>Effectuer pour les deux échantillons l</w:t>
      </w:r>
      <w:r>
        <w:rPr>
          <w:lang w:val="fr-FR"/>
        </w:rPr>
        <w:t>’</w:t>
      </w:r>
      <w:r w:rsidRPr="00EC0357">
        <w:rPr>
          <w:lang w:val="fr-FR"/>
        </w:rPr>
        <w:t>essai de débit conformément au paragraphe 6.15.8.3 du présent Règlement.</w:t>
      </w:r>
    </w:p>
    <w:p w:rsidR="00BC598C" w:rsidRPr="00EC0357" w:rsidRDefault="00BC598C" w:rsidP="00BC598C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18.3.2</w:t>
      </w:r>
      <w:r w:rsidRPr="00EC0357">
        <w:rPr>
          <w:lang w:val="fr-FR"/>
        </w:rPr>
        <w:tab/>
        <w:t>Prescriptions :</w:t>
      </w:r>
    </w:p>
    <w:p w:rsidR="00BC598C" w:rsidRPr="00341EDC" w:rsidRDefault="00BC598C" w:rsidP="00BC598C">
      <w:pPr>
        <w:pStyle w:val="SingleTxtG"/>
        <w:ind w:left="2268"/>
        <w:rPr>
          <w:bCs/>
          <w:iCs/>
        </w:rPr>
      </w:pPr>
      <w:r w:rsidRPr="00341EDC">
        <w:rPr>
          <w:bCs/>
          <w:iCs/>
          <w:lang w:val="fr-FR"/>
        </w:rPr>
        <w:t xml:space="preserve">Les échantillons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a</w:t>
      </w:r>
      <w:r w:rsidRPr="00341EDC">
        <w:rPr>
          <w:bCs/>
          <w:iCs/>
        </w:rPr>
        <w:t>”</w:t>
      </w:r>
      <w:r w:rsidRPr="00341EDC">
        <w:rPr>
          <w:bCs/>
          <w:iCs/>
          <w:lang w:val="fr-FR"/>
        </w:rPr>
        <w:t xml:space="preserve"> et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b</w:t>
      </w:r>
      <w:r w:rsidRPr="00341EDC">
        <w:rPr>
          <w:bCs/>
          <w:iCs/>
        </w:rPr>
        <w:t xml:space="preserve">” </w:t>
      </w:r>
      <w:r w:rsidRPr="00341EDC">
        <w:rPr>
          <w:bCs/>
          <w:iCs/>
          <w:lang w:val="fr-FR"/>
        </w:rPr>
        <w:t>vieillis et non vieillis doivent satisfaire aux prescriptions en matière de débit énoncées au paragraphe 6.15.8.3 du présent Règlement.</w:t>
      </w:r>
    </w:p>
    <w:p w:rsidR="005F0207" w:rsidRDefault="00BC598C" w:rsidP="00BC598C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ab/>
      </w:r>
      <w:r w:rsidRPr="002E37F7">
        <w:rPr>
          <w:bCs/>
          <w:lang w:val="fr-FR"/>
        </w:rPr>
        <w:t>Le</w:t>
      </w:r>
      <w:r w:rsidRPr="00341EDC">
        <w:rPr>
          <w:lang w:val="fr-FR"/>
        </w:rPr>
        <w:t xml:space="preserve"> matériau non métallique des échantillons </w:t>
      </w:r>
      <w:r w:rsidRPr="00341EDC">
        <w:rPr>
          <w:bCs/>
        </w:rPr>
        <w:t>“</w:t>
      </w:r>
      <w:r w:rsidRPr="00341EDC">
        <w:rPr>
          <w:bCs/>
          <w:lang w:val="fr-FR"/>
        </w:rPr>
        <w:t>a</w:t>
      </w:r>
      <w:r w:rsidRPr="00341EDC">
        <w:rPr>
          <w:bCs/>
        </w:rPr>
        <w:t>”</w:t>
      </w:r>
      <w:r w:rsidRPr="00341EDC">
        <w:rPr>
          <w:bCs/>
          <w:lang w:val="fr-FR"/>
        </w:rPr>
        <w:t xml:space="preserve"> et </w:t>
      </w:r>
      <w:r w:rsidRPr="00341EDC">
        <w:rPr>
          <w:bCs/>
        </w:rPr>
        <w:t>“</w:t>
      </w:r>
      <w:r w:rsidRPr="00341EDC">
        <w:rPr>
          <w:bCs/>
          <w:lang w:val="fr-FR"/>
        </w:rPr>
        <w:t>b</w:t>
      </w:r>
      <w:r w:rsidRPr="00341EDC">
        <w:rPr>
          <w:bCs/>
        </w:rPr>
        <w:t xml:space="preserve">” </w:t>
      </w:r>
      <w:r w:rsidRPr="00341EDC">
        <w:rPr>
          <w:lang w:val="fr-FR"/>
        </w:rPr>
        <w:t>ne doit présenter aucune fissure</w:t>
      </w:r>
      <w:r>
        <w:rPr>
          <w:lang w:val="fr-FR"/>
        </w:rPr>
        <w:t xml:space="preserve"> ou </w:t>
      </w:r>
      <w:r w:rsidRPr="00341EDC">
        <w:rPr>
          <w:lang w:val="fr-FR"/>
        </w:rPr>
        <w:t xml:space="preserve">déformation </w:t>
      </w:r>
      <w:r>
        <w:rPr>
          <w:lang w:val="fr-FR"/>
        </w:rPr>
        <w:t xml:space="preserve">ni aucun </w:t>
      </w:r>
      <w:r w:rsidRPr="00341EDC">
        <w:rPr>
          <w:lang w:val="fr-FR"/>
        </w:rPr>
        <w:t>dommage visuel. ».</w:t>
      </w:r>
    </w:p>
    <w:p w:rsidR="00BC598C" w:rsidRPr="00BC598C" w:rsidRDefault="00BC598C" w:rsidP="00BC59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598C" w:rsidRPr="00BC598C" w:rsidSect="00717E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4D" w:rsidRDefault="0079594D"/>
  </w:endnote>
  <w:endnote w:type="continuationSeparator" w:id="0">
    <w:p w:rsidR="0079594D" w:rsidRDefault="0079594D">
      <w:pPr>
        <w:pStyle w:val="Pieddepage"/>
      </w:pPr>
    </w:p>
  </w:endnote>
  <w:endnote w:type="continuationNotice" w:id="1">
    <w:p w:rsidR="0079594D" w:rsidRPr="00C451B9" w:rsidRDefault="0079594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94" w:rsidRPr="00717E94" w:rsidRDefault="00717E94" w:rsidP="00717E94">
    <w:pPr>
      <w:pStyle w:val="Pieddepage"/>
      <w:tabs>
        <w:tab w:val="right" w:pos="9638"/>
      </w:tabs>
    </w:pPr>
    <w:r w:rsidRPr="00717E94">
      <w:rPr>
        <w:b/>
        <w:sz w:val="18"/>
      </w:rPr>
      <w:fldChar w:fldCharType="begin"/>
    </w:r>
    <w:r w:rsidRPr="00717E94">
      <w:rPr>
        <w:b/>
        <w:sz w:val="18"/>
      </w:rPr>
      <w:instrText xml:space="preserve"> PAGE  \* MERGEFORMAT </w:instrText>
    </w:r>
    <w:r w:rsidRPr="00717E94">
      <w:rPr>
        <w:b/>
        <w:sz w:val="18"/>
      </w:rPr>
      <w:fldChar w:fldCharType="separate"/>
    </w:r>
    <w:r w:rsidRPr="00717E94">
      <w:rPr>
        <w:b/>
        <w:noProof/>
        <w:sz w:val="18"/>
      </w:rPr>
      <w:t>2</w:t>
    </w:r>
    <w:r w:rsidRPr="00717E94">
      <w:rPr>
        <w:b/>
        <w:sz w:val="18"/>
      </w:rPr>
      <w:fldChar w:fldCharType="end"/>
    </w:r>
    <w:r>
      <w:rPr>
        <w:b/>
        <w:sz w:val="18"/>
      </w:rPr>
      <w:tab/>
    </w:r>
    <w:r>
      <w:t>GE.20-08735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94" w:rsidRPr="00717E94" w:rsidRDefault="00717E94" w:rsidP="00717E94">
    <w:pPr>
      <w:pStyle w:val="Pieddepage"/>
      <w:tabs>
        <w:tab w:val="right" w:pos="9638"/>
      </w:tabs>
      <w:rPr>
        <w:b/>
        <w:sz w:val="18"/>
      </w:rPr>
    </w:pPr>
    <w:r>
      <w:t>GE.20-08735</w:t>
    </w:r>
    <w:r>
      <w:tab/>
    </w:r>
    <w:r w:rsidRPr="00717E94">
      <w:rPr>
        <w:b/>
        <w:sz w:val="18"/>
      </w:rPr>
      <w:fldChar w:fldCharType="begin"/>
    </w:r>
    <w:r w:rsidRPr="00717E94">
      <w:rPr>
        <w:b/>
        <w:sz w:val="18"/>
      </w:rPr>
      <w:instrText xml:space="preserve"> PAGE  \* MERGEFORMAT </w:instrText>
    </w:r>
    <w:r w:rsidRPr="00717E94">
      <w:rPr>
        <w:b/>
        <w:sz w:val="18"/>
      </w:rPr>
      <w:fldChar w:fldCharType="separate"/>
    </w:r>
    <w:r w:rsidRPr="00717E94">
      <w:rPr>
        <w:b/>
        <w:noProof/>
        <w:sz w:val="18"/>
      </w:rPr>
      <w:t>3</w:t>
    </w:r>
    <w:r w:rsidRPr="00717E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17E94" w:rsidRDefault="00717E94" w:rsidP="00717E94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20-08735  (F)</w:t>
    </w:r>
    <w:r w:rsidR="0064247E">
      <w:rPr>
        <w:sz w:val="20"/>
      </w:rPr>
      <w:t xml:space="preserve">    </w:t>
    </w:r>
    <w:r w:rsidR="00BC598C">
      <w:rPr>
        <w:sz w:val="20"/>
      </w:rPr>
      <w:t>061120    061120</w:t>
    </w:r>
    <w:r>
      <w:rPr>
        <w:sz w:val="20"/>
      </w:rPr>
      <w:br/>
    </w:r>
    <w:r w:rsidRPr="00717E94">
      <w:rPr>
        <w:rFonts w:ascii="C39T30Lfz" w:hAnsi="C39T30Lfz"/>
        <w:sz w:val="56"/>
      </w:rPr>
      <w:t>*2008735*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4D" w:rsidRPr="00D27D5E" w:rsidRDefault="0079594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594D" w:rsidRPr="00D171D4" w:rsidRDefault="0079594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9594D" w:rsidRPr="00C451B9" w:rsidRDefault="0079594D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717E94">
        <w:tab/>
      </w:r>
      <w:r w:rsidRPr="00717E94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94" w:rsidRPr="00717E94" w:rsidRDefault="00717E94">
    <w:pPr>
      <w:pStyle w:val="En-tte"/>
      <w:rPr>
        <w:lang w:val="en-US"/>
      </w:rPr>
    </w:pPr>
    <w:r>
      <w:fldChar w:fldCharType="begin"/>
    </w:r>
    <w:r w:rsidRPr="00717E94">
      <w:rPr>
        <w:lang w:val="en-US"/>
      </w:rPr>
      <w:instrText xml:space="preserve"> TITLE  \* MERGEFORMAT </w:instrText>
    </w:r>
    <w:r>
      <w:fldChar w:fldCharType="separate"/>
    </w:r>
    <w:r w:rsidRPr="00717E94">
      <w:rPr>
        <w:lang w:val="en-US"/>
      </w:rPr>
      <w:t>E/ECE/324/Rev.1/Add.66/Rev.5/Amend.2</w:t>
    </w:r>
    <w:r>
      <w:fldChar w:fldCharType="end"/>
    </w:r>
    <w:r w:rsidRPr="00717E94">
      <w:rPr>
        <w:lang w:val="en-US"/>
      </w:rPr>
      <w:br/>
    </w:r>
    <w:r>
      <w:fldChar w:fldCharType="begin"/>
    </w:r>
    <w:r w:rsidRPr="00717E94">
      <w:rPr>
        <w:lang w:val="en-US"/>
      </w:rPr>
      <w:instrText xml:space="preserve"> KEYWORDS  \* MERGEFORMAT </w:instrText>
    </w:r>
    <w:r>
      <w:fldChar w:fldCharType="separate"/>
    </w:r>
    <w:r w:rsidRPr="00717E94">
      <w:rPr>
        <w:lang w:val="en-US"/>
      </w:rPr>
      <w:t>E/ECE/TRANS/505/Rev.1/Add.66/Rev.5/Amend.2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94" w:rsidRPr="00717E94" w:rsidRDefault="00717E94" w:rsidP="00717E94">
    <w:pPr>
      <w:pStyle w:val="En-tte"/>
      <w:jc w:val="right"/>
      <w:rPr>
        <w:lang w:val="en-US"/>
      </w:rPr>
    </w:pPr>
    <w:r>
      <w:fldChar w:fldCharType="begin"/>
    </w:r>
    <w:r w:rsidRPr="00717E94">
      <w:rPr>
        <w:lang w:val="en-US"/>
      </w:rPr>
      <w:instrText xml:space="preserve"> TITLE  \* MERGEFORMAT </w:instrText>
    </w:r>
    <w:r>
      <w:fldChar w:fldCharType="separate"/>
    </w:r>
    <w:r w:rsidRPr="00717E94">
      <w:rPr>
        <w:lang w:val="en-US"/>
      </w:rPr>
      <w:t>E/ECE/324/Rev.1/Add.66/Rev.5/Amend.2</w:t>
    </w:r>
    <w:r>
      <w:fldChar w:fldCharType="end"/>
    </w:r>
    <w:r w:rsidRPr="00717E94">
      <w:rPr>
        <w:lang w:val="en-US"/>
      </w:rPr>
      <w:br/>
    </w:r>
    <w:r>
      <w:fldChar w:fldCharType="begin"/>
    </w:r>
    <w:r w:rsidRPr="00717E94">
      <w:rPr>
        <w:lang w:val="en-US"/>
      </w:rPr>
      <w:instrText xml:space="preserve"> KEYWORDS  \* MERGEFORMAT </w:instrText>
    </w:r>
    <w:r>
      <w:fldChar w:fldCharType="separate"/>
    </w:r>
    <w:r w:rsidRPr="00717E94">
      <w:rPr>
        <w:lang w:val="en-US"/>
      </w:rPr>
      <w:t>E/ECE/TRANS/505/Rev.1/Add.66/Rev.5/Amend.2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94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2DB8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247E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17E94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594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0E4D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0CAD"/>
    <w:rsid w:val="00BC3F20"/>
    <w:rsid w:val="00BC598C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A3D14E"/>
  <w15:docId w15:val="{8735C710-DA2A-4633-B1E6-524F94AC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08F3A-D1C7-4A59-B02D-DC8C6E6F49A2}"/>
</file>

<file path=customXml/itemProps2.xml><?xml version="1.0" encoding="utf-8"?>
<ds:datastoreItem xmlns:ds="http://schemas.openxmlformats.org/officeDocument/2006/customXml" ds:itemID="{F289730F-F8D9-4442-BC2D-07817A0F0522}"/>
</file>

<file path=customXml/itemProps3.xml><?xml version="1.0" encoding="utf-8"?>
<ds:datastoreItem xmlns:ds="http://schemas.openxmlformats.org/officeDocument/2006/customXml" ds:itemID="{E44402C2-6FD7-4F7A-BA4D-755AF11F6BB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668</Words>
  <Characters>4348</Characters>
  <Application>Microsoft Office Word</Application>
  <DocSecurity>0</DocSecurity>
  <Lines>434</Lines>
  <Paragraphs>295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E/ECE/324/Rev.1/Add.66/Rev.5/Amend.2</vt:lpstr>
    </vt:vector>
  </TitlesOfParts>
  <Company>CSD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E/ECE/324/Rev.1/Add.66/Rev.5/Amend.2</dc:title>
  <dc:creator>Corinne ROBERT</dc:creator>
  <cp:keywords>E/ECE/TRANS/505/Rev.1/Add.66/Rev.5/Amend.2</cp:keywords>
  <cp:lastModifiedBy>Corinne ROBERT</cp:lastModifiedBy>
  <cp:revision>2</cp:revision>
  <cp:lastPrinted>2008-11-04T15:54:00Z</cp:lastPrinted>
  <dcterms:created xsi:type="dcterms:W3CDTF">2020-11-06T11:42:00Z</dcterms:created>
  <dcterms:modified xsi:type="dcterms:W3CDTF">2020-11-06T11:42:00Z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