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0B5CE5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564E" w:rsidRPr="00F0564E" w:rsidRDefault="00F0564E" w:rsidP="00F0564E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F0564E">
              <w:rPr>
                <w:sz w:val="40"/>
                <w:lang w:val="en-US"/>
              </w:rPr>
              <w:t>E</w:t>
            </w:r>
            <w:r w:rsidRPr="00F0564E">
              <w:rPr>
                <w:lang w:val="en-US"/>
              </w:rPr>
              <w:t>/ECE/324/Rev.1/Add.64/Rev.2/Amend.3−</w:t>
            </w:r>
            <w:r w:rsidRPr="00F0564E">
              <w:rPr>
                <w:sz w:val="40"/>
                <w:lang w:val="en-US"/>
              </w:rPr>
              <w:t>E</w:t>
            </w:r>
            <w:r w:rsidRPr="00F0564E">
              <w:rPr>
                <w:lang w:val="en-US"/>
              </w:rPr>
              <w:t>/ECE/TRANS/505/Rev.1/Add.64/Rev.2/Amend.3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F0564E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F0564E" w:rsidP="00A27C92">
            <w:pPr>
              <w:spacing w:before="480" w:line="240" w:lineRule="exact"/>
            </w:pPr>
            <w:r>
              <w:t>6 décembre 2017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</w:t>
      </w:r>
      <w:r w:rsidR="00170708">
        <w:t>’</w:t>
      </w:r>
      <w:r w:rsidR="00421A10" w:rsidRPr="00583D68">
        <w:t xml:space="preserve">adoption </w:t>
      </w:r>
      <w:r w:rsidR="00F0564E" w:rsidRPr="008426FA">
        <w:rPr>
          <w:lang w:val="fr-FR"/>
        </w:rPr>
        <w:t>de Règlements techniques harmonisés de l</w:t>
      </w:r>
      <w:r w:rsidR="00170708">
        <w:rPr>
          <w:lang w:val="fr-FR"/>
        </w:rPr>
        <w:t>’</w:t>
      </w:r>
      <w:r w:rsidR="00F0564E" w:rsidRPr="008426FA">
        <w:rPr>
          <w:lang w:val="fr-FR"/>
        </w:rPr>
        <w:t>ONU applicables aux véhicules à roues et aux équipements et pièces susceptibles d</w:t>
      </w:r>
      <w:r w:rsidR="00170708">
        <w:rPr>
          <w:lang w:val="fr-FR"/>
        </w:rPr>
        <w:t>’</w:t>
      </w:r>
      <w:r w:rsidR="00F0564E" w:rsidRPr="008426FA">
        <w:rPr>
          <w:lang w:val="fr-FR"/>
        </w:rPr>
        <w:t>être montés ou utilisés sur les véhicules à roues et les conditions de reconnaissance réciproque des homologations délivrées conformément à ces Règlements</w:t>
      </w:r>
      <w:r w:rsidR="00F0564E" w:rsidRPr="00F0564E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421A10" w:rsidRPr="00A12483" w:rsidRDefault="00F0564E" w:rsidP="0029791D">
      <w:pPr>
        <w:pStyle w:val="SingleTxtG"/>
        <w:jc w:val="left"/>
        <w:rPr>
          <w:b/>
          <w:sz w:val="24"/>
          <w:szCs w:val="24"/>
        </w:rPr>
      </w:pPr>
      <w:r>
        <w:t>(Révision 3</w:t>
      </w:r>
      <w:r w:rsidR="00421A10" w:rsidRPr="006549FF">
        <w:t>, comprenant les amen</w:t>
      </w:r>
      <w:r>
        <w:t>dements entrés en vigueur le 14</w:t>
      </w:r>
      <w:r w:rsidR="00421A10">
        <w:t xml:space="preserve"> </w:t>
      </w:r>
      <w:r>
        <w:t>septembre 2017</w:t>
      </w:r>
      <w:r w:rsidR="00421A10" w:rsidRPr="006549FF">
        <w:t>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F0564E">
        <w:t>64 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F0564E">
        <w:t>65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F0564E">
        <w:rPr>
          <w:lang w:val="fr-FR"/>
        </w:rPr>
        <w:t>2 −</w:t>
      </w:r>
      <w:r w:rsidR="00F0564E" w:rsidRPr="00FD5ABE">
        <w:rPr>
          <w:lang w:val="fr-FR"/>
        </w:rPr>
        <w:t xml:space="preserve"> Amend</w:t>
      </w:r>
      <w:r w:rsidR="00F0564E">
        <w:rPr>
          <w:lang w:val="fr-FR"/>
        </w:rPr>
        <w:t>e</w:t>
      </w:r>
      <w:r w:rsidR="00F0564E" w:rsidRPr="00FD5ABE">
        <w:rPr>
          <w:lang w:val="fr-FR"/>
        </w:rPr>
        <w:t>ment 3</w:t>
      </w:r>
    </w:p>
    <w:p w:rsidR="00421A10" w:rsidRPr="00795746" w:rsidRDefault="00F0564E" w:rsidP="0011170F">
      <w:pPr>
        <w:pStyle w:val="SingleTxtG"/>
        <w:spacing w:after="0"/>
        <w:jc w:val="left"/>
      </w:pPr>
      <w:r w:rsidRPr="00795746">
        <w:rPr>
          <w:lang w:val="fr-FR"/>
        </w:rPr>
        <w:t>Complément 10 à la version originale du Règlement – Date d</w:t>
      </w:r>
      <w:r w:rsidR="00170708" w:rsidRPr="00795746">
        <w:rPr>
          <w:lang w:val="fr-FR"/>
        </w:rPr>
        <w:t>’</w:t>
      </w:r>
      <w:r w:rsidRPr="00795746">
        <w:rPr>
          <w:lang w:val="fr-FR"/>
        </w:rPr>
        <w:t>entrée en vigueur</w:t>
      </w:r>
      <w:r w:rsidR="00170708" w:rsidRPr="00795746">
        <w:rPr>
          <w:lang w:val="fr-FR"/>
        </w:rPr>
        <w:t> </w:t>
      </w:r>
      <w:r w:rsidRPr="00795746">
        <w:rPr>
          <w:lang w:val="fr-FR"/>
        </w:rPr>
        <w:t xml:space="preserve">: </w:t>
      </w:r>
      <w:r w:rsidR="0011170F" w:rsidRPr="00795746">
        <w:rPr>
          <w:lang w:val="fr-FR"/>
        </w:rPr>
        <w:br/>
      </w:r>
      <w:r w:rsidRPr="00795746">
        <w:rPr>
          <w:lang w:val="fr-FR"/>
        </w:rPr>
        <w:t>10 octobre 2017</w:t>
      </w:r>
    </w:p>
    <w:p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F0564E" w:rsidRPr="008426FA">
        <w:t>à l</w:t>
      </w:r>
      <w:r w:rsidR="00170708">
        <w:t>’</w:t>
      </w:r>
      <w:r w:rsidR="00F0564E" w:rsidRPr="008426FA">
        <w:t>homologation des feux spéciaux d</w:t>
      </w:r>
      <w:r w:rsidR="00170708">
        <w:t>’</w:t>
      </w:r>
      <w:r w:rsidR="00F0564E" w:rsidRPr="008426FA">
        <w:t>avertissement pour véhicules à moteur et leurs remorques</w:t>
      </w:r>
    </w:p>
    <w:p w:rsidR="00F0564E" w:rsidRPr="00795746" w:rsidRDefault="00F0564E" w:rsidP="00795746">
      <w:pPr>
        <w:pStyle w:val="SingleTxtG"/>
        <w:spacing w:after="0"/>
        <w:rPr>
          <w:spacing w:val="-2"/>
        </w:rPr>
      </w:pPr>
      <w:r w:rsidRPr="00795746">
        <w:rPr>
          <w:spacing w:val="-2"/>
          <w:lang w:val="fr-FR"/>
        </w:rPr>
        <w:t>Le présent document est communiqué uniquement à titre d</w:t>
      </w:r>
      <w:r w:rsidR="00170708" w:rsidRPr="00795746">
        <w:rPr>
          <w:spacing w:val="-2"/>
          <w:lang w:val="fr-FR"/>
        </w:rPr>
        <w:t>’</w:t>
      </w:r>
      <w:r w:rsidRPr="00795746">
        <w:rPr>
          <w:spacing w:val="-2"/>
          <w:lang w:val="fr-FR"/>
        </w:rPr>
        <w:t>information. Le texte authentique, juridiquement contraignant, est celui du document ECE/TRANS/WP.29/2017/29 (1622396).</w:t>
      </w:r>
    </w:p>
    <w:p w:rsidR="00F0564E" w:rsidRDefault="00F0564E" w:rsidP="005F0207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5E8FCD" wp14:editId="51BF6BC3">
                <wp:simplePos x="0" y="0"/>
                <wp:positionH relativeFrom="margin">
                  <wp:posOffset>34290</wp:posOffset>
                </wp:positionH>
                <wp:positionV relativeFrom="margin">
                  <wp:posOffset>6132920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A98D188" wp14:editId="73AB161C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E8FCD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.7pt;margin-top:482.9pt;width:481.9pt;height:90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A98D188" wp14:editId="73AB161C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F0564E" w:rsidRDefault="00F0564E" w:rsidP="00F0564E">
      <w:pPr>
        <w:tabs>
          <w:tab w:val="left" w:pos="809"/>
        </w:tabs>
      </w:pPr>
    </w:p>
    <w:p w:rsidR="00F0564E" w:rsidRPr="008426FA" w:rsidRDefault="00F0564E" w:rsidP="00F0564E">
      <w:pPr>
        <w:pStyle w:val="SingleTxtG"/>
        <w:rPr>
          <w:lang w:val="fr-FR"/>
        </w:rPr>
      </w:pPr>
      <w:r>
        <w:br w:type="page"/>
      </w:r>
      <w:r w:rsidRPr="00F0564E">
        <w:rPr>
          <w:i/>
          <w:lang w:val="fr-FR"/>
        </w:rPr>
        <w:lastRenderedPageBreak/>
        <w:t>Paragraphe 3.1</w:t>
      </w:r>
      <w:r w:rsidRPr="008426FA">
        <w:rPr>
          <w:lang w:val="fr-FR"/>
        </w:rPr>
        <w:t xml:space="preserve">, </w:t>
      </w:r>
      <w:r>
        <w:rPr>
          <w:lang w:val="fr-FR"/>
        </w:rPr>
        <w:t>lire</w:t>
      </w:r>
      <w:r w:rsidRPr="008426FA">
        <w:rPr>
          <w:lang w:val="fr-FR"/>
        </w:rPr>
        <w:t> :</w:t>
      </w:r>
    </w:p>
    <w:p w:rsidR="00F0564E" w:rsidRPr="008426FA" w:rsidRDefault="00F0564E" w:rsidP="00F0564E">
      <w:pPr>
        <w:pStyle w:val="SingleTxtG"/>
        <w:ind w:left="2268" w:hanging="1134"/>
        <w:rPr>
          <w:lang w:val="fr-FR"/>
        </w:rPr>
      </w:pPr>
      <w:r w:rsidRPr="008426FA">
        <w:rPr>
          <w:lang w:val="fr-FR"/>
        </w:rPr>
        <w:t>« 3.1</w:t>
      </w:r>
      <w:r w:rsidRPr="008426FA">
        <w:rPr>
          <w:lang w:val="fr-FR"/>
        </w:rPr>
        <w:tab/>
        <w:t>Les feux spéciaux d</w:t>
      </w:r>
      <w:r w:rsidR="00170708">
        <w:rPr>
          <w:lang w:val="fr-FR"/>
        </w:rPr>
        <w:t>’</w:t>
      </w:r>
      <w:r w:rsidRPr="008426FA">
        <w:rPr>
          <w:lang w:val="fr-FR"/>
        </w:rPr>
        <w:t>avertissement présentés à l</w:t>
      </w:r>
      <w:r w:rsidR="00170708">
        <w:rPr>
          <w:lang w:val="fr-FR"/>
        </w:rPr>
        <w:t>’</w:t>
      </w:r>
      <w:r w:rsidRPr="008426FA">
        <w:rPr>
          <w:lang w:val="fr-FR"/>
        </w:rPr>
        <w:t>homologation portent la marque de fabrique ou de commerce du demandeur, qui doit être nettement lisible et indélébile. ».</w:t>
      </w:r>
    </w:p>
    <w:p w:rsidR="00F0564E" w:rsidRPr="008426FA" w:rsidRDefault="00F0564E" w:rsidP="00F0564E">
      <w:pPr>
        <w:pStyle w:val="SingleTxtG"/>
        <w:rPr>
          <w:lang w:val="fr-FR"/>
        </w:rPr>
      </w:pPr>
      <w:r w:rsidRPr="008426FA">
        <w:rPr>
          <w:i/>
          <w:lang w:val="fr-FR"/>
        </w:rPr>
        <w:t>Paragraphe 9</w:t>
      </w:r>
      <w:r w:rsidRPr="008426FA">
        <w:rPr>
          <w:lang w:val="fr-FR"/>
        </w:rPr>
        <w:t xml:space="preserve">, </w:t>
      </w:r>
      <w:r>
        <w:rPr>
          <w:lang w:val="fr-FR"/>
        </w:rPr>
        <w:t>lire</w:t>
      </w:r>
      <w:r w:rsidRPr="008426FA">
        <w:rPr>
          <w:lang w:val="fr-FR"/>
        </w:rPr>
        <w:t> :</w:t>
      </w:r>
    </w:p>
    <w:p w:rsidR="00F0564E" w:rsidRPr="008426FA" w:rsidRDefault="00F0564E" w:rsidP="00F0564E">
      <w:pPr>
        <w:pStyle w:val="HChG"/>
        <w:ind w:left="2268"/>
        <w:rPr>
          <w:lang w:val="fr-FR"/>
        </w:rPr>
      </w:pPr>
      <w:r>
        <w:rPr>
          <w:lang w:val="fr-FR"/>
        </w:rPr>
        <w:t>« 9.</w:t>
      </w:r>
      <w:r w:rsidRPr="008426FA">
        <w:rPr>
          <w:lang w:val="fr-FR"/>
        </w:rPr>
        <w:tab/>
        <w:t>Conformité de la production</w:t>
      </w:r>
    </w:p>
    <w:p w:rsidR="00F0564E" w:rsidRPr="008426FA" w:rsidRDefault="00F0564E" w:rsidP="00F0564E">
      <w:pPr>
        <w:pStyle w:val="SingleTxtG"/>
        <w:ind w:left="2268" w:hanging="1134"/>
        <w:rPr>
          <w:lang w:val="fr-FR"/>
        </w:rPr>
      </w:pPr>
      <w:r w:rsidRPr="008426FA">
        <w:rPr>
          <w:lang w:val="fr-FR"/>
        </w:rPr>
        <w:t>9.1</w:t>
      </w:r>
      <w:r w:rsidRPr="008426FA">
        <w:rPr>
          <w:lang w:val="fr-FR"/>
        </w:rPr>
        <w:tab/>
        <w:t xml:space="preserve">Les procédures de contrôle de la conformité de la production doivent </w:t>
      </w:r>
      <w:r w:rsidRPr="008426FA">
        <w:rPr>
          <w:spacing w:val="-3"/>
          <w:lang w:val="fr-FR"/>
        </w:rPr>
        <w:t>correspondre à celles de l</w:t>
      </w:r>
      <w:r w:rsidR="00170708">
        <w:rPr>
          <w:spacing w:val="-3"/>
          <w:lang w:val="fr-FR"/>
        </w:rPr>
        <w:t>’</w:t>
      </w:r>
      <w:r w:rsidRPr="008426FA">
        <w:rPr>
          <w:spacing w:val="-3"/>
          <w:lang w:val="fr-FR"/>
        </w:rPr>
        <w:t>appendice 2 de l</w:t>
      </w:r>
      <w:r w:rsidR="00170708">
        <w:rPr>
          <w:spacing w:val="-3"/>
          <w:lang w:val="fr-FR"/>
        </w:rPr>
        <w:t>’</w:t>
      </w:r>
      <w:r w:rsidRPr="008426FA">
        <w:rPr>
          <w:spacing w:val="-3"/>
          <w:lang w:val="fr-FR"/>
        </w:rPr>
        <w:t>Accord (E/ECE/TRANS/505/Rev.2</w:t>
      </w:r>
      <w:r w:rsidRPr="008426FA">
        <w:rPr>
          <w:spacing w:val="-4"/>
          <w:lang w:val="fr-FR"/>
        </w:rPr>
        <w:t>),</w:t>
      </w:r>
      <w:r w:rsidRPr="008426FA">
        <w:rPr>
          <w:lang w:val="fr-FR"/>
        </w:rPr>
        <w:t xml:space="preserve"> les prescriptions étant les suivantes :</w:t>
      </w:r>
    </w:p>
    <w:p w:rsidR="00F0564E" w:rsidRPr="008426FA" w:rsidRDefault="00F0564E" w:rsidP="00F0564E">
      <w:pPr>
        <w:pStyle w:val="SingleTxtG"/>
        <w:ind w:left="2268" w:hanging="1134"/>
        <w:rPr>
          <w:lang w:val="fr-FR"/>
        </w:rPr>
      </w:pPr>
      <w:r w:rsidRPr="008426FA">
        <w:rPr>
          <w:lang w:val="fr-FR"/>
        </w:rPr>
        <w:t>9.1.1</w:t>
      </w:r>
      <w:r w:rsidRPr="008426FA">
        <w:rPr>
          <w:lang w:val="fr-FR"/>
        </w:rPr>
        <w:tab/>
        <w:t>Les feux spéciaux d</w:t>
      </w:r>
      <w:r w:rsidR="00170708">
        <w:rPr>
          <w:lang w:val="fr-FR"/>
        </w:rPr>
        <w:t>’</w:t>
      </w:r>
      <w:r w:rsidRPr="008426FA">
        <w:rPr>
          <w:lang w:val="fr-FR"/>
        </w:rPr>
        <w:t xml:space="preserve">avertissement </w:t>
      </w:r>
      <w:r w:rsidRPr="00F0564E">
        <w:rPr>
          <w:spacing w:val="-3"/>
          <w:lang w:val="fr-FR"/>
        </w:rPr>
        <w:t>homologués</w:t>
      </w:r>
      <w:r w:rsidRPr="008426FA">
        <w:rPr>
          <w:lang w:val="fr-FR"/>
        </w:rPr>
        <w:t xml:space="preserve"> conformément au présent Règlement doivent être fabriqués de telle sorte qu</w:t>
      </w:r>
      <w:r w:rsidR="00170708">
        <w:rPr>
          <w:lang w:val="fr-FR"/>
        </w:rPr>
        <w:t>’</w:t>
      </w:r>
      <w:r w:rsidRPr="008426FA">
        <w:rPr>
          <w:lang w:val="fr-FR"/>
        </w:rPr>
        <w:t>ils soient conformes au type homologué en satisfaisant aux prescriptions énoncées aux paragraphes 5, 6 et 7 ci-dessus.</w:t>
      </w:r>
    </w:p>
    <w:p w:rsidR="00F0564E" w:rsidRPr="008426FA" w:rsidRDefault="00F0564E" w:rsidP="00F0564E">
      <w:pPr>
        <w:pStyle w:val="SingleTxtG"/>
        <w:ind w:left="2268" w:hanging="1134"/>
        <w:rPr>
          <w:lang w:val="fr-FR"/>
        </w:rPr>
      </w:pPr>
      <w:r w:rsidRPr="008426FA">
        <w:rPr>
          <w:lang w:val="fr-FR"/>
        </w:rPr>
        <w:t>9.1.2</w:t>
      </w:r>
      <w:r w:rsidRPr="008426FA">
        <w:rPr>
          <w:lang w:val="fr-FR"/>
        </w:rPr>
        <w:tab/>
        <w:t xml:space="preserve">Afin de vérifier que les conditions énoncées au </w:t>
      </w:r>
      <w:r w:rsidRPr="00F0564E">
        <w:rPr>
          <w:spacing w:val="-3"/>
          <w:lang w:val="fr-FR"/>
        </w:rPr>
        <w:t>paragraphe</w:t>
      </w:r>
      <w:r w:rsidRPr="008426FA">
        <w:rPr>
          <w:lang w:val="fr-FR"/>
        </w:rPr>
        <w:t> 9.1.1 sont remplies, des contrôles appropriés de la production doivent être effectués.</w:t>
      </w:r>
    </w:p>
    <w:p w:rsidR="00F0564E" w:rsidRPr="008426FA" w:rsidRDefault="00F0564E" w:rsidP="00F0564E">
      <w:pPr>
        <w:pStyle w:val="SingleTxtG"/>
        <w:ind w:left="2268" w:hanging="1134"/>
        <w:rPr>
          <w:lang w:val="fr-FR"/>
        </w:rPr>
      </w:pPr>
      <w:r w:rsidRPr="008426FA">
        <w:rPr>
          <w:lang w:val="fr-FR"/>
        </w:rPr>
        <w:t>9.1.3</w:t>
      </w:r>
      <w:r w:rsidRPr="008426FA">
        <w:rPr>
          <w:lang w:val="fr-FR"/>
        </w:rPr>
        <w:tab/>
        <w:t>Le détenteur de l</w:t>
      </w:r>
      <w:r w:rsidR="00170708">
        <w:rPr>
          <w:lang w:val="fr-FR"/>
        </w:rPr>
        <w:t>’</w:t>
      </w:r>
      <w:r w:rsidRPr="008426FA">
        <w:rPr>
          <w:lang w:val="fr-FR"/>
        </w:rPr>
        <w:t xml:space="preserve">homologation est </w:t>
      </w:r>
      <w:r w:rsidRPr="00F0564E">
        <w:rPr>
          <w:spacing w:val="-3"/>
          <w:lang w:val="fr-FR"/>
        </w:rPr>
        <w:t>notamment</w:t>
      </w:r>
      <w:r w:rsidRPr="008426FA">
        <w:rPr>
          <w:lang w:val="fr-FR"/>
        </w:rPr>
        <w:t xml:space="preserve"> tenu :</w:t>
      </w:r>
    </w:p>
    <w:p w:rsidR="00F0564E" w:rsidRPr="008426FA" w:rsidRDefault="00F0564E" w:rsidP="00F0564E">
      <w:pPr>
        <w:pStyle w:val="SingleTxtG"/>
        <w:ind w:left="2268" w:hanging="1134"/>
        <w:rPr>
          <w:lang w:val="fr-FR"/>
        </w:rPr>
      </w:pPr>
      <w:r w:rsidRPr="008426FA">
        <w:rPr>
          <w:lang w:val="fr-FR"/>
        </w:rPr>
        <w:t>9.1.3.1</w:t>
      </w:r>
      <w:r w:rsidRPr="008426FA">
        <w:rPr>
          <w:lang w:val="fr-FR"/>
        </w:rPr>
        <w:tab/>
        <w:t>De veiller à l</w:t>
      </w:r>
      <w:r w:rsidR="00170708">
        <w:rPr>
          <w:lang w:val="fr-FR"/>
        </w:rPr>
        <w:t>’</w:t>
      </w:r>
      <w:r w:rsidRPr="008426FA">
        <w:rPr>
          <w:lang w:val="fr-FR"/>
        </w:rPr>
        <w:t xml:space="preserve">existence de procédures de </w:t>
      </w:r>
      <w:r w:rsidRPr="00F0564E">
        <w:rPr>
          <w:spacing w:val="-3"/>
          <w:lang w:val="fr-FR"/>
        </w:rPr>
        <w:t>contrôle</w:t>
      </w:r>
      <w:r w:rsidRPr="008426FA">
        <w:rPr>
          <w:lang w:val="fr-FR"/>
        </w:rPr>
        <w:t xml:space="preserve"> efficace de la qualité des produits ;</w:t>
      </w:r>
    </w:p>
    <w:p w:rsidR="00F0564E" w:rsidRPr="008426FA" w:rsidRDefault="00F0564E" w:rsidP="00F0564E">
      <w:pPr>
        <w:pStyle w:val="SingleTxtG"/>
        <w:ind w:left="2268" w:hanging="1134"/>
        <w:rPr>
          <w:lang w:val="fr-FR"/>
        </w:rPr>
      </w:pPr>
      <w:r w:rsidRPr="008426FA">
        <w:rPr>
          <w:lang w:val="fr-FR"/>
        </w:rPr>
        <w:t>9.1.3.2</w:t>
      </w:r>
      <w:r w:rsidRPr="008426FA">
        <w:rPr>
          <w:lang w:val="fr-FR"/>
        </w:rPr>
        <w:tab/>
        <w:t>D</w:t>
      </w:r>
      <w:r w:rsidR="00170708">
        <w:rPr>
          <w:lang w:val="fr-FR"/>
        </w:rPr>
        <w:t>’</w:t>
      </w:r>
      <w:r w:rsidRPr="008426FA">
        <w:rPr>
          <w:lang w:val="fr-FR"/>
        </w:rPr>
        <w:t>avoir accès à l</w:t>
      </w:r>
      <w:r w:rsidR="00170708">
        <w:rPr>
          <w:lang w:val="fr-FR"/>
        </w:rPr>
        <w:t>’</w:t>
      </w:r>
      <w:r w:rsidRPr="008426FA">
        <w:rPr>
          <w:lang w:val="fr-FR"/>
        </w:rPr>
        <w:t xml:space="preserve">équipement de contrôle </w:t>
      </w:r>
      <w:r w:rsidRPr="00F0564E">
        <w:rPr>
          <w:spacing w:val="-3"/>
          <w:lang w:val="fr-FR"/>
        </w:rPr>
        <w:t>nécessaire</w:t>
      </w:r>
      <w:r w:rsidRPr="008426FA">
        <w:rPr>
          <w:lang w:val="fr-FR"/>
        </w:rPr>
        <w:t xml:space="preserve"> pour vérifier la conformité à chaque type homologué ;</w:t>
      </w:r>
    </w:p>
    <w:p w:rsidR="00F0564E" w:rsidRPr="008426FA" w:rsidRDefault="00F0564E" w:rsidP="00F0564E">
      <w:pPr>
        <w:pStyle w:val="SingleTxtG"/>
        <w:ind w:left="2268" w:hanging="1134"/>
        <w:rPr>
          <w:lang w:val="fr-FR"/>
        </w:rPr>
      </w:pPr>
      <w:r w:rsidRPr="008426FA">
        <w:rPr>
          <w:lang w:val="fr-FR"/>
        </w:rPr>
        <w:t>9.1.3.3</w:t>
      </w:r>
      <w:r w:rsidRPr="008426FA">
        <w:rPr>
          <w:lang w:val="fr-FR"/>
        </w:rPr>
        <w:tab/>
        <w:t>De veiller à ce que les données concernant les résultats des essais soient enregistrées et à ce que les documents connexes soient tenus à disposition pendant une période définie en accord avec le service administratif ;</w:t>
      </w:r>
    </w:p>
    <w:p w:rsidR="00F0564E" w:rsidRPr="008426FA" w:rsidRDefault="00F0564E" w:rsidP="00F0564E">
      <w:pPr>
        <w:pStyle w:val="SingleTxtG"/>
        <w:ind w:left="2268" w:hanging="1134"/>
        <w:rPr>
          <w:lang w:val="fr-FR"/>
        </w:rPr>
      </w:pPr>
      <w:r w:rsidRPr="008426FA">
        <w:rPr>
          <w:lang w:val="fr-FR"/>
        </w:rPr>
        <w:t>9.1.3.4</w:t>
      </w:r>
      <w:r w:rsidRPr="008426FA">
        <w:rPr>
          <w:lang w:val="fr-FR"/>
        </w:rPr>
        <w:tab/>
        <w:t>D</w:t>
      </w:r>
      <w:r w:rsidR="00170708">
        <w:rPr>
          <w:lang w:val="fr-FR"/>
        </w:rPr>
        <w:t>’</w:t>
      </w:r>
      <w:r w:rsidRPr="008426FA">
        <w:rPr>
          <w:lang w:val="fr-FR"/>
        </w:rPr>
        <w:t>analyser les résultats de chaque type d</w:t>
      </w:r>
      <w:r w:rsidR="00170708">
        <w:rPr>
          <w:lang w:val="fr-FR"/>
        </w:rPr>
        <w:t>’</w:t>
      </w:r>
      <w:r w:rsidRPr="008426FA">
        <w:rPr>
          <w:lang w:val="fr-FR"/>
        </w:rPr>
        <w:t>essai afin de contrôler et d</w:t>
      </w:r>
      <w:r w:rsidR="00170708">
        <w:rPr>
          <w:lang w:val="fr-FR"/>
        </w:rPr>
        <w:t>’</w:t>
      </w:r>
      <w:r w:rsidRPr="008426FA">
        <w:rPr>
          <w:lang w:val="fr-FR"/>
        </w:rPr>
        <w:t xml:space="preserve">assurer la constance des caractéristiques du produit eu égard aux variations admissibles en </w:t>
      </w:r>
      <w:r w:rsidRPr="00F0564E">
        <w:rPr>
          <w:spacing w:val="-3"/>
          <w:lang w:val="fr-FR"/>
        </w:rPr>
        <w:t>fabrication</w:t>
      </w:r>
      <w:r w:rsidRPr="008426FA">
        <w:rPr>
          <w:lang w:val="fr-FR"/>
        </w:rPr>
        <w:t xml:space="preserve"> industrielle ;</w:t>
      </w:r>
    </w:p>
    <w:p w:rsidR="00F0564E" w:rsidRPr="008426FA" w:rsidRDefault="00F0564E" w:rsidP="00F0564E">
      <w:pPr>
        <w:pStyle w:val="SingleTxtG"/>
        <w:ind w:left="2268" w:hanging="1134"/>
        <w:rPr>
          <w:lang w:val="fr-FR"/>
        </w:rPr>
      </w:pPr>
      <w:r w:rsidRPr="008426FA">
        <w:rPr>
          <w:lang w:val="fr-FR"/>
        </w:rPr>
        <w:t>9.1.3.5</w:t>
      </w:r>
      <w:r w:rsidRPr="008426FA">
        <w:rPr>
          <w:lang w:val="fr-FR"/>
        </w:rPr>
        <w:tab/>
        <w:t xml:space="preserve">De faire en sorte que, pour chaque type de </w:t>
      </w:r>
      <w:r w:rsidRPr="00F0564E">
        <w:rPr>
          <w:spacing w:val="-3"/>
          <w:lang w:val="fr-FR"/>
        </w:rPr>
        <w:t>produit</w:t>
      </w:r>
      <w:r w:rsidRPr="008426FA">
        <w:rPr>
          <w:lang w:val="fr-FR"/>
        </w:rPr>
        <w:t>, au moins les essais prescrits à l</w:t>
      </w:r>
      <w:r w:rsidR="00170708">
        <w:rPr>
          <w:lang w:val="fr-FR"/>
        </w:rPr>
        <w:t>’</w:t>
      </w:r>
      <w:r w:rsidRPr="008426FA">
        <w:rPr>
          <w:lang w:val="fr-FR"/>
        </w:rPr>
        <w:t>annexe 7 du présent Règlement soient effectués ;</w:t>
      </w:r>
    </w:p>
    <w:p w:rsidR="00F0564E" w:rsidRPr="008426FA" w:rsidRDefault="00F0564E" w:rsidP="00F0564E">
      <w:pPr>
        <w:pStyle w:val="SingleTxtG"/>
        <w:ind w:left="2268" w:hanging="1134"/>
        <w:rPr>
          <w:lang w:val="fr-FR"/>
        </w:rPr>
      </w:pPr>
      <w:r w:rsidRPr="008426FA">
        <w:rPr>
          <w:lang w:val="fr-FR"/>
        </w:rPr>
        <w:t>9.1.3.6</w:t>
      </w:r>
      <w:r w:rsidRPr="008426FA">
        <w:rPr>
          <w:lang w:val="fr-FR"/>
        </w:rPr>
        <w:tab/>
        <w:t xml:space="preserve">De faire en sorte que tout prélèvement </w:t>
      </w:r>
      <w:r w:rsidRPr="00F0564E">
        <w:rPr>
          <w:spacing w:val="-3"/>
          <w:lang w:val="fr-FR"/>
        </w:rPr>
        <w:t>d</w:t>
      </w:r>
      <w:r w:rsidR="00170708">
        <w:rPr>
          <w:spacing w:val="-3"/>
          <w:lang w:val="fr-FR"/>
        </w:rPr>
        <w:t>’</w:t>
      </w:r>
      <w:r w:rsidRPr="00F0564E">
        <w:rPr>
          <w:spacing w:val="-3"/>
          <w:lang w:val="fr-FR"/>
        </w:rPr>
        <w:t>échantillons</w:t>
      </w:r>
      <w:r w:rsidRPr="008426FA">
        <w:rPr>
          <w:lang w:val="fr-FR"/>
        </w:rPr>
        <w:t xml:space="preserve"> mettant en évidence la non-conformité pour le type d</w:t>
      </w:r>
      <w:r w:rsidR="00170708">
        <w:rPr>
          <w:lang w:val="fr-FR"/>
        </w:rPr>
        <w:t>’</w:t>
      </w:r>
      <w:r w:rsidRPr="008426FA">
        <w:rPr>
          <w:lang w:val="fr-FR"/>
        </w:rPr>
        <w:t>essai considéré soit suivi d</w:t>
      </w:r>
      <w:r w:rsidR="00170708">
        <w:rPr>
          <w:lang w:val="fr-FR"/>
        </w:rPr>
        <w:t>’</w:t>
      </w:r>
      <w:r w:rsidRPr="008426FA">
        <w:rPr>
          <w:lang w:val="fr-FR"/>
        </w:rPr>
        <w:t>un nouveau prélèvement et d</w:t>
      </w:r>
      <w:r w:rsidR="00170708">
        <w:rPr>
          <w:lang w:val="fr-FR"/>
        </w:rPr>
        <w:t>’</w:t>
      </w:r>
      <w:r w:rsidRPr="008426FA">
        <w:rPr>
          <w:lang w:val="fr-FR"/>
        </w:rPr>
        <w:t>un nouvel essai. Toutes les dispositions nécessaires doivent être prises pour rétablir la conformité de la production correspondante.</w:t>
      </w:r>
    </w:p>
    <w:p w:rsidR="00F0564E" w:rsidRPr="008426FA" w:rsidRDefault="00F0564E" w:rsidP="00F0564E">
      <w:pPr>
        <w:pStyle w:val="SingleTxtG"/>
        <w:ind w:left="2268" w:hanging="1134"/>
        <w:rPr>
          <w:lang w:val="fr-FR"/>
        </w:rPr>
      </w:pPr>
      <w:r w:rsidRPr="008426FA">
        <w:rPr>
          <w:lang w:val="fr-FR"/>
        </w:rPr>
        <w:t>9.1.4</w:t>
      </w:r>
      <w:r w:rsidRPr="008426FA">
        <w:rPr>
          <w:lang w:val="fr-FR"/>
        </w:rPr>
        <w:tab/>
        <w:t>L</w:t>
      </w:r>
      <w:r w:rsidR="00170708">
        <w:rPr>
          <w:lang w:val="fr-FR"/>
        </w:rPr>
        <w:t>’</w:t>
      </w:r>
      <w:r w:rsidRPr="008426FA">
        <w:rPr>
          <w:lang w:val="fr-FR"/>
        </w:rPr>
        <w:t xml:space="preserve">autorité compétente qui a délivré </w:t>
      </w:r>
      <w:r w:rsidRPr="00F0564E">
        <w:rPr>
          <w:spacing w:val="-3"/>
          <w:lang w:val="fr-FR"/>
        </w:rPr>
        <w:t>l</w:t>
      </w:r>
      <w:r w:rsidR="00170708">
        <w:rPr>
          <w:spacing w:val="-3"/>
          <w:lang w:val="fr-FR"/>
        </w:rPr>
        <w:t>’</w:t>
      </w:r>
      <w:r w:rsidRPr="00F0564E">
        <w:rPr>
          <w:spacing w:val="-3"/>
          <w:lang w:val="fr-FR"/>
        </w:rPr>
        <w:t>homologation</w:t>
      </w:r>
      <w:r w:rsidRPr="008426FA">
        <w:rPr>
          <w:lang w:val="fr-FR"/>
        </w:rPr>
        <w:t xml:space="preserve"> peut vérifier à tout moment les méthodes de contrôle de conformité appliquées dans chaque unité de production.</w:t>
      </w:r>
    </w:p>
    <w:p w:rsidR="00F0564E" w:rsidRPr="008426FA" w:rsidRDefault="00F0564E" w:rsidP="00F0564E">
      <w:pPr>
        <w:pStyle w:val="SingleTxtG"/>
        <w:ind w:left="2268" w:hanging="1134"/>
        <w:rPr>
          <w:lang w:val="fr-FR"/>
        </w:rPr>
      </w:pPr>
      <w:r w:rsidRPr="008426FA">
        <w:rPr>
          <w:lang w:val="fr-FR"/>
        </w:rPr>
        <w:t>9.1.4.1</w:t>
      </w:r>
      <w:r w:rsidRPr="008426FA">
        <w:rPr>
          <w:lang w:val="fr-FR"/>
        </w:rPr>
        <w:tab/>
        <w:t xml:space="preserve">Lors de chaque inspection, les registres </w:t>
      </w:r>
      <w:r w:rsidRPr="00F0564E">
        <w:rPr>
          <w:spacing w:val="-3"/>
          <w:lang w:val="fr-FR"/>
        </w:rPr>
        <w:t>d</w:t>
      </w:r>
      <w:r w:rsidR="00170708">
        <w:rPr>
          <w:spacing w:val="-3"/>
          <w:lang w:val="fr-FR"/>
        </w:rPr>
        <w:t>’</w:t>
      </w:r>
      <w:r w:rsidRPr="00F0564E">
        <w:rPr>
          <w:spacing w:val="-3"/>
          <w:lang w:val="fr-FR"/>
        </w:rPr>
        <w:t>essais</w:t>
      </w:r>
      <w:r w:rsidRPr="008426FA">
        <w:rPr>
          <w:lang w:val="fr-FR"/>
        </w:rPr>
        <w:t xml:space="preserve"> et de suivi de la production doivent être communiqués à l</w:t>
      </w:r>
      <w:r w:rsidR="00170708">
        <w:rPr>
          <w:lang w:val="fr-FR"/>
        </w:rPr>
        <w:t>’</w:t>
      </w:r>
      <w:r w:rsidRPr="008426FA">
        <w:rPr>
          <w:lang w:val="fr-FR"/>
        </w:rPr>
        <w:t>inspecteur.</w:t>
      </w:r>
    </w:p>
    <w:p w:rsidR="00F0564E" w:rsidRPr="008426FA" w:rsidRDefault="00F0564E" w:rsidP="00F0564E">
      <w:pPr>
        <w:pStyle w:val="SingleTxtG"/>
        <w:ind w:left="2268" w:hanging="1134"/>
        <w:rPr>
          <w:lang w:val="fr-FR"/>
        </w:rPr>
      </w:pPr>
      <w:r w:rsidRPr="008426FA">
        <w:rPr>
          <w:lang w:val="fr-FR"/>
        </w:rPr>
        <w:t>9.1.4.2</w:t>
      </w:r>
      <w:r w:rsidRPr="008426FA">
        <w:rPr>
          <w:lang w:val="fr-FR"/>
        </w:rPr>
        <w:tab/>
        <w:t>L</w:t>
      </w:r>
      <w:r w:rsidR="00170708">
        <w:rPr>
          <w:lang w:val="fr-FR"/>
        </w:rPr>
        <w:t>’</w:t>
      </w:r>
      <w:r w:rsidRPr="008426FA">
        <w:rPr>
          <w:lang w:val="fr-FR"/>
        </w:rPr>
        <w:t xml:space="preserve">inspecteur peut sélectionner au hasard des </w:t>
      </w:r>
      <w:r w:rsidRPr="00F0564E">
        <w:rPr>
          <w:spacing w:val="-3"/>
          <w:lang w:val="fr-FR"/>
        </w:rPr>
        <w:t>échantillons</w:t>
      </w:r>
      <w:r w:rsidRPr="008426FA">
        <w:rPr>
          <w:lang w:val="fr-FR"/>
        </w:rPr>
        <w:t xml:space="preserve"> qui seront essayés dans le laboratoire du fabricant. Le nombre minimal d</w:t>
      </w:r>
      <w:r w:rsidR="00170708">
        <w:rPr>
          <w:lang w:val="fr-FR"/>
        </w:rPr>
        <w:t>’</w:t>
      </w:r>
      <w:r w:rsidRPr="008426FA">
        <w:rPr>
          <w:lang w:val="fr-FR"/>
        </w:rPr>
        <w:t>échantillons peut être déterminé en fonction des résultats des propres contrôles du fabricant.</w:t>
      </w:r>
    </w:p>
    <w:p w:rsidR="00F0564E" w:rsidRPr="008426FA" w:rsidRDefault="00F0564E" w:rsidP="00F0564E">
      <w:pPr>
        <w:pStyle w:val="SingleTxtG"/>
        <w:ind w:left="2268" w:hanging="1134"/>
        <w:rPr>
          <w:lang w:val="fr-FR"/>
        </w:rPr>
      </w:pPr>
      <w:r w:rsidRPr="008426FA">
        <w:rPr>
          <w:lang w:val="fr-FR"/>
        </w:rPr>
        <w:t>9.1.4.3</w:t>
      </w:r>
      <w:r w:rsidRPr="008426FA">
        <w:rPr>
          <w:lang w:val="fr-FR"/>
        </w:rPr>
        <w:tab/>
        <w:t>Quand le niveau de qualité n</w:t>
      </w:r>
      <w:r w:rsidR="00170708">
        <w:rPr>
          <w:lang w:val="fr-FR"/>
        </w:rPr>
        <w:t>’</w:t>
      </w:r>
      <w:r w:rsidRPr="008426FA">
        <w:rPr>
          <w:lang w:val="fr-FR"/>
        </w:rPr>
        <w:t>apparaît pas satisfaisant ou quand il semble nécessaire de vérifier la validité des essais effectués en application du paragraphe 9.1.4.2 ci-</w:t>
      </w:r>
      <w:r w:rsidRPr="00F0564E">
        <w:rPr>
          <w:spacing w:val="-3"/>
          <w:lang w:val="fr-FR"/>
        </w:rPr>
        <w:t>dessus</w:t>
      </w:r>
      <w:r w:rsidRPr="008426FA">
        <w:rPr>
          <w:lang w:val="fr-FR"/>
        </w:rPr>
        <w:t>, l</w:t>
      </w:r>
      <w:r w:rsidR="00170708">
        <w:rPr>
          <w:lang w:val="fr-FR"/>
        </w:rPr>
        <w:t>’</w:t>
      </w:r>
      <w:r w:rsidRPr="008426FA">
        <w:rPr>
          <w:lang w:val="fr-FR"/>
        </w:rPr>
        <w:t>inspecteur doit prélever des échantillons qui seront envoyés au service technique ayant effectué les essais d</w:t>
      </w:r>
      <w:r w:rsidR="00170708">
        <w:rPr>
          <w:lang w:val="fr-FR"/>
        </w:rPr>
        <w:t>’</w:t>
      </w:r>
      <w:r w:rsidRPr="008426FA">
        <w:rPr>
          <w:lang w:val="fr-FR"/>
        </w:rPr>
        <w:t>homologation en utilisant les critères de l</w:t>
      </w:r>
      <w:r w:rsidR="00170708">
        <w:rPr>
          <w:lang w:val="fr-FR"/>
        </w:rPr>
        <w:t>’</w:t>
      </w:r>
      <w:r w:rsidRPr="008426FA">
        <w:rPr>
          <w:lang w:val="fr-FR"/>
        </w:rPr>
        <w:t>annexe 8.</w:t>
      </w:r>
    </w:p>
    <w:p w:rsidR="00F0564E" w:rsidRPr="008426FA" w:rsidRDefault="00F0564E" w:rsidP="00F0564E">
      <w:pPr>
        <w:pStyle w:val="SingleTxtG"/>
        <w:ind w:left="2268" w:hanging="1134"/>
        <w:rPr>
          <w:lang w:val="fr-FR"/>
        </w:rPr>
      </w:pPr>
      <w:r w:rsidRPr="008426FA">
        <w:rPr>
          <w:lang w:val="fr-FR"/>
        </w:rPr>
        <w:t>9.1.4.4</w:t>
      </w:r>
      <w:r w:rsidRPr="008426FA">
        <w:rPr>
          <w:lang w:val="fr-FR"/>
        </w:rPr>
        <w:tab/>
        <w:t>L</w:t>
      </w:r>
      <w:r w:rsidR="00170708">
        <w:rPr>
          <w:lang w:val="fr-FR"/>
        </w:rPr>
        <w:t>’</w:t>
      </w:r>
      <w:r w:rsidRPr="008426FA">
        <w:rPr>
          <w:lang w:val="fr-FR"/>
        </w:rPr>
        <w:t xml:space="preserve">autorité compétente peut effectuer tous les essais prescrits dans le présent Règlement. Ces essais seront effectués sur des échantillons prélevés au </w:t>
      </w:r>
      <w:r w:rsidRPr="008426FA">
        <w:rPr>
          <w:lang w:val="fr-FR"/>
        </w:rPr>
        <w:lastRenderedPageBreak/>
        <w:t xml:space="preserve">hasard sans </w:t>
      </w:r>
      <w:r w:rsidRPr="00F0564E">
        <w:rPr>
          <w:spacing w:val="-3"/>
          <w:lang w:val="fr-FR"/>
        </w:rPr>
        <w:t>perturber</w:t>
      </w:r>
      <w:r w:rsidRPr="008426FA">
        <w:rPr>
          <w:lang w:val="fr-FR"/>
        </w:rPr>
        <w:t xml:space="preserve"> les engagements de livraison du fabricant et en accord avec les critères de l</w:t>
      </w:r>
      <w:r w:rsidR="00170708">
        <w:rPr>
          <w:lang w:val="fr-FR"/>
        </w:rPr>
        <w:t>’</w:t>
      </w:r>
      <w:r w:rsidRPr="008426FA">
        <w:rPr>
          <w:lang w:val="fr-FR"/>
        </w:rPr>
        <w:t>annexe 8.</w:t>
      </w:r>
    </w:p>
    <w:p w:rsidR="00F0564E" w:rsidRPr="008426FA" w:rsidRDefault="00F0564E" w:rsidP="00F0564E">
      <w:pPr>
        <w:pStyle w:val="SingleTxtG"/>
        <w:ind w:left="2268" w:hanging="1134"/>
        <w:rPr>
          <w:lang w:val="fr-FR"/>
        </w:rPr>
      </w:pPr>
      <w:r w:rsidRPr="008426FA">
        <w:rPr>
          <w:lang w:val="fr-FR"/>
        </w:rPr>
        <w:t>9.1.4.5</w:t>
      </w:r>
      <w:r w:rsidRPr="008426FA">
        <w:rPr>
          <w:lang w:val="fr-FR"/>
        </w:rPr>
        <w:tab/>
        <w:t>L</w:t>
      </w:r>
      <w:r w:rsidR="00170708">
        <w:rPr>
          <w:lang w:val="fr-FR"/>
        </w:rPr>
        <w:t>’</w:t>
      </w:r>
      <w:r w:rsidRPr="008426FA">
        <w:rPr>
          <w:lang w:val="fr-FR"/>
        </w:rPr>
        <w:t>autorité compétente doit s</w:t>
      </w:r>
      <w:r w:rsidR="00170708">
        <w:rPr>
          <w:lang w:val="fr-FR"/>
        </w:rPr>
        <w:t>’</w:t>
      </w:r>
      <w:r w:rsidRPr="008426FA">
        <w:rPr>
          <w:lang w:val="fr-FR"/>
        </w:rPr>
        <w:t>efforcer d</w:t>
      </w:r>
      <w:r w:rsidR="00170708">
        <w:rPr>
          <w:lang w:val="fr-FR"/>
        </w:rPr>
        <w:t>’</w:t>
      </w:r>
      <w:r w:rsidRPr="008426FA">
        <w:rPr>
          <w:lang w:val="fr-FR"/>
        </w:rPr>
        <w:t>obtenir la fréquence d</w:t>
      </w:r>
      <w:r w:rsidR="00170708">
        <w:rPr>
          <w:lang w:val="fr-FR"/>
        </w:rPr>
        <w:t>’</w:t>
      </w:r>
      <w:r w:rsidRPr="008426FA">
        <w:rPr>
          <w:lang w:val="fr-FR"/>
        </w:rPr>
        <w:t xml:space="preserve">une inspection tous les deux ans. Cela reste toutefois à sa discrétion et fonction de sa confiance dans les </w:t>
      </w:r>
      <w:r w:rsidRPr="00F0564E">
        <w:rPr>
          <w:spacing w:val="-3"/>
          <w:lang w:val="fr-FR"/>
        </w:rPr>
        <w:t>dispositions</w:t>
      </w:r>
      <w:r w:rsidRPr="008426FA">
        <w:rPr>
          <w:lang w:val="fr-FR"/>
        </w:rPr>
        <w:t xml:space="preserve"> prises pour assurer un contrôle efficace de la conformité de la production. Dans le cas où des résultats négatifs seraient enregistrés, l</w:t>
      </w:r>
      <w:r w:rsidR="00170708">
        <w:rPr>
          <w:lang w:val="fr-FR"/>
        </w:rPr>
        <w:t>’</w:t>
      </w:r>
      <w:r w:rsidRPr="008426FA">
        <w:rPr>
          <w:lang w:val="fr-FR"/>
        </w:rPr>
        <w:t>autorité compétente doit veiller à ce que toutes les mesures nécessaires soient prises pour rétablir la conformité de la production dans les plus brefs délais.</w:t>
      </w:r>
    </w:p>
    <w:p w:rsidR="00F0564E" w:rsidRPr="008426FA" w:rsidRDefault="00F0564E" w:rsidP="00F0564E">
      <w:pPr>
        <w:pStyle w:val="SingleTxtG"/>
        <w:ind w:left="2268" w:hanging="1134"/>
        <w:rPr>
          <w:lang w:val="fr-FR"/>
        </w:rPr>
      </w:pPr>
      <w:r w:rsidRPr="008426FA">
        <w:rPr>
          <w:lang w:val="fr-FR"/>
        </w:rPr>
        <w:t>9.2</w:t>
      </w:r>
      <w:r w:rsidRPr="008426FA">
        <w:rPr>
          <w:lang w:val="fr-FR"/>
        </w:rPr>
        <w:tab/>
        <w:t>Les feux spéciaux d</w:t>
      </w:r>
      <w:r w:rsidR="00170708">
        <w:rPr>
          <w:lang w:val="fr-FR"/>
        </w:rPr>
        <w:t>’</w:t>
      </w:r>
      <w:r w:rsidRPr="008426FA">
        <w:rPr>
          <w:lang w:val="fr-FR"/>
        </w:rPr>
        <w:t xml:space="preserve">avertissement présentant des défauts </w:t>
      </w:r>
      <w:r w:rsidRPr="00F0564E">
        <w:rPr>
          <w:spacing w:val="-3"/>
          <w:lang w:val="fr-FR"/>
        </w:rPr>
        <w:t>apparents</w:t>
      </w:r>
      <w:r w:rsidRPr="008426FA">
        <w:rPr>
          <w:lang w:val="fr-FR"/>
        </w:rPr>
        <w:t xml:space="preserve"> ne sont pas pris en considération.</w:t>
      </w:r>
    </w:p>
    <w:p w:rsidR="00F0564E" w:rsidRPr="008426FA" w:rsidRDefault="00F0564E" w:rsidP="00F0564E">
      <w:pPr>
        <w:pStyle w:val="SingleTxtG"/>
        <w:ind w:left="2268" w:hanging="1134"/>
        <w:rPr>
          <w:lang w:val="fr-FR"/>
        </w:rPr>
      </w:pPr>
      <w:r w:rsidRPr="008426FA">
        <w:rPr>
          <w:lang w:val="fr-FR"/>
        </w:rPr>
        <w:t>9.3</w:t>
      </w:r>
      <w:r w:rsidRPr="008426FA">
        <w:rPr>
          <w:lang w:val="fr-FR"/>
        </w:rPr>
        <w:tab/>
        <w:t>Il n</w:t>
      </w:r>
      <w:r w:rsidR="00170708">
        <w:rPr>
          <w:lang w:val="fr-FR"/>
        </w:rPr>
        <w:t>’</w:t>
      </w:r>
      <w:r w:rsidRPr="008426FA">
        <w:rPr>
          <w:lang w:val="fr-FR"/>
        </w:rPr>
        <w:t xml:space="preserve">est pas tenu compte du repère de </w:t>
      </w:r>
      <w:r w:rsidRPr="00F0564E">
        <w:rPr>
          <w:spacing w:val="-3"/>
          <w:lang w:val="fr-FR"/>
        </w:rPr>
        <w:t>marquage</w:t>
      </w:r>
      <w:r w:rsidRPr="008426FA">
        <w:rPr>
          <w:lang w:val="fr-FR"/>
        </w:rPr>
        <w:t>. ».</w:t>
      </w:r>
    </w:p>
    <w:p w:rsidR="00F0564E" w:rsidRPr="008426FA" w:rsidRDefault="00F0564E" w:rsidP="00F0564E">
      <w:pPr>
        <w:pStyle w:val="SingleTxtG"/>
        <w:rPr>
          <w:lang w:val="fr-FR"/>
        </w:rPr>
      </w:pPr>
      <w:r>
        <w:rPr>
          <w:i/>
          <w:lang w:val="fr-FR"/>
        </w:rPr>
        <w:t>Annexe </w:t>
      </w:r>
      <w:r w:rsidRPr="008426FA">
        <w:rPr>
          <w:i/>
          <w:lang w:val="fr-FR"/>
        </w:rPr>
        <w:t>8</w:t>
      </w:r>
      <w:r w:rsidRPr="008426FA">
        <w:rPr>
          <w:lang w:val="fr-FR"/>
        </w:rPr>
        <w:t>,</w:t>
      </w:r>
    </w:p>
    <w:p w:rsidR="00F0564E" w:rsidRPr="008426FA" w:rsidRDefault="00F0564E" w:rsidP="00F0564E">
      <w:pPr>
        <w:pStyle w:val="SingleTxtG"/>
        <w:rPr>
          <w:lang w:val="fr-FR"/>
        </w:rPr>
      </w:pPr>
      <w:r>
        <w:rPr>
          <w:i/>
          <w:lang w:val="fr-FR"/>
        </w:rPr>
        <w:t>Paragraphes </w:t>
      </w:r>
      <w:r w:rsidRPr="008426FA">
        <w:rPr>
          <w:i/>
          <w:lang w:val="fr-FR"/>
        </w:rPr>
        <w:t>2 à 4 et figure 1</w:t>
      </w:r>
      <w:r w:rsidRPr="008426FA">
        <w:rPr>
          <w:lang w:val="fr-FR"/>
        </w:rPr>
        <w:t>, supprimer.</w:t>
      </w:r>
    </w:p>
    <w:p w:rsidR="00F0564E" w:rsidRPr="008426FA" w:rsidRDefault="00F0564E" w:rsidP="00F0564E">
      <w:pPr>
        <w:pStyle w:val="SingleTxtG"/>
        <w:rPr>
          <w:lang w:val="fr-FR"/>
        </w:rPr>
      </w:pPr>
      <w:r w:rsidRPr="008426FA">
        <w:rPr>
          <w:i/>
          <w:lang w:val="fr-FR"/>
        </w:rPr>
        <w:t xml:space="preserve">Ajouter </w:t>
      </w:r>
      <w:r>
        <w:rPr>
          <w:i/>
          <w:lang w:val="fr-FR"/>
        </w:rPr>
        <w:t>les</w:t>
      </w:r>
      <w:r w:rsidRPr="008426FA">
        <w:rPr>
          <w:i/>
          <w:lang w:val="fr-FR"/>
        </w:rPr>
        <w:t xml:space="preserve"> nouveaux paragraphes</w:t>
      </w:r>
      <w:r>
        <w:rPr>
          <w:i/>
          <w:lang w:val="fr-FR"/>
        </w:rPr>
        <w:t> 2 à 6</w:t>
      </w:r>
      <w:r w:rsidRPr="008426FA">
        <w:rPr>
          <w:lang w:val="fr-FR"/>
        </w:rPr>
        <w:t xml:space="preserve">, </w:t>
      </w:r>
      <w:r>
        <w:rPr>
          <w:lang w:val="fr-FR"/>
        </w:rPr>
        <w:t>libellés comme suit</w:t>
      </w:r>
      <w:r w:rsidRPr="008426FA">
        <w:rPr>
          <w:lang w:val="fr-FR"/>
        </w:rPr>
        <w:t> :</w:t>
      </w:r>
    </w:p>
    <w:p w:rsidR="00F0564E" w:rsidRPr="008426FA" w:rsidRDefault="00F0564E" w:rsidP="00F0564E">
      <w:pPr>
        <w:pStyle w:val="SingleTxtG"/>
        <w:ind w:left="2268" w:hanging="1134"/>
        <w:rPr>
          <w:lang w:val="fr-FR"/>
        </w:rPr>
      </w:pPr>
      <w:r w:rsidRPr="008426FA">
        <w:rPr>
          <w:lang w:val="fr-FR"/>
        </w:rPr>
        <w:t>« 2.</w:t>
      </w:r>
      <w:r w:rsidRPr="008426FA">
        <w:rPr>
          <w:lang w:val="fr-FR"/>
        </w:rPr>
        <w:tab/>
        <w:t>Premier prélèvement</w:t>
      </w:r>
    </w:p>
    <w:p w:rsidR="00F0564E" w:rsidRPr="008426FA" w:rsidRDefault="00F0564E" w:rsidP="00F0564E">
      <w:pPr>
        <w:pStyle w:val="SingleTxtG"/>
        <w:ind w:left="2268"/>
        <w:rPr>
          <w:lang w:val="fr-FR"/>
        </w:rPr>
      </w:pPr>
      <w:r w:rsidRPr="008426FA">
        <w:rPr>
          <w:lang w:val="fr-FR"/>
        </w:rPr>
        <w:t>Lors du premier prélèvement, quatre feux spéciaux d</w:t>
      </w:r>
      <w:r w:rsidR="00170708">
        <w:rPr>
          <w:lang w:val="fr-FR"/>
        </w:rPr>
        <w:t>’</w:t>
      </w:r>
      <w:r w:rsidRPr="008426FA">
        <w:rPr>
          <w:lang w:val="fr-FR"/>
        </w:rPr>
        <w:t>avertissement sont choisis au hasard. La lettre A est apposée sur le premier et le troisième, et la lettre B sur le deuxième et le quatrième.</w:t>
      </w:r>
    </w:p>
    <w:p w:rsidR="00F0564E" w:rsidRPr="008426FA" w:rsidRDefault="00F0564E" w:rsidP="00F0564E">
      <w:pPr>
        <w:pStyle w:val="SingleTxtG"/>
        <w:ind w:left="2268" w:hanging="1134"/>
        <w:rPr>
          <w:lang w:val="fr-FR"/>
        </w:rPr>
      </w:pPr>
      <w:r w:rsidRPr="008426FA">
        <w:rPr>
          <w:lang w:val="fr-FR"/>
        </w:rPr>
        <w:t>2.1</w:t>
      </w:r>
      <w:r w:rsidRPr="008426FA">
        <w:rPr>
          <w:lang w:val="fr-FR"/>
        </w:rPr>
        <w:tab/>
        <w:t>La conformité des feux spéciaux d</w:t>
      </w:r>
      <w:r w:rsidR="00170708">
        <w:rPr>
          <w:lang w:val="fr-FR"/>
        </w:rPr>
        <w:t>’</w:t>
      </w:r>
      <w:r w:rsidRPr="008426FA">
        <w:rPr>
          <w:lang w:val="fr-FR"/>
        </w:rPr>
        <w:t>avertissement de série n</w:t>
      </w:r>
      <w:r w:rsidR="00170708">
        <w:rPr>
          <w:lang w:val="fr-FR"/>
        </w:rPr>
        <w:t>’</w:t>
      </w:r>
      <w:r w:rsidRPr="008426FA">
        <w:rPr>
          <w:lang w:val="fr-FR"/>
        </w:rPr>
        <w:t>est pas contestée si aucune valeur mesurée sur les feux des échantillons A et B ne s</w:t>
      </w:r>
      <w:r w:rsidR="00170708">
        <w:rPr>
          <w:lang w:val="fr-FR"/>
        </w:rPr>
        <w:t>’</w:t>
      </w:r>
      <w:r w:rsidRPr="008426FA">
        <w:rPr>
          <w:lang w:val="fr-FR"/>
        </w:rPr>
        <w:t>écarte de plus de 20 % (pour aucun des quatre feux).</w:t>
      </w:r>
    </w:p>
    <w:p w:rsidR="00F0564E" w:rsidRPr="008426FA" w:rsidRDefault="00F0564E" w:rsidP="00F0564E">
      <w:pPr>
        <w:pStyle w:val="SingleTxtG"/>
        <w:ind w:left="2268"/>
        <w:rPr>
          <w:lang w:val="fr-FR"/>
        </w:rPr>
      </w:pPr>
      <w:r w:rsidRPr="008426FA">
        <w:rPr>
          <w:lang w:val="fr-FR"/>
        </w:rPr>
        <w:t>Si l</w:t>
      </w:r>
      <w:r w:rsidR="00170708">
        <w:rPr>
          <w:lang w:val="fr-FR"/>
        </w:rPr>
        <w:t>’</w:t>
      </w:r>
      <w:r w:rsidRPr="008426FA">
        <w:rPr>
          <w:lang w:val="fr-FR"/>
        </w:rPr>
        <w:t>écart n</w:t>
      </w:r>
      <w:r w:rsidR="00170708">
        <w:rPr>
          <w:lang w:val="fr-FR"/>
        </w:rPr>
        <w:t>’</w:t>
      </w:r>
      <w:r w:rsidRPr="008426FA">
        <w:rPr>
          <w:lang w:val="fr-FR"/>
        </w:rPr>
        <w:t>est pas supérieur à 0 % pour les deux feux de l</w:t>
      </w:r>
      <w:r w:rsidR="00170708">
        <w:rPr>
          <w:lang w:val="fr-FR"/>
        </w:rPr>
        <w:t>’</w:t>
      </w:r>
      <w:r w:rsidRPr="008426FA">
        <w:rPr>
          <w:lang w:val="fr-FR"/>
        </w:rPr>
        <w:t>échantillon A, on peut arrêter les mesures.</w:t>
      </w:r>
    </w:p>
    <w:p w:rsidR="00F0564E" w:rsidRPr="008426FA" w:rsidRDefault="00F0564E" w:rsidP="00F0564E">
      <w:pPr>
        <w:pStyle w:val="SingleTxtG"/>
        <w:ind w:left="2268" w:hanging="1134"/>
        <w:rPr>
          <w:lang w:val="fr-FR"/>
        </w:rPr>
      </w:pPr>
      <w:r w:rsidRPr="008426FA">
        <w:rPr>
          <w:lang w:val="fr-FR"/>
        </w:rPr>
        <w:t>2.2</w:t>
      </w:r>
      <w:r w:rsidRPr="008426FA">
        <w:rPr>
          <w:lang w:val="fr-FR"/>
        </w:rPr>
        <w:tab/>
        <w:t>La conformité des feux spéciaux d</w:t>
      </w:r>
      <w:r w:rsidR="00170708">
        <w:rPr>
          <w:lang w:val="fr-FR"/>
        </w:rPr>
        <w:t>’</w:t>
      </w:r>
      <w:r w:rsidRPr="008426FA">
        <w:rPr>
          <w:lang w:val="fr-FR"/>
        </w:rPr>
        <w:t>avertissement de série est contestée si l</w:t>
      </w:r>
      <w:r w:rsidR="00170708">
        <w:rPr>
          <w:lang w:val="fr-FR"/>
        </w:rPr>
        <w:t>’</w:t>
      </w:r>
      <w:r w:rsidRPr="008426FA">
        <w:rPr>
          <w:lang w:val="fr-FR"/>
        </w:rPr>
        <w:t>écart de la valeur mesurée sur au moins un feu des échantillons A ou B dépasse 20 %.</w:t>
      </w:r>
    </w:p>
    <w:p w:rsidR="00F0564E" w:rsidRPr="008426FA" w:rsidRDefault="00F0564E" w:rsidP="00F0564E">
      <w:pPr>
        <w:pStyle w:val="SingleTxtG"/>
        <w:ind w:left="2268"/>
        <w:rPr>
          <w:lang w:val="fr-FR"/>
        </w:rPr>
      </w:pPr>
      <w:r w:rsidRPr="008426FA">
        <w:rPr>
          <w:lang w:val="fr-FR"/>
        </w:rPr>
        <w:t>Le fabricant est prié de mettre sa production en conformité avec les prescriptions et il faut procéder à un deuxième prélèvement, conformément au paragraphe 3, dans les deux mois qui suivent la notification. Les échantillons A et B doivent être conservés par le service technique jusqu</w:t>
      </w:r>
      <w:r w:rsidR="00170708">
        <w:rPr>
          <w:lang w:val="fr-FR"/>
        </w:rPr>
        <w:t>’</w:t>
      </w:r>
      <w:r w:rsidRPr="008426FA">
        <w:rPr>
          <w:lang w:val="fr-FR"/>
        </w:rPr>
        <w:t>à la fin du processus de vérification de la conformité.</w:t>
      </w:r>
    </w:p>
    <w:p w:rsidR="00F0564E" w:rsidRPr="008426FA" w:rsidRDefault="00F0564E" w:rsidP="00F0564E">
      <w:pPr>
        <w:pStyle w:val="SingleTxtG"/>
        <w:ind w:left="2268" w:hanging="1134"/>
        <w:rPr>
          <w:lang w:val="fr-FR"/>
        </w:rPr>
      </w:pPr>
      <w:r w:rsidRPr="008426FA">
        <w:rPr>
          <w:lang w:val="fr-FR"/>
        </w:rPr>
        <w:t>3.</w:t>
      </w:r>
      <w:r w:rsidRPr="008426FA">
        <w:rPr>
          <w:lang w:val="fr-FR"/>
        </w:rPr>
        <w:tab/>
        <w:t>Deuxième prélèvement</w:t>
      </w:r>
    </w:p>
    <w:p w:rsidR="00F0564E" w:rsidRPr="008426FA" w:rsidRDefault="00F0564E" w:rsidP="00F0564E">
      <w:pPr>
        <w:pStyle w:val="SingleTxtG"/>
        <w:ind w:left="2268"/>
        <w:rPr>
          <w:lang w:val="fr-FR"/>
        </w:rPr>
      </w:pPr>
      <w:r w:rsidRPr="008426FA">
        <w:rPr>
          <w:lang w:val="fr-FR"/>
        </w:rPr>
        <w:t>On choisit au hasard quatre feux spéciaux d</w:t>
      </w:r>
      <w:r w:rsidR="00170708">
        <w:rPr>
          <w:lang w:val="fr-FR"/>
        </w:rPr>
        <w:t>’</w:t>
      </w:r>
      <w:r w:rsidRPr="008426FA">
        <w:rPr>
          <w:lang w:val="fr-FR"/>
        </w:rPr>
        <w:t>avertissement parmi le stock produit après mise en conformité.</w:t>
      </w:r>
    </w:p>
    <w:p w:rsidR="00F0564E" w:rsidRPr="008426FA" w:rsidRDefault="00F0564E" w:rsidP="00F0564E">
      <w:pPr>
        <w:pStyle w:val="SingleTxtG"/>
        <w:ind w:left="2268"/>
        <w:rPr>
          <w:lang w:val="fr-FR"/>
        </w:rPr>
      </w:pPr>
      <w:r w:rsidRPr="008426FA">
        <w:rPr>
          <w:lang w:val="fr-FR"/>
        </w:rPr>
        <w:t>La lettre C est apposée sur le premier et le troisième, et la lettre D sur le deuxième et le quatrième.</w:t>
      </w:r>
    </w:p>
    <w:p w:rsidR="00F0564E" w:rsidRPr="008426FA" w:rsidRDefault="00F0564E" w:rsidP="00F0564E">
      <w:pPr>
        <w:pStyle w:val="SingleTxtG"/>
        <w:ind w:left="2268" w:hanging="1134"/>
        <w:rPr>
          <w:lang w:val="fr-FR"/>
        </w:rPr>
      </w:pPr>
      <w:r w:rsidRPr="008426FA">
        <w:rPr>
          <w:lang w:val="fr-FR"/>
        </w:rPr>
        <w:t>3.1</w:t>
      </w:r>
      <w:r w:rsidRPr="008426FA">
        <w:rPr>
          <w:lang w:val="fr-FR"/>
        </w:rPr>
        <w:tab/>
        <w:t>La conformité des feux spéciaux d</w:t>
      </w:r>
      <w:r w:rsidR="00170708">
        <w:rPr>
          <w:lang w:val="fr-FR"/>
        </w:rPr>
        <w:t>’</w:t>
      </w:r>
      <w:r w:rsidRPr="008426FA">
        <w:rPr>
          <w:lang w:val="fr-FR"/>
        </w:rPr>
        <w:t>avertissement de série n</w:t>
      </w:r>
      <w:r w:rsidR="00170708">
        <w:rPr>
          <w:lang w:val="fr-FR"/>
        </w:rPr>
        <w:t>’</w:t>
      </w:r>
      <w:r w:rsidRPr="008426FA">
        <w:rPr>
          <w:lang w:val="fr-FR"/>
        </w:rPr>
        <w:t>est pas contestée si aucune valeur mesurée sur les feux des échantillons C et D ne s</w:t>
      </w:r>
      <w:r w:rsidR="00170708">
        <w:rPr>
          <w:lang w:val="fr-FR"/>
        </w:rPr>
        <w:t>’</w:t>
      </w:r>
      <w:r w:rsidRPr="008426FA">
        <w:rPr>
          <w:lang w:val="fr-FR"/>
        </w:rPr>
        <w:t>écarte de plus de 20 % (pour aucun des quatre feux).</w:t>
      </w:r>
    </w:p>
    <w:p w:rsidR="00F0564E" w:rsidRPr="008426FA" w:rsidRDefault="00F0564E" w:rsidP="00F0564E">
      <w:pPr>
        <w:pStyle w:val="SingleTxtG"/>
        <w:ind w:left="2268"/>
        <w:rPr>
          <w:lang w:val="fr-FR"/>
        </w:rPr>
      </w:pPr>
      <w:r w:rsidRPr="008426FA">
        <w:rPr>
          <w:lang w:val="fr-FR"/>
        </w:rPr>
        <w:t>Si l</w:t>
      </w:r>
      <w:r w:rsidR="00170708">
        <w:rPr>
          <w:lang w:val="fr-FR"/>
        </w:rPr>
        <w:t>’</w:t>
      </w:r>
      <w:r w:rsidRPr="008426FA">
        <w:rPr>
          <w:lang w:val="fr-FR"/>
        </w:rPr>
        <w:t>écart n</w:t>
      </w:r>
      <w:r w:rsidR="00170708">
        <w:rPr>
          <w:lang w:val="fr-FR"/>
        </w:rPr>
        <w:t>’</w:t>
      </w:r>
      <w:r w:rsidRPr="008426FA">
        <w:rPr>
          <w:lang w:val="fr-FR"/>
        </w:rPr>
        <w:t>est pas supérieur à 0 % pour les deux feux de l</w:t>
      </w:r>
      <w:r w:rsidR="00170708">
        <w:rPr>
          <w:lang w:val="fr-FR"/>
        </w:rPr>
        <w:t>’</w:t>
      </w:r>
      <w:r w:rsidRPr="008426FA">
        <w:rPr>
          <w:lang w:val="fr-FR"/>
        </w:rPr>
        <w:t>échantillon C, on peut arrêter les mesures.</w:t>
      </w:r>
    </w:p>
    <w:p w:rsidR="00F0564E" w:rsidRPr="008426FA" w:rsidRDefault="00F0564E" w:rsidP="00F0564E">
      <w:pPr>
        <w:pStyle w:val="SingleTxtG"/>
        <w:ind w:left="2268" w:hanging="1134"/>
        <w:rPr>
          <w:lang w:val="fr-FR"/>
        </w:rPr>
      </w:pPr>
      <w:r w:rsidRPr="008426FA">
        <w:rPr>
          <w:lang w:val="fr-FR"/>
        </w:rPr>
        <w:t>3.2</w:t>
      </w:r>
      <w:r w:rsidRPr="008426FA">
        <w:rPr>
          <w:lang w:val="fr-FR"/>
        </w:rPr>
        <w:tab/>
        <w:t>La conformité des feux spéciaux d</w:t>
      </w:r>
      <w:r w:rsidR="00170708">
        <w:rPr>
          <w:lang w:val="fr-FR"/>
        </w:rPr>
        <w:t>’</w:t>
      </w:r>
      <w:r w:rsidRPr="008426FA">
        <w:rPr>
          <w:lang w:val="fr-FR"/>
        </w:rPr>
        <w:t>avertissement de série est contestée si l</w:t>
      </w:r>
      <w:r w:rsidR="00170708">
        <w:rPr>
          <w:lang w:val="fr-FR"/>
        </w:rPr>
        <w:t>’</w:t>
      </w:r>
      <w:r w:rsidRPr="008426FA">
        <w:rPr>
          <w:lang w:val="fr-FR"/>
        </w:rPr>
        <w:t>écart de la valeur mesurée sur au moins :</w:t>
      </w:r>
    </w:p>
    <w:p w:rsidR="00F0564E" w:rsidRPr="008426FA" w:rsidRDefault="00F0564E" w:rsidP="00F0564E">
      <w:pPr>
        <w:pStyle w:val="SingleTxtG"/>
        <w:ind w:left="2268" w:hanging="1134"/>
        <w:rPr>
          <w:lang w:val="fr-FR"/>
        </w:rPr>
      </w:pPr>
      <w:r w:rsidRPr="008426FA">
        <w:rPr>
          <w:lang w:val="fr-FR"/>
        </w:rPr>
        <w:t>3.2.1</w:t>
      </w:r>
      <w:r w:rsidRPr="008426FA">
        <w:rPr>
          <w:lang w:val="fr-FR"/>
        </w:rPr>
        <w:tab/>
        <w:t>Un des échantillons C et D dépasse 20 % mais l</w:t>
      </w:r>
      <w:r w:rsidR="00170708">
        <w:rPr>
          <w:lang w:val="fr-FR"/>
        </w:rPr>
        <w:t>’</w:t>
      </w:r>
      <w:r w:rsidRPr="008426FA">
        <w:rPr>
          <w:lang w:val="fr-FR"/>
        </w:rPr>
        <w:t>écart de l</w:t>
      </w:r>
      <w:r w:rsidR="00170708">
        <w:rPr>
          <w:lang w:val="fr-FR"/>
        </w:rPr>
        <w:t>’</w:t>
      </w:r>
      <w:r w:rsidRPr="008426FA">
        <w:rPr>
          <w:lang w:val="fr-FR"/>
        </w:rPr>
        <w:t xml:space="preserve">ensemble de ces échantillons ne dépasse pas 30 %. </w:t>
      </w:r>
    </w:p>
    <w:p w:rsidR="00F0564E" w:rsidRPr="008426FA" w:rsidRDefault="00F0564E" w:rsidP="00F0564E">
      <w:pPr>
        <w:pStyle w:val="SingleTxtG"/>
        <w:ind w:left="2268"/>
        <w:rPr>
          <w:lang w:val="fr-FR"/>
        </w:rPr>
      </w:pPr>
      <w:r w:rsidRPr="008426FA">
        <w:rPr>
          <w:lang w:val="fr-FR"/>
        </w:rPr>
        <w:t>Le fabricant est à nouveau prié de mettre sa production en conformité avec les prescriptions.</w:t>
      </w:r>
    </w:p>
    <w:p w:rsidR="00F0564E" w:rsidRPr="008426FA" w:rsidRDefault="00F0564E" w:rsidP="00F0564E">
      <w:pPr>
        <w:pStyle w:val="SingleTxtG"/>
        <w:ind w:left="2268"/>
        <w:rPr>
          <w:lang w:val="fr-FR"/>
        </w:rPr>
      </w:pPr>
      <w:r w:rsidRPr="008426FA">
        <w:rPr>
          <w:lang w:val="fr-FR"/>
        </w:rPr>
        <w:lastRenderedPageBreak/>
        <w:t>Il faut procéder à un troisième prélèvement conformément au paragraphe 4 ci-après, dans les deux mois qui suivent la notification. Les échantillons C et D doivent être conservés par le service technique jusqu</w:t>
      </w:r>
      <w:r w:rsidR="00170708">
        <w:rPr>
          <w:lang w:val="fr-FR"/>
        </w:rPr>
        <w:t>’</w:t>
      </w:r>
      <w:r w:rsidRPr="008426FA">
        <w:rPr>
          <w:lang w:val="fr-FR"/>
        </w:rPr>
        <w:t xml:space="preserve">à la fin du processus de vérification de la conformité. </w:t>
      </w:r>
    </w:p>
    <w:p w:rsidR="00F0564E" w:rsidRPr="008426FA" w:rsidRDefault="00F0564E" w:rsidP="00F0564E">
      <w:pPr>
        <w:pStyle w:val="SingleTxtG"/>
        <w:ind w:left="2268" w:hanging="1134"/>
        <w:rPr>
          <w:lang w:val="fr-FR"/>
        </w:rPr>
      </w:pPr>
      <w:r w:rsidRPr="008426FA">
        <w:rPr>
          <w:lang w:val="fr-FR"/>
        </w:rPr>
        <w:t>3.2.2</w:t>
      </w:r>
      <w:r w:rsidRPr="008426FA">
        <w:rPr>
          <w:lang w:val="fr-FR"/>
        </w:rPr>
        <w:tab/>
        <w:t>Un échantillon C ou D dépasse 30 %.</w:t>
      </w:r>
    </w:p>
    <w:p w:rsidR="00F0564E" w:rsidRPr="008426FA" w:rsidRDefault="00F0564E" w:rsidP="00F0564E">
      <w:pPr>
        <w:pStyle w:val="SingleTxtG"/>
        <w:ind w:left="2268"/>
        <w:rPr>
          <w:lang w:val="fr-FR"/>
        </w:rPr>
      </w:pPr>
      <w:r w:rsidRPr="008426FA">
        <w:rPr>
          <w:lang w:val="fr-FR"/>
        </w:rPr>
        <w:t>Dans ce cas, il faut retirer l</w:t>
      </w:r>
      <w:r w:rsidR="00170708">
        <w:rPr>
          <w:lang w:val="fr-FR"/>
        </w:rPr>
        <w:t>’</w:t>
      </w:r>
      <w:r w:rsidRPr="008426FA">
        <w:rPr>
          <w:lang w:val="fr-FR"/>
        </w:rPr>
        <w:t>homologation conformément aux dispositions du paragraphe 5 ci-dessous.</w:t>
      </w:r>
    </w:p>
    <w:p w:rsidR="00F0564E" w:rsidRPr="008426FA" w:rsidRDefault="00F0564E" w:rsidP="00F0564E">
      <w:pPr>
        <w:pStyle w:val="SingleTxtG"/>
        <w:ind w:left="2268" w:hanging="1134"/>
        <w:rPr>
          <w:lang w:val="fr-FR"/>
        </w:rPr>
      </w:pPr>
      <w:r w:rsidRPr="008426FA">
        <w:rPr>
          <w:lang w:val="fr-FR"/>
        </w:rPr>
        <w:t>4.</w:t>
      </w:r>
      <w:r w:rsidRPr="008426FA">
        <w:rPr>
          <w:lang w:val="fr-FR"/>
        </w:rPr>
        <w:tab/>
        <w:t>Troisième prélèvement</w:t>
      </w:r>
    </w:p>
    <w:p w:rsidR="00F0564E" w:rsidRPr="008426FA" w:rsidRDefault="00F0564E" w:rsidP="00F0564E">
      <w:pPr>
        <w:pStyle w:val="SingleTxtG"/>
        <w:ind w:left="2268"/>
        <w:rPr>
          <w:lang w:val="fr-FR"/>
        </w:rPr>
      </w:pPr>
      <w:r w:rsidRPr="008426FA">
        <w:rPr>
          <w:lang w:val="fr-FR"/>
        </w:rPr>
        <w:t>On choisit au hasard quatre feux spéciaux d</w:t>
      </w:r>
      <w:r w:rsidR="00170708">
        <w:rPr>
          <w:lang w:val="fr-FR"/>
        </w:rPr>
        <w:t>’</w:t>
      </w:r>
      <w:r w:rsidRPr="008426FA">
        <w:rPr>
          <w:lang w:val="fr-FR"/>
        </w:rPr>
        <w:t xml:space="preserve">avertissement parmi le stock produit après mise en conformité. </w:t>
      </w:r>
    </w:p>
    <w:p w:rsidR="00F0564E" w:rsidRPr="008426FA" w:rsidRDefault="00F0564E" w:rsidP="00F0564E">
      <w:pPr>
        <w:pStyle w:val="SingleTxtG"/>
        <w:ind w:left="2268"/>
        <w:rPr>
          <w:lang w:val="fr-FR"/>
        </w:rPr>
      </w:pPr>
      <w:r w:rsidRPr="008426FA">
        <w:rPr>
          <w:lang w:val="fr-FR"/>
        </w:rPr>
        <w:t>La lettre E est apposée sur le premier et le troisième, et la lettre F sur le deuxième et le quatrième.</w:t>
      </w:r>
    </w:p>
    <w:p w:rsidR="00F0564E" w:rsidRPr="008426FA" w:rsidRDefault="00F0564E" w:rsidP="00F0564E">
      <w:pPr>
        <w:pStyle w:val="SingleTxtG"/>
        <w:ind w:left="2268" w:hanging="1134"/>
        <w:rPr>
          <w:lang w:val="fr-FR"/>
        </w:rPr>
      </w:pPr>
      <w:r w:rsidRPr="008426FA">
        <w:rPr>
          <w:lang w:val="fr-FR"/>
        </w:rPr>
        <w:t>4.1</w:t>
      </w:r>
      <w:r w:rsidRPr="008426FA">
        <w:rPr>
          <w:lang w:val="fr-FR"/>
        </w:rPr>
        <w:tab/>
        <w:t>La conformité des feux spéciaux d</w:t>
      </w:r>
      <w:r w:rsidR="00170708">
        <w:rPr>
          <w:lang w:val="fr-FR"/>
        </w:rPr>
        <w:t>’</w:t>
      </w:r>
      <w:r w:rsidRPr="008426FA">
        <w:rPr>
          <w:lang w:val="fr-FR"/>
        </w:rPr>
        <w:t>avertissement de série n</w:t>
      </w:r>
      <w:r w:rsidR="00170708">
        <w:rPr>
          <w:lang w:val="fr-FR"/>
        </w:rPr>
        <w:t>’</w:t>
      </w:r>
      <w:r w:rsidRPr="008426FA">
        <w:rPr>
          <w:lang w:val="fr-FR"/>
        </w:rPr>
        <w:t>est pas contestée si aucune valeur mesurée sur les feux des échantillons E et F ne s</w:t>
      </w:r>
      <w:r w:rsidR="00170708">
        <w:rPr>
          <w:lang w:val="fr-FR"/>
        </w:rPr>
        <w:t>’</w:t>
      </w:r>
      <w:r w:rsidRPr="008426FA">
        <w:rPr>
          <w:lang w:val="fr-FR"/>
        </w:rPr>
        <w:t>écarte de plus de 20 % (pour aucun des quatre feux).</w:t>
      </w:r>
    </w:p>
    <w:p w:rsidR="00F0564E" w:rsidRPr="008426FA" w:rsidRDefault="00F0564E" w:rsidP="00F0564E">
      <w:pPr>
        <w:pStyle w:val="SingleTxtG"/>
        <w:ind w:left="2268"/>
        <w:rPr>
          <w:lang w:val="fr-FR"/>
        </w:rPr>
      </w:pPr>
      <w:r w:rsidRPr="008426FA">
        <w:rPr>
          <w:lang w:val="fr-FR"/>
        </w:rPr>
        <w:t>Si l</w:t>
      </w:r>
      <w:r w:rsidR="00170708">
        <w:rPr>
          <w:lang w:val="fr-FR"/>
        </w:rPr>
        <w:t>’</w:t>
      </w:r>
      <w:r w:rsidRPr="008426FA">
        <w:rPr>
          <w:lang w:val="fr-FR"/>
        </w:rPr>
        <w:t>écart n</w:t>
      </w:r>
      <w:r w:rsidR="00170708">
        <w:rPr>
          <w:lang w:val="fr-FR"/>
        </w:rPr>
        <w:t>’</w:t>
      </w:r>
      <w:r w:rsidRPr="008426FA">
        <w:rPr>
          <w:lang w:val="fr-FR"/>
        </w:rPr>
        <w:t>est pas supérieur à 0 % pour les deux feux de l</w:t>
      </w:r>
      <w:r w:rsidR="00170708">
        <w:rPr>
          <w:lang w:val="fr-FR"/>
        </w:rPr>
        <w:t>’</w:t>
      </w:r>
      <w:r w:rsidRPr="008426FA">
        <w:rPr>
          <w:lang w:val="fr-FR"/>
        </w:rPr>
        <w:t>échantillon E, on peut arrêter les mesures.</w:t>
      </w:r>
    </w:p>
    <w:p w:rsidR="00F0564E" w:rsidRPr="008426FA" w:rsidRDefault="00F0564E" w:rsidP="00F0564E">
      <w:pPr>
        <w:pStyle w:val="SingleTxtG"/>
        <w:ind w:left="2268" w:hanging="1134"/>
        <w:rPr>
          <w:lang w:val="fr-FR"/>
        </w:rPr>
      </w:pPr>
      <w:r w:rsidRPr="008426FA">
        <w:rPr>
          <w:lang w:val="fr-FR"/>
        </w:rPr>
        <w:t>4.2</w:t>
      </w:r>
      <w:r w:rsidRPr="008426FA">
        <w:rPr>
          <w:lang w:val="fr-FR"/>
        </w:rPr>
        <w:tab/>
        <w:t>La conformité des feux spéciaux d</w:t>
      </w:r>
      <w:r w:rsidR="00170708">
        <w:rPr>
          <w:lang w:val="fr-FR"/>
        </w:rPr>
        <w:t>’</w:t>
      </w:r>
      <w:r w:rsidRPr="008426FA">
        <w:rPr>
          <w:lang w:val="fr-FR"/>
        </w:rPr>
        <w:t>avertissement de série est contestée si l</w:t>
      </w:r>
      <w:r w:rsidR="00170708">
        <w:rPr>
          <w:lang w:val="fr-FR"/>
        </w:rPr>
        <w:t>’</w:t>
      </w:r>
      <w:r w:rsidRPr="008426FA">
        <w:rPr>
          <w:lang w:val="fr-FR"/>
        </w:rPr>
        <w:t>écart de la valeur mesurée sur au moins un feu des échantillons E ou F dépasse 20 %.</w:t>
      </w:r>
    </w:p>
    <w:p w:rsidR="00F0564E" w:rsidRPr="008426FA" w:rsidRDefault="00F0564E" w:rsidP="00F0564E">
      <w:pPr>
        <w:pStyle w:val="SingleTxtG"/>
        <w:ind w:left="2268"/>
        <w:rPr>
          <w:lang w:val="fr-FR"/>
        </w:rPr>
      </w:pPr>
      <w:r w:rsidRPr="008426FA">
        <w:rPr>
          <w:lang w:val="fr-FR"/>
        </w:rPr>
        <w:t>Dans ce cas, il faut retirer l</w:t>
      </w:r>
      <w:r w:rsidR="00170708">
        <w:rPr>
          <w:lang w:val="fr-FR"/>
        </w:rPr>
        <w:t>’</w:t>
      </w:r>
      <w:r w:rsidRPr="008426FA">
        <w:rPr>
          <w:lang w:val="fr-FR"/>
        </w:rPr>
        <w:t>homologation conformément aux dispositions du paragraphe 5 ci-dessous.</w:t>
      </w:r>
    </w:p>
    <w:p w:rsidR="00F0564E" w:rsidRPr="008426FA" w:rsidRDefault="00F0564E" w:rsidP="00F0564E">
      <w:pPr>
        <w:pStyle w:val="SingleTxtG"/>
        <w:ind w:left="2268" w:hanging="1134"/>
        <w:rPr>
          <w:lang w:val="fr-FR"/>
        </w:rPr>
      </w:pPr>
      <w:r w:rsidRPr="008426FA">
        <w:rPr>
          <w:lang w:val="fr-FR"/>
        </w:rPr>
        <w:t>5.</w:t>
      </w:r>
      <w:r w:rsidRPr="008426FA">
        <w:rPr>
          <w:lang w:val="fr-FR"/>
        </w:rPr>
        <w:tab/>
        <w:t>Retrait de l</w:t>
      </w:r>
      <w:r w:rsidR="00170708">
        <w:rPr>
          <w:lang w:val="fr-FR"/>
        </w:rPr>
        <w:t>’</w:t>
      </w:r>
      <w:r w:rsidRPr="008426FA">
        <w:rPr>
          <w:lang w:val="fr-FR"/>
        </w:rPr>
        <w:t>homologation</w:t>
      </w:r>
    </w:p>
    <w:p w:rsidR="00F0564E" w:rsidRPr="008426FA" w:rsidRDefault="00F0564E" w:rsidP="00F0564E">
      <w:pPr>
        <w:pStyle w:val="SingleTxtG"/>
        <w:ind w:left="2268"/>
        <w:rPr>
          <w:lang w:val="fr-FR"/>
        </w:rPr>
      </w:pPr>
      <w:r w:rsidRPr="008426FA">
        <w:rPr>
          <w:lang w:val="fr-FR"/>
        </w:rPr>
        <w:t>L</w:t>
      </w:r>
      <w:r w:rsidR="00170708">
        <w:rPr>
          <w:lang w:val="fr-FR"/>
        </w:rPr>
        <w:t>’</w:t>
      </w:r>
      <w:r w:rsidRPr="008426FA">
        <w:rPr>
          <w:lang w:val="fr-FR"/>
        </w:rPr>
        <w:t>homologation doit être retirée en vertu du paragraphe 10 du présent Règlement.</w:t>
      </w:r>
    </w:p>
    <w:p w:rsidR="00F0564E" w:rsidRPr="008426FA" w:rsidRDefault="00F0564E" w:rsidP="00F0564E">
      <w:pPr>
        <w:pStyle w:val="SingleTxtG"/>
        <w:ind w:left="2268" w:hanging="1134"/>
        <w:rPr>
          <w:lang w:val="fr-FR"/>
        </w:rPr>
      </w:pPr>
      <w:r w:rsidRPr="008426FA">
        <w:rPr>
          <w:lang w:val="fr-FR"/>
        </w:rPr>
        <w:t>6.</w:t>
      </w:r>
      <w:r w:rsidRPr="008426FA">
        <w:rPr>
          <w:lang w:val="fr-FR"/>
        </w:rPr>
        <w:tab/>
        <w:t>Essai à la pluie</w:t>
      </w:r>
    </w:p>
    <w:p w:rsidR="00F0564E" w:rsidRPr="008426FA" w:rsidRDefault="00F0564E" w:rsidP="00F0564E">
      <w:pPr>
        <w:pStyle w:val="SingleTxtG"/>
        <w:ind w:left="2268"/>
        <w:rPr>
          <w:lang w:val="fr-FR"/>
        </w:rPr>
      </w:pPr>
      <w:r w:rsidRPr="008426FA">
        <w:rPr>
          <w:lang w:val="fr-FR"/>
        </w:rPr>
        <w:t>Après la procédure de prélèvement décrite au paragraphe 2 de la présente annexe, l</w:t>
      </w:r>
      <w:r w:rsidR="00170708">
        <w:rPr>
          <w:lang w:val="fr-FR"/>
        </w:rPr>
        <w:t>’</w:t>
      </w:r>
      <w:r w:rsidRPr="008426FA">
        <w:rPr>
          <w:lang w:val="fr-FR"/>
        </w:rPr>
        <w:t>un des feux spéciaux d</w:t>
      </w:r>
      <w:r w:rsidR="00170708">
        <w:rPr>
          <w:lang w:val="fr-FR"/>
        </w:rPr>
        <w:t>’</w:t>
      </w:r>
      <w:r w:rsidRPr="008426FA">
        <w:rPr>
          <w:lang w:val="fr-FR"/>
        </w:rPr>
        <w:t>avertissement de l</w:t>
      </w:r>
      <w:r w:rsidR="00170708">
        <w:rPr>
          <w:lang w:val="fr-FR"/>
        </w:rPr>
        <w:t>’</w:t>
      </w:r>
      <w:r w:rsidRPr="008426FA">
        <w:rPr>
          <w:lang w:val="fr-FR"/>
        </w:rPr>
        <w:t>échantillon A doit être soumis à la procédure décrite à l</w:t>
      </w:r>
      <w:r w:rsidR="00170708">
        <w:rPr>
          <w:lang w:val="fr-FR"/>
        </w:rPr>
        <w:t>’</w:t>
      </w:r>
      <w:r w:rsidRPr="008426FA">
        <w:rPr>
          <w:lang w:val="fr-FR"/>
        </w:rPr>
        <w:t>annexe 4 du présent Règlement.</w:t>
      </w:r>
    </w:p>
    <w:p w:rsidR="00F0564E" w:rsidRPr="008426FA" w:rsidRDefault="00F0564E" w:rsidP="00F0564E">
      <w:pPr>
        <w:pStyle w:val="SingleTxtG"/>
        <w:ind w:left="2268"/>
        <w:rPr>
          <w:lang w:val="fr-FR"/>
        </w:rPr>
      </w:pPr>
      <w:r w:rsidRPr="008426FA">
        <w:rPr>
          <w:lang w:val="fr-FR"/>
        </w:rPr>
        <w:t>Le feu spécial d</w:t>
      </w:r>
      <w:r w:rsidR="00170708">
        <w:rPr>
          <w:lang w:val="fr-FR"/>
        </w:rPr>
        <w:t>’</w:t>
      </w:r>
      <w:r w:rsidRPr="008426FA">
        <w:rPr>
          <w:lang w:val="fr-FR"/>
        </w:rPr>
        <w:t>avertissement est considéré comme satisfaisant s</w:t>
      </w:r>
      <w:r w:rsidR="00170708">
        <w:rPr>
          <w:lang w:val="fr-FR"/>
        </w:rPr>
        <w:t>’</w:t>
      </w:r>
      <w:r w:rsidRPr="008426FA">
        <w:rPr>
          <w:lang w:val="fr-FR"/>
        </w:rPr>
        <w:t>il passe l</w:t>
      </w:r>
      <w:r w:rsidR="00170708">
        <w:rPr>
          <w:lang w:val="fr-FR"/>
        </w:rPr>
        <w:t>’</w:t>
      </w:r>
      <w:r w:rsidRPr="008426FA">
        <w:rPr>
          <w:lang w:val="fr-FR"/>
        </w:rPr>
        <w:t>essai avec succès.</w:t>
      </w:r>
    </w:p>
    <w:p w:rsidR="005F0207" w:rsidRDefault="00F0564E" w:rsidP="00F0564E">
      <w:pPr>
        <w:pStyle w:val="SingleTxtG"/>
        <w:ind w:left="2268"/>
        <w:rPr>
          <w:lang w:val="fr-FR"/>
        </w:rPr>
      </w:pPr>
      <w:r w:rsidRPr="008426FA">
        <w:rPr>
          <w:lang w:val="fr-FR"/>
        </w:rPr>
        <w:t>Toutefois, si l</w:t>
      </w:r>
      <w:r w:rsidR="00170708">
        <w:rPr>
          <w:lang w:val="fr-FR"/>
        </w:rPr>
        <w:t>’</w:t>
      </w:r>
      <w:r w:rsidRPr="008426FA">
        <w:rPr>
          <w:lang w:val="fr-FR"/>
        </w:rPr>
        <w:t>essai est défavorable pour l</w:t>
      </w:r>
      <w:r w:rsidR="00170708">
        <w:rPr>
          <w:lang w:val="fr-FR"/>
        </w:rPr>
        <w:t>’</w:t>
      </w:r>
      <w:r w:rsidRPr="008426FA">
        <w:rPr>
          <w:lang w:val="fr-FR"/>
        </w:rPr>
        <w:t>échantillon A, les deux feux spéciaux d</w:t>
      </w:r>
      <w:r w:rsidR="00170708">
        <w:rPr>
          <w:lang w:val="fr-FR"/>
        </w:rPr>
        <w:t>’</w:t>
      </w:r>
      <w:r>
        <w:rPr>
          <w:lang w:val="fr-FR"/>
        </w:rPr>
        <w:t>avertissement de l</w:t>
      </w:r>
      <w:r w:rsidR="00170708">
        <w:rPr>
          <w:lang w:val="fr-FR"/>
        </w:rPr>
        <w:t>’</w:t>
      </w:r>
      <w:r>
        <w:rPr>
          <w:lang w:val="fr-FR"/>
        </w:rPr>
        <w:t>échantillon </w:t>
      </w:r>
      <w:r w:rsidRPr="008426FA">
        <w:rPr>
          <w:lang w:val="fr-FR"/>
        </w:rPr>
        <w:t>B doivent être soumis à la même procédure et tous les deux doivent passer l</w:t>
      </w:r>
      <w:r w:rsidR="00170708">
        <w:rPr>
          <w:lang w:val="fr-FR"/>
        </w:rPr>
        <w:t>’</w:t>
      </w:r>
      <w:r w:rsidRPr="008426FA">
        <w:rPr>
          <w:lang w:val="fr-FR"/>
        </w:rPr>
        <w:t>essai avec succès. ».</w:t>
      </w:r>
    </w:p>
    <w:p w:rsidR="00ED6BF8" w:rsidRPr="00ED6BF8" w:rsidRDefault="00ED6BF8" w:rsidP="00ED6BF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D6BF8" w:rsidRPr="00ED6BF8" w:rsidSect="00F0564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066" w:rsidRDefault="00C22066"/>
  </w:endnote>
  <w:endnote w:type="continuationSeparator" w:id="0">
    <w:p w:rsidR="00C22066" w:rsidRDefault="00C22066">
      <w:pPr>
        <w:pStyle w:val="Footer"/>
      </w:pPr>
    </w:p>
  </w:endnote>
  <w:endnote w:type="continuationNotice" w:id="1">
    <w:p w:rsidR="00C22066" w:rsidRPr="00C451B9" w:rsidRDefault="00C22066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64E" w:rsidRPr="00F0564E" w:rsidRDefault="00F0564E" w:rsidP="00F0564E">
    <w:pPr>
      <w:pStyle w:val="Footer"/>
      <w:tabs>
        <w:tab w:val="right" w:pos="9638"/>
      </w:tabs>
    </w:pPr>
    <w:r w:rsidRPr="00F0564E">
      <w:rPr>
        <w:b/>
        <w:sz w:val="18"/>
      </w:rPr>
      <w:fldChar w:fldCharType="begin"/>
    </w:r>
    <w:r w:rsidRPr="00F0564E">
      <w:rPr>
        <w:b/>
        <w:sz w:val="18"/>
      </w:rPr>
      <w:instrText xml:space="preserve"> PAGE  \* MERGEFORMAT </w:instrText>
    </w:r>
    <w:r w:rsidRPr="00F0564E">
      <w:rPr>
        <w:b/>
        <w:sz w:val="18"/>
      </w:rPr>
      <w:fldChar w:fldCharType="separate"/>
    </w:r>
    <w:r w:rsidR="00004602">
      <w:rPr>
        <w:b/>
        <w:noProof/>
        <w:sz w:val="18"/>
      </w:rPr>
      <w:t>4</w:t>
    </w:r>
    <w:r w:rsidRPr="00F0564E">
      <w:rPr>
        <w:b/>
        <w:sz w:val="18"/>
      </w:rPr>
      <w:fldChar w:fldCharType="end"/>
    </w:r>
    <w:r>
      <w:rPr>
        <w:b/>
        <w:sz w:val="18"/>
      </w:rPr>
      <w:tab/>
    </w:r>
    <w:r>
      <w:t>GE.17-21795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64E" w:rsidRPr="00F0564E" w:rsidRDefault="00F0564E" w:rsidP="00F0564E">
    <w:pPr>
      <w:pStyle w:val="Footer"/>
      <w:tabs>
        <w:tab w:val="right" w:pos="9638"/>
      </w:tabs>
      <w:rPr>
        <w:b/>
        <w:sz w:val="18"/>
      </w:rPr>
    </w:pPr>
    <w:r>
      <w:t>GE.17-21795</w:t>
    </w:r>
    <w:r>
      <w:tab/>
    </w:r>
    <w:r w:rsidRPr="00F0564E">
      <w:rPr>
        <w:b/>
        <w:sz w:val="18"/>
      </w:rPr>
      <w:fldChar w:fldCharType="begin"/>
    </w:r>
    <w:r w:rsidRPr="00F0564E">
      <w:rPr>
        <w:b/>
        <w:sz w:val="18"/>
      </w:rPr>
      <w:instrText xml:space="preserve"> PAGE  \* MERGEFORMAT </w:instrText>
    </w:r>
    <w:r w:rsidRPr="00F0564E">
      <w:rPr>
        <w:b/>
        <w:sz w:val="18"/>
      </w:rPr>
      <w:fldChar w:fldCharType="separate"/>
    </w:r>
    <w:r w:rsidR="00004602">
      <w:rPr>
        <w:b/>
        <w:noProof/>
        <w:sz w:val="18"/>
      </w:rPr>
      <w:t>3</w:t>
    </w:r>
    <w:r w:rsidRPr="00F0564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F0564E" w:rsidRDefault="00F0564E" w:rsidP="00F0564E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17-21795  (F)</w:t>
    </w:r>
    <w:r w:rsidR="00ED6BF8">
      <w:rPr>
        <w:sz w:val="20"/>
      </w:rPr>
      <w:t xml:space="preserve">    090318    160418</w:t>
    </w:r>
    <w:r>
      <w:rPr>
        <w:sz w:val="20"/>
      </w:rPr>
      <w:br/>
    </w:r>
    <w:r w:rsidRPr="00F0564E">
      <w:rPr>
        <w:rFonts w:ascii="C39T30Lfz" w:hAnsi="C39T30Lfz"/>
        <w:sz w:val="56"/>
      </w:rPr>
      <w:t></w:t>
    </w:r>
    <w:r w:rsidRPr="00F0564E">
      <w:rPr>
        <w:rFonts w:ascii="C39T30Lfz" w:hAnsi="C39T30Lfz"/>
        <w:sz w:val="56"/>
      </w:rPr>
      <w:t></w:t>
    </w:r>
    <w:r w:rsidRPr="00F0564E">
      <w:rPr>
        <w:rFonts w:ascii="C39T30Lfz" w:hAnsi="C39T30Lfz"/>
        <w:sz w:val="56"/>
      </w:rPr>
      <w:t></w:t>
    </w:r>
    <w:r w:rsidRPr="00F0564E">
      <w:rPr>
        <w:rFonts w:ascii="C39T30Lfz" w:hAnsi="C39T30Lfz"/>
        <w:sz w:val="56"/>
      </w:rPr>
      <w:t></w:t>
    </w:r>
    <w:r w:rsidRPr="00F0564E">
      <w:rPr>
        <w:rFonts w:ascii="C39T30Lfz" w:hAnsi="C39T30Lfz"/>
        <w:sz w:val="56"/>
      </w:rPr>
      <w:t></w:t>
    </w:r>
    <w:r w:rsidRPr="00F0564E">
      <w:rPr>
        <w:rFonts w:ascii="C39T30Lfz" w:hAnsi="C39T30Lfz"/>
        <w:sz w:val="56"/>
      </w:rPr>
      <w:t></w:t>
    </w:r>
    <w:r w:rsidRPr="00F0564E">
      <w:rPr>
        <w:rFonts w:ascii="C39T30Lfz" w:hAnsi="C39T30Lfz"/>
        <w:sz w:val="56"/>
      </w:rPr>
      <w:t></w:t>
    </w:r>
    <w:r w:rsidRPr="00F0564E">
      <w:rPr>
        <w:rFonts w:ascii="C39T30Lfz" w:hAnsi="C39T30Lfz"/>
        <w:sz w:val="56"/>
      </w:rPr>
      <w:t></w:t>
    </w:r>
    <w:r w:rsidRPr="00F0564E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64/Rev.2/Amend.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64/Rev.2/Amend.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066" w:rsidRPr="00D27D5E" w:rsidRDefault="00C22066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22066" w:rsidRPr="00D171D4" w:rsidRDefault="00C22066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C22066" w:rsidRPr="00C451B9" w:rsidRDefault="00C22066" w:rsidP="00C451B9">
      <w:pPr>
        <w:spacing w:line="240" w:lineRule="auto"/>
        <w:rPr>
          <w:sz w:val="2"/>
          <w:szCs w:val="2"/>
        </w:rPr>
      </w:pPr>
    </w:p>
  </w:footnote>
  <w:footnote w:id="2">
    <w:p w:rsidR="00F0564E" w:rsidRPr="00F15B8C" w:rsidRDefault="00F0564E" w:rsidP="00F0564E">
      <w:pPr>
        <w:pStyle w:val="FootnoteText"/>
      </w:pPr>
      <w:r>
        <w:rPr>
          <w:rStyle w:val="FootnoteReference"/>
        </w:rPr>
        <w:tab/>
      </w:r>
      <w:r w:rsidRPr="00F0564E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F15B8C">
        <w:t>Anciens titres de l</w:t>
      </w:r>
      <w:r w:rsidR="00170708">
        <w:t>’</w:t>
      </w:r>
      <w:r w:rsidRPr="00F15B8C">
        <w:t>Accord :</w:t>
      </w:r>
    </w:p>
    <w:p w:rsidR="00F0564E" w:rsidRPr="00F15B8C" w:rsidRDefault="00F0564E" w:rsidP="00F0564E">
      <w:pPr>
        <w:pStyle w:val="FootnoteText"/>
      </w:pPr>
      <w:r w:rsidRPr="00F15B8C">
        <w:tab/>
      </w:r>
      <w:r w:rsidRPr="00F15B8C">
        <w:tab/>
        <w:t>Accord concernant l</w:t>
      </w:r>
      <w:r w:rsidR="00170708">
        <w:t>’</w:t>
      </w:r>
      <w:r w:rsidRPr="00F15B8C">
        <w:t>adoption de conditions uniformes d</w:t>
      </w:r>
      <w:r w:rsidR="00170708">
        <w:t>’</w:t>
      </w:r>
      <w:r w:rsidRPr="00F15B8C">
        <w:t>homologation et la reconnaissance réciproque de l</w:t>
      </w:r>
      <w:r w:rsidR="00170708">
        <w:t>’</w:t>
      </w:r>
      <w:r w:rsidRPr="00F15B8C">
        <w:t>homologation des équipements et pièces de véhicules à moteur, en date, à Genève, du 20 mars 1958 (version originale)</w:t>
      </w:r>
      <w:r w:rsidR="00170708">
        <w:t> </w:t>
      </w:r>
      <w:r w:rsidRPr="00F15B8C">
        <w:t>;</w:t>
      </w:r>
    </w:p>
    <w:p w:rsidR="00F0564E" w:rsidRPr="00F0564E" w:rsidRDefault="00F0564E" w:rsidP="00F0564E">
      <w:pPr>
        <w:pStyle w:val="FootnoteText"/>
      </w:pPr>
      <w:r w:rsidRPr="00F15B8C">
        <w:tab/>
      </w:r>
      <w:r w:rsidRPr="00F15B8C">
        <w:tab/>
        <w:t>Accord concernant l</w:t>
      </w:r>
      <w:r w:rsidR="00170708">
        <w:t>’</w:t>
      </w:r>
      <w:r w:rsidRPr="00F15B8C">
        <w:t>adoption de prescriptions techniques uniformes applicables aux véhicules à roues, aux équipements et aux pièces susceptibles d</w:t>
      </w:r>
      <w:r w:rsidR="00170708">
        <w:t>’</w:t>
      </w:r>
      <w:r w:rsidRPr="00F15B8C">
        <w:t>être montés ou utilisés sur un véhicule à roues et les conditions de reconnaissance réciproque des homologations délivrées conformément à ces prescriptions, en date, à Genève, du 5 octobre 1995 (Révision 2)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64E" w:rsidRPr="00F0564E" w:rsidRDefault="00F0564E">
    <w:pPr>
      <w:pStyle w:val="Header"/>
      <w:rPr>
        <w:lang w:val="en-US"/>
      </w:rPr>
    </w:pPr>
    <w:r>
      <w:fldChar w:fldCharType="begin"/>
    </w:r>
    <w:r w:rsidRPr="00F0564E">
      <w:rPr>
        <w:lang w:val="en-US"/>
      </w:rPr>
      <w:instrText xml:space="preserve"> TITLE  \* MERGEFORMAT </w:instrText>
    </w:r>
    <w:r>
      <w:fldChar w:fldCharType="separate"/>
    </w:r>
    <w:r w:rsidR="00004602">
      <w:rPr>
        <w:lang w:val="en-US"/>
      </w:rPr>
      <w:t>E/ECE/324/Rev.1/Add.64/Rev.2/Amend.3</w:t>
    </w:r>
    <w:r>
      <w:fldChar w:fldCharType="end"/>
    </w:r>
    <w:r w:rsidRPr="00F0564E">
      <w:rPr>
        <w:lang w:val="en-US"/>
      </w:rPr>
      <w:br/>
    </w:r>
    <w:r>
      <w:fldChar w:fldCharType="begin"/>
    </w:r>
    <w:r w:rsidRPr="00F0564E">
      <w:rPr>
        <w:lang w:val="en-US"/>
      </w:rPr>
      <w:instrText xml:space="preserve"> KEYWORDS  \* MERGEFORMAT </w:instrText>
    </w:r>
    <w:r>
      <w:fldChar w:fldCharType="separate"/>
    </w:r>
    <w:r w:rsidR="00004602">
      <w:rPr>
        <w:lang w:val="en-US"/>
      </w:rPr>
      <w:t>E/ECE/TRANS/505/Rev.1/Add.64/Rev.2/Amend.3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64E" w:rsidRPr="00F0564E" w:rsidRDefault="00F0564E" w:rsidP="00F0564E">
    <w:pPr>
      <w:pStyle w:val="Header"/>
      <w:jc w:val="right"/>
      <w:rPr>
        <w:lang w:val="en-US"/>
      </w:rPr>
    </w:pPr>
    <w:r>
      <w:fldChar w:fldCharType="begin"/>
    </w:r>
    <w:r w:rsidRPr="00F0564E">
      <w:rPr>
        <w:lang w:val="en-US"/>
      </w:rPr>
      <w:instrText xml:space="preserve"> TITLE  \* MERGEFORMAT </w:instrText>
    </w:r>
    <w:r>
      <w:fldChar w:fldCharType="separate"/>
    </w:r>
    <w:r w:rsidR="00004602">
      <w:rPr>
        <w:lang w:val="en-US"/>
      </w:rPr>
      <w:t>E/ECE/324/Rev.1/Add.64/Rev.2/Amend.3</w:t>
    </w:r>
    <w:r>
      <w:fldChar w:fldCharType="end"/>
    </w:r>
    <w:r w:rsidRPr="00F0564E">
      <w:rPr>
        <w:lang w:val="en-US"/>
      </w:rPr>
      <w:br/>
    </w:r>
    <w:r>
      <w:fldChar w:fldCharType="begin"/>
    </w:r>
    <w:r w:rsidRPr="00F0564E">
      <w:rPr>
        <w:lang w:val="en-US"/>
      </w:rPr>
      <w:instrText xml:space="preserve"> KEYWORDS  \* MERGEFORMAT </w:instrText>
    </w:r>
    <w:r>
      <w:fldChar w:fldCharType="separate"/>
    </w:r>
    <w:r w:rsidR="00004602">
      <w:rPr>
        <w:lang w:val="en-US"/>
      </w:rPr>
      <w:t>E/ECE/TRANS/505/Rev.1/Add.64/Rev.2/Amend.3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66"/>
    <w:rsid w:val="00004602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B5CE5"/>
    <w:rsid w:val="000C6CDB"/>
    <w:rsid w:val="000D5C25"/>
    <w:rsid w:val="000E4F06"/>
    <w:rsid w:val="000E5601"/>
    <w:rsid w:val="000E5602"/>
    <w:rsid w:val="000F41F2"/>
    <w:rsid w:val="0010373B"/>
    <w:rsid w:val="0011170F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0708"/>
    <w:rsid w:val="00174814"/>
    <w:rsid w:val="00174D80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C2832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5746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2066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A3D38"/>
    <w:rsid w:val="00EB6B55"/>
    <w:rsid w:val="00EB77B9"/>
    <w:rsid w:val="00EB7D07"/>
    <w:rsid w:val="00ED3A26"/>
    <w:rsid w:val="00ED6BF8"/>
    <w:rsid w:val="00EF70BB"/>
    <w:rsid w:val="00F02FA9"/>
    <w:rsid w:val="00F0564E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5287CB51-3DDC-45DD-93E2-38B5BCBD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F5053E-1E7C-4212-87E1-CCD804321D91}"/>
</file>

<file path=customXml/itemProps2.xml><?xml version="1.0" encoding="utf-8"?>
<ds:datastoreItem xmlns:ds="http://schemas.openxmlformats.org/officeDocument/2006/customXml" ds:itemID="{7486AFE2-15D4-4F08-982A-1DF2887576DC}"/>
</file>

<file path=customXml/itemProps3.xml><?xml version="1.0" encoding="utf-8"?>
<ds:datastoreItem xmlns:ds="http://schemas.openxmlformats.org/officeDocument/2006/customXml" ds:itemID="{13DF360A-F36D-4413-9F51-482CB72715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7362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E/ECE/324/Rev.1/Add.64/Rev.2/Amend.3</vt:lpstr>
      <vt:lpstr>E/ECE/324/Rev</vt:lpstr>
    </vt:vector>
  </TitlesOfParts>
  <Company>CSD</Company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E/ECE/324/Rev.1/Add.64/Rev.2/Amend.3</dc:title>
  <dc:creator>Julien OKRZESIK</dc:creator>
  <cp:keywords>E/ECE/TRANS/505/Rev.1/Add.64/Rev.2/Amend.3</cp:keywords>
  <cp:lastModifiedBy>Olivia Braud</cp:lastModifiedBy>
  <cp:revision>2</cp:revision>
  <cp:lastPrinted>2018-04-13T17:15:00Z</cp:lastPrinted>
  <dcterms:created xsi:type="dcterms:W3CDTF">2018-08-22T13:01:00Z</dcterms:created>
  <dcterms:modified xsi:type="dcterms:W3CDTF">2018-08-22T13:01:00Z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463400</vt:r8>
  </property>
</Properties>
</file>