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17E87" w14:paraId="337B9F9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75598" w14:textId="77777777" w:rsidR="00717E87" w:rsidRPr="00717E87" w:rsidRDefault="00717E87" w:rsidP="00717E87">
            <w:pPr>
              <w:jc w:val="right"/>
              <w:rPr>
                <w:lang w:val="en-US"/>
              </w:rPr>
            </w:pPr>
            <w:r w:rsidRPr="00717E87">
              <w:rPr>
                <w:sz w:val="40"/>
                <w:lang w:val="en-US"/>
              </w:rPr>
              <w:t>E</w:t>
            </w:r>
            <w:r w:rsidRPr="00717E87">
              <w:rPr>
                <w:lang w:val="en-US"/>
              </w:rPr>
              <w:t>/ECE/324/Rev.1/Add.63/Rev.2/Amend.1−</w:t>
            </w:r>
            <w:r w:rsidRPr="00717E87">
              <w:rPr>
                <w:sz w:val="40"/>
                <w:lang w:val="en-US"/>
              </w:rPr>
              <w:t>E</w:t>
            </w:r>
            <w:r w:rsidRPr="00717E87">
              <w:rPr>
                <w:lang w:val="en-US"/>
              </w:rPr>
              <w:t>/ECE/TRANS/505/Rev.1/Add.63/Rev.2/Amend.1</w:t>
            </w:r>
          </w:p>
        </w:tc>
      </w:tr>
      <w:tr w:rsidR="00421A10" w:rsidRPr="00DB58B5" w14:paraId="4F02EDC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A5D82B" w14:textId="77777777" w:rsidR="00421A10" w:rsidRPr="00717E8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62B692" w14:textId="77777777" w:rsidR="00421A10" w:rsidRPr="00DB58B5" w:rsidRDefault="00717E87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14:paraId="3E68FD7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CD119C5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B147BE">
        <w:t>’</w:t>
      </w:r>
      <w:r w:rsidR="00421A10" w:rsidRPr="00583D68">
        <w:t xml:space="preserve">adoption </w:t>
      </w:r>
      <w:r w:rsidR="00BA149C" w:rsidRPr="000C4A6B">
        <w:rPr>
          <w:rFonts w:eastAsia="SimSun"/>
          <w:lang w:val="fr-FR"/>
        </w:rPr>
        <w:t xml:space="preserve">de Règlements techniques harmonisés </w:t>
      </w:r>
      <w:r w:rsidR="00BA149C" w:rsidRPr="000C4A6B">
        <w:rPr>
          <w:rFonts w:eastAsia="SimSun"/>
          <w:lang w:val="fr-FR"/>
        </w:rPr>
        <w:br/>
        <w:t>de l</w:t>
      </w:r>
      <w:r w:rsidR="00B147BE">
        <w:rPr>
          <w:rFonts w:eastAsia="SimSun"/>
          <w:lang w:val="fr-FR"/>
        </w:rPr>
        <w:t>’</w:t>
      </w:r>
      <w:r w:rsidR="00BA149C" w:rsidRPr="000C4A6B">
        <w:rPr>
          <w:rFonts w:eastAsia="SimSun"/>
          <w:lang w:val="fr-FR"/>
        </w:rPr>
        <w:t xml:space="preserve">ONU applicables aux véhicules à roues et aux équipements </w:t>
      </w:r>
      <w:r w:rsidR="00BA149C" w:rsidRPr="000C4A6B">
        <w:rPr>
          <w:rFonts w:eastAsia="SimSun"/>
          <w:lang w:val="fr-FR"/>
        </w:rPr>
        <w:br/>
        <w:t>et pièces susceptibles d</w:t>
      </w:r>
      <w:r w:rsidR="00B147BE">
        <w:rPr>
          <w:rFonts w:eastAsia="SimSun"/>
          <w:lang w:val="fr-FR"/>
        </w:rPr>
        <w:t>’</w:t>
      </w:r>
      <w:r w:rsidR="00BA149C" w:rsidRPr="000C4A6B">
        <w:rPr>
          <w:rFonts w:eastAsia="SimSun"/>
          <w:lang w:val="fr-FR"/>
        </w:rPr>
        <w:t>être monté</w:t>
      </w:r>
      <w:bookmarkStart w:id="0" w:name="_GoBack"/>
      <w:bookmarkEnd w:id="0"/>
      <w:r w:rsidR="00BA149C" w:rsidRPr="000C4A6B">
        <w:rPr>
          <w:rFonts w:eastAsia="SimSun"/>
          <w:lang w:val="fr-FR"/>
        </w:rPr>
        <w:t xml:space="preserve">s ou utilisés sur les véhicules </w:t>
      </w:r>
      <w:r w:rsidR="00BA149C" w:rsidRPr="000C4A6B">
        <w:rPr>
          <w:rFonts w:eastAsia="SimSun"/>
          <w:lang w:val="fr-FR"/>
        </w:rPr>
        <w:br/>
        <w:t xml:space="preserve">à roues et les conditions de reconnaissance réciproque </w:t>
      </w:r>
      <w:r w:rsidR="00BA149C" w:rsidRPr="000C4A6B">
        <w:rPr>
          <w:rFonts w:eastAsia="SimSun"/>
          <w:lang w:val="fr-FR"/>
        </w:rPr>
        <w:br/>
        <w:t>des homologations délivrées conformément à ces Règlements</w:t>
      </w:r>
      <w:r w:rsidR="00442E31" w:rsidRPr="00BA149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CD67C59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A149C" w:rsidRPr="00E167CD">
        <w:rPr>
          <w:rFonts w:eastAsia="SimSun"/>
          <w:lang w:val="fr-FR"/>
        </w:rPr>
        <w:t>3, comprenant les amendements entrés en vigueur le 14 septembre 2017</w:t>
      </w:r>
      <w:r w:rsidRPr="006549FF">
        <w:t>)</w:t>
      </w:r>
    </w:p>
    <w:p w14:paraId="2B6D3DBF" w14:textId="77777777" w:rsidR="00421A10" w:rsidRPr="006549FF" w:rsidRDefault="0029791D" w:rsidP="0029791D">
      <w:pPr>
        <w:jc w:val="center"/>
      </w:pPr>
      <w:r>
        <w:t>_______________</w:t>
      </w:r>
    </w:p>
    <w:p w14:paraId="18E692F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A149C">
        <w:t xml:space="preserve">63 </w:t>
      </w:r>
      <w:r w:rsidR="00BA149C">
        <w:rPr>
          <w:lang w:val="fr-FR"/>
        </w:rPr>
        <w:t>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A149C">
        <w:t>64</w:t>
      </w:r>
    </w:p>
    <w:p w14:paraId="609FF71F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A149C">
        <w:t xml:space="preserve">2 </w:t>
      </w:r>
      <w:r w:rsidR="00BA149C">
        <w:rPr>
          <w:lang w:val="fr-FR"/>
        </w:rPr>
        <w:t>−</w:t>
      </w:r>
      <w:r w:rsidR="00BA149C">
        <w:rPr>
          <w:lang w:val="fr-FR"/>
        </w:rPr>
        <w:t xml:space="preserve"> </w:t>
      </w:r>
      <w:r w:rsidR="00BA149C" w:rsidRPr="00CB4E52">
        <w:t>Amendement 1</w:t>
      </w:r>
    </w:p>
    <w:p w14:paraId="73D85CB7" w14:textId="77777777" w:rsidR="00421A10" w:rsidRPr="004A7E44" w:rsidRDefault="00BA149C" w:rsidP="0029791D">
      <w:pPr>
        <w:pStyle w:val="SingleTxtG"/>
        <w:spacing w:after="0"/>
      </w:pPr>
      <w:r w:rsidRPr="00193EFE">
        <w:rPr>
          <w:rFonts w:eastAsia="SimSun"/>
          <w:lang w:val="fr-FR" w:eastAsia="en-GB"/>
        </w:rPr>
        <w:t>Complément 1</w:t>
      </w:r>
      <w:r>
        <w:rPr>
          <w:rFonts w:eastAsia="SimSun"/>
          <w:lang w:val="fr-FR" w:eastAsia="en-GB"/>
        </w:rPr>
        <w:t xml:space="preserve"> </w:t>
      </w:r>
      <w:r w:rsidRPr="00193EFE">
        <w:rPr>
          <w:rFonts w:eastAsia="SimSun"/>
          <w:lang w:val="fr-FR" w:eastAsia="en-GB"/>
        </w:rPr>
        <w:t>à la série 03 d</w:t>
      </w:r>
      <w:r w:rsidR="00B147BE">
        <w:rPr>
          <w:rFonts w:eastAsia="SimSun"/>
          <w:lang w:val="fr-FR" w:eastAsia="en-GB"/>
        </w:rPr>
        <w:t>’</w:t>
      </w:r>
      <w:r w:rsidRPr="00193EFE">
        <w:rPr>
          <w:rFonts w:eastAsia="SimSun"/>
          <w:lang w:val="fr-FR" w:eastAsia="en-GB"/>
        </w:rPr>
        <w:t>amendements − Date d</w:t>
      </w:r>
      <w:r w:rsidR="00B147BE">
        <w:rPr>
          <w:rFonts w:eastAsia="SimSun"/>
          <w:lang w:val="fr-FR" w:eastAsia="en-GB"/>
        </w:rPr>
        <w:t>’</w:t>
      </w:r>
      <w:r w:rsidRPr="00193EFE">
        <w:rPr>
          <w:rFonts w:eastAsia="SimSun"/>
          <w:lang w:val="fr-FR" w:eastAsia="en-GB"/>
        </w:rPr>
        <w:t>entrée en vigueur : 11 janvier 2020</w:t>
      </w:r>
    </w:p>
    <w:p w14:paraId="4E69CD5E" w14:textId="77777777" w:rsidR="00421A10" w:rsidRDefault="0029791D" w:rsidP="0029791D">
      <w:pPr>
        <w:pStyle w:val="H1G"/>
      </w:pPr>
      <w:r>
        <w:tab/>
      </w:r>
      <w:r>
        <w:tab/>
      </w:r>
      <w:r w:rsidR="00BA149C" w:rsidRPr="00CB4E52">
        <w:t>Prescriptions uniformes relatives à l</w:t>
      </w:r>
      <w:r w:rsidR="00B147BE">
        <w:t>’</w:t>
      </w:r>
      <w:r w:rsidR="00BA149C" w:rsidRPr="00CB4E52">
        <w:t xml:space="preserve">homologation des véhicules </w:t>
      </w:r>
      <w:r w:rsidR="00BA149C">
        <w:br/>
      </w:r>
      <w:r w:rsidR="00BA149C" w:rsidRPr="00CB4E52">
        <w:t>en ce qui concerne leur équipement qui peut comprendre</w:t>
      </w:r>
      <w:r w:rsidR="00BA149C">
        <w:t> </w:t>
      </w:r>
      <w:r w:rsidR="00BA149C" w:rsidRPr="00CB4E52">
        <w:t>: un</w:t>
      </w:r>
      <w:r w:rsidR="00BA149C">
        <w:t> </w:t>
      </w:r>
      <w:r w:rsidR="00BA149C" w:rsidRPr="00CB4E52">
        <w:t>équipement de secours à usage temporaire, des pneumatiques pour</w:t>
      </w:r>
      <w:r w:rsidR="00BA149C">
        <w:t> </w:t>
      </w:r>
      <w:r w:rsidR="00BA149C" w:rsidRPr="00CB4E52">
        <w:t xml:space="preserve">roulage à plat et/ou un système de roulage à plat </w:t>
      </w:r>
      <w:r w:rsidR="00BA149C">
        <w:br/>
      </w:r>
      <w:r w:rsidR="00BA149C" w:rsidRPr="00CB4E52">
        <w:t>et/ou des pneumatiques à mobilité prolongée</w:t>
      </w:r>
    </w:p>
    <w:p w14:paraId="4BF876C6" w14:textId="77777777" w:rsidR="00A9332F" w:rsidRPr="00A9332F" w:rsidRDefault="00BA149C" w:rsidP="00A9332F">
      <w:pPr>
        <w:pStyle w:val="SingleTxtG"/>
        <w:rPr>
          <w:spacing w:val="-2"/>
          <w:lang w:eastAsia="en-GB"/>
        </w:rPr>
      </w:pPr>
      <w:r w:rsidRPr="00A9332F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65D475" wp14:editId="1C946F43">
                <wp:simplePos x="0" y="0"/>
                <wp:positionH relativeFrom="margin">
                  <wp:posOffset>0</wp:posOffset>
                </wp:positionH>
                <wp:positionV relativeFrom="margin">
                  <wp:posOffset>6447839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F80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62D7DD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AF15788" wp14:editId="07B7C7A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14B4B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D47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7.7pt;width:481.85pt;height:90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wgTAGN8AAAAKAQAADwAAAAAAAAAAAAAAAAB8BAAAZHJzL2Rvd25y&#10;ZXYueG1sUEsFBgAAAAAEAAQA8wAAAIgFAAAAAA==&#10;" stroked="f">
                <v:textbox inset="0,0,0,0">
                  <w:txbxContent>
                    <w:p w14:paraId="0479F80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62D7DD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AF15788" wp14:editId="07B7C7A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14B4B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9332F">
        <w:rPr>
          <w:spacing w:val="-2"/>
        </w:rPr>
        <w:t>Le présent document est communiqué uniquement à titre d</w:t>
      </w:r>
      <w:r w:rsidR="00B147BE">
        <w:rPr>
          <w:spacing w:val="-2"/>
        </w:rPr>
        <w:t>’</w:t>
      </w:r>
      <w:r w:rsidRPr="00A9332F">
        <w:rPr>
          <w:spacing w:val="-2"/>
        </w:rPr>
        <w:t xml:space="preserve">information. Le texte authentique, juridiquement contraignant, est celui du document </w:t>
      </w:r>
      <w:r w:rsidRPr="00A9332F">
        <w:rPr>
          <w:spacing w:val="-2"/>
          <w:lang w:eastAsia="en-GB"/>
        </w:rPr>
        <w:t>ECE/TRANS/WP.29/2019/52</w:t>
      </w:r>
      <w:r w:rsidR="00D22F82">
        <w:rPr>
          <w:spacing w:val="-2"/>
          <w:lang w:eastAsia="en-GB"/>
        </w:rPr>
        <w:t>.</w:t>
      </w:r>
    </w:p>
    <w:p w14:paraId="15F16BCA" w14:textId="77777777" w:rsidR="009933F1" w:rsidRPr="00447B4E" w:rsidRDefault="00BA149C" w:rsidP="00A9332F">
      <w:pPr>
        <w:pStyle w:val="SingleTxtG"/>
      </w:pPr>
      <w:r w:rsidRPr="00BA149C">
        <w:rPr>
          <w:lang w:eastAsia="en-GB"/>
        </w:rPr>
        <w:t>.</w:t>
      </w:r>
      <w:r>
        <w:rPr>
          <w:lang w:eastAsia="en-GB"/>
        </w:rPr>
        <w:br w:type="page"/>
      </w:r>
      <w:r w:rsidR="009933F1" w:rsidRPr="00447B4E">
        <w:rPr>
          <w:i/>
          <w:iCs/>
        </w:rPr>
        <w:lastRenderedPageBreak/>
        <w:t>Titre</w:t>
      </w:r>
      <w:r w:rsidR="009933F1" w:rsidRPr="00447B4E">
        <w:t>, lire :</w:t>
      </w:r>
    </w:p>
    <w:p w14:paraId="69C0E066" w14:textId="77777777" w:rsidR="009933F1" w:rsidRPr="00447B4E" w:rsidRDefault="009933F1" w:rsidP="00A9332F">
      <w:pPr>
        <w:pStyle w:val="HChG"/>
      </w:pPr>
      <w:r w:rsidRPr="00447B4E">
        <w:tab/>
      </w:r>
      <w:r w:rsidRPr="00447B4E">
        <w:tab/>
      </w:r>
      <w:r w:rsidRPr="00A9332F">
        <w:rPr>
          <w:b w:val="0"/>
          <w:bCs/>
          <w:sz w:val="20"/>
        </w:rPr>
        <w:t>« </w:t>
      </w:r>
      <w:r w:rsidRPr="00447B4E">
        <w:t>Prescriptions uniformes relatives à l</w:t>
      </w:r>
      <w:r w:rsidR="00B147BE">
        <w:t>’</w:t>
      </w:r>
      <w:r w:rsidRPr="00447B4E">
        <w:t>homologation des véhicules en ce qui concerne leur équipement qui peut comprendre : un équipement de secours à usage temporaire, des pneumatiques pour roulage à plat et/ou un système de roulage à plat et/ou des pneumatiques à mobilité prolongée</w:t>
      </w:r>
      <w:r w:rsidRPr="00A9332F">
        <w:rPr>
          <w:sz w:val="20"/>
        </w:rPr>
        <w:t> </w:t>
      </w:r>
      <w:r w:rsidRPr="00A9332F">
        <w:rPr>
          <w:b w:val="0"/>
          <w:bCs/>
          <w:sz w:val="20"/>
        </w:rPr>
        <w:t>».</w:t>
      </w:r>
    </w:p>
    <w:p w14:paraId="276D95DA" w14:textId="77777777" w:rsidR="009933F1" w:rsidRPr="00447B4E" w:rsidRDefault="009933F1" w:rsidP="00A9332F">
      <w:pPr>
        <w:pStyle w:val="SingleTxtG"/>
      </w:pPr>
      <w:r w:rsidRPr="00447B4E">
        <w:rPr>
          <w:i/>
        </w:rPr>
        <w:t>Paragraphe 1</w:t>
      </w:r>
      <w:r w:rsidRPr="00447B4E">
        <w:t>, lire :</w:t>
      </w:r>
    </w:p>
    <w:p w14:paraId="321A9C25" w14:textId="77777777" w:rsidR="009933F1" w:rsidRPr="00447B4E" w:rsidRDefault="009933F1" w:rsidP="00A9332F">
      <w:pPr>
        <w:pStyle w:val="SingleTxtG"/>
        <w:tabs>
          <w:tab w:val="left" w:pos="2268"/>
        </w:tabs>
        <w:ind w:left="2268" w:hanging="1134"/>
      </w:pPr>
      <w:r w:rsidRPr="00447B4E">
        <w:t>« 1.</w:t>
      </w:r>
      <w:r w:rsidRPr="00447B4E">
        <w:tab/>
        <w:t>Le présent Règlement s</w:t>
      </w:r>
      <w:r w:rsidR="00B147BE">
        <w:t>’</w:t>
      </w:r>
      <w:r w:rsidRPr="00447B4E">
        <w:t>applique à l</w:t>
      </w:r>
      <w:r w:rsidR="00B147BE">
        <w:t>’</w:t>
      </w:r>
      <w:r w:rsidRPr="00447B4E">
        <w:t>homologation des véhicules des catégories M</w:t>
      </w:r>
      <w:r w:rsidRPr="00447B4E">
        <w:rPr>
          <w:vertAlign w:val="subscript"/>
        </w:rPr>
        <w:t>1</w:t>
      </w:r>
      <w:r w:rsidRPr="00447B4E">
        <w:t xml:space="preserve"> et N</w:t>
      </w:r>
      <w:r w:rsidRPr="00447B4E">
        <w:rPr>
          <w:vertAlign w:val="subscript"/>
        </w:rPr>
        <w:t>1</w:t>
      </w:r>
      <w:r w:rsidRPr="00447B4E">
        <w:t xml:space="preserve"> lorsqu</w:t>
      </w:r>
      <w:r w:rsidR="00B147BE">
        <w:t>’</w:t>
      </w:r>
      <w:r w:rsidRPr="00447B4E">
        <w:t>ils sont équipés :</w:t>
      </w:r>
    </w:p>
    <w:p w14:paraId="41E50A03" w14:textId="77777777" w:rsidR="009933F1" w:rsidRPr="00447B4E" w:rsidRDefault="009933F1" w:rsidP="00A9332F">
      <w:pPr>
        <w:pStyle w:val="SingleTxtG"/>
        <w:ind w:left="2268"/>
      </w:pPr>
      <w:r w:rsidRPr="00447B4E">
        <w:t>a)</w:t>
      </w:r>
      <w:r w:rsidRPr="00447B4E">
        <w:tab/>
        <w:t>D</w:t>
      </w:r>
      <w:r w:rsidR="00B147BE">
        <w:t>’</w:t>
      </w:r>
      <w:r w:rsidRPr="00447B4E">
        <w:t>un équipement de secours à usage temporaire ; et/ou</w:t>
      </w:r>
    </w:p>
    <w:p w14:paraId="0ABDF560" w14:textId="77777777" w:rsidR="009933F1" w:rsidRPr="00447B4E" w:rsidRDefault="009933F1" w:rsidP="00A9332F">
      <w:pPr>
        <w:pStyle w:val="SingleTxtG"/>
        <w:ind w:left="2835" w:hanging="567"/>
      </w:pPr>
      <w:r w:rsidRPr="00447B4E">
        <w:t>b)</w:t>
      </w:r>
      <w:r w:rsidRPr="00447B4E">
        <w:tab/>
        <w:t>De pneumatiques pour roulage à plat et/ou d</w:t>
      </w:r>
      <w:r w:rsidR="00B147BE">
        <w:t>’</w:t>
      </w:r>
      <w:r w:rsidRPr="00447B4E">
        <w:t>un système de roulage à plat ; et/ou</w:t>
      </w:r>
    </w:p>
    <w:p w14:paraId="347B2703" w14:textId="77777777" w:rsidR="009933F1" w:rsidRPr="00447B4E" w:rsidRDefault="009933F1" w:rsidP="00A9332F">
      <w:pPr>
        <w:pStyle w:val="SingleTxtG"/>
        <w:ind w:left="2268"/>
      </w:pPr>
      <w:r w:rsidRPr="00447B4E">
        <w:t>c)</w:t>
      </w:r>
      <w:r w:rsidRPr="00447B4E">
        <w:tab/>
        <w:t>De pneumatiques à mobilité prolongée.</w:t>
      </w:r>
    </w:p>
    <w:p w14:paraId="73946E56" w14:textId="77777777" w:rsidR="009933F1" w:rsidRPr="00447B4E" w:rsidRDefault="009933F1" w:rsidP="00A9332F">
      <w:pPr>
        <w:pStyle w:val="SingleTxtG"/>
        <w:ind w:left="2268"/>
      </w:pPr>
      <w:r w:rsidRPr="00447B4E">
        <w:t>Aux fins du présent Règlement, les équipements de remplacement constitués de pneumatiques pour roulage à plat ou d</w:t>
      </w:r>
      <w:r w:rsidR="00B147BE">
        <w:t>’</w:t>
      </w:r>
      <w:r w:rsidRPr="00447B4E">
        <w:t>un système de roulage à plat ou de pneumatiques à mobilité prolongée dans un état totalement dégonflé doivent être traités comme des équipements de secours à usage temporaire selon la définition qu</w:t>
      </w:r>
      <w:r w:rsidR="00B147BE">
        <w:t>’</w:t>
      </w:r>
      <w:r w:rsidRPr="00447B4E">
        <w:t>en donne le paragraphe 2.10 du présent Règlement. ».</w:t>
      </w:r>
    </w:p>
    <w:p w14:paraId="2059C7B0" w14:textId="77777777" w:rsidR="009933F1" w:rsidRPr="00447B4E" w:rsidRDefault="009933F1" w:rsidP="00A9332F">
      <w:pPr>
        <w:pStyle w:val="SingleTxtG"/>
      </w:pPr>
      <w:r w:rsidRPr="00447B4E">
        <w:rPr>
          <w:i/>
        </w:rPr>
        <w:t>Ajouter un nouveau paragraphe 2.4.5</w:t>
      </w:r>
      <w:r w:rsidRPr="00447B4E">
        <w:t>, libellé comme suit :</w:t>
      </w:r>
    </w:p>
    <w:p w14:paraId="2F4E7AE3" w14:textId="77777777" w:rsidR="009933F1" w:rsidRPr="00447B4E" w:rsidRDefault="009933F1" w:rsidP="00A9332F">
      <w:pPr>
        <w:pStyle w:val="SingleTxtG"/>
        <w:tabs>
          <w:tab w:val="left" w:pos="2268"/>
        </w:tabs>
        <w:ind w:left="2268" w:hanging="1134"/>
      </w:pPr>
      <w:r w:rsidRPr="00447B4E">
        <w:t>« 2.4.5</w:t>
      </w:r>
      <w:r w:rsidRPr="00447B4E">
        <w:tab/>
        <w:t>D</w:t>
      </w:r>
      <w:r w:rsidR="00B147BE">
        <w:t>’</w:t>
      </w:r>
      <w:r w:rsidRPr="00447B4E">
        <w:t>un “</w:t>
      </w:r>
      <w:r w:rsidRPr="00447B4E">
        <w:rPr>
          <w:i/>
        </w:rPr>
        <w:t>pneumatique à mobilité prolongée</w:t>
      </w:r>
      <w:r w:rsidRPr="00447B4E">
        <w:t>”, c</w:t>
      </w:r>
      <w:r w:rsidR="00B147BE">
        <w:t>’</w:t>
      </w:r>
      <w:r w:rsidRPr="00447B4E">
        <w:t>est-à-dire d</w:t>
      </w:r>
      <w:r w:rsidR="00B147BE">
        <w:t>’</w:t>
      </w:r>
      <w:r w:rsidRPr="00447B4E">
        <w:t>un pneumatique à carcasse radiale conçu pour être utilisé à l</w:t>
      </w:r>
      <w:r w:rsidR="00B147BE">
        <w:t>’</w:t>
      </w:r>
      <w:r w:rsidRPr="00447B4E">
        <w:t>état gonflé et qui, lorsqu</w:t>
      </w:r>
      <w:r w:rsidR="00B147BE">
        <w:t>’</w:t>
      </w:r>
      <w:r w:rsidRPr="00447B4E">
        <w:t>il est monté sur la roue appropriée et en l</w:t>
      </w:r>
      <w:r w:rsidR="00B147BE">
        <w:t>’</w:t>
      </w:r>
      <w:r w:rsidRPr="00447B4E">
        <w:t>absence de tout autre élément supplémentaire, peut remplir les fonctions de base d</w:t>
      </w:r>
      <w:r w:rsidR="00B147BE">
        <w:t>’</w:t>
      </w:r>
      <w:r w:rsidRPr="00447B4E">
        <w:t>un pneumatique à une vitesse de 80 km/h (50 mph) et sur une distance de 80 km lorsqu</w:t>
      </w:r>
      <w:r w:rsidR="00B147BE">
        <w:t>’</w:t>
      </w:r>
      <w:r w:rsidRPr="00447B4E">
        <w:t>il est utilisé à l</w:t>
      </w:r>
      <w:r w:rsidR="00B147BE">
        <w:t>’</w:t>
      </w:r>
      <w:r w:rsidRPr="00447B4E">
        <w:t>état dégonflé. ».</w:t>
      </w:r>
    </w:p>
    <w:p w14:paraId="70CD2908" w14:textId="77777777" w:rsidR="009933F1" w:rsidRPr="00447B4E" w:rsidRDefault="009933F1" w:rsidP="00A9332F">
      <w:pPr>
        <w:pStyle w:val="SingleTxtG"/>
      </w:pPr>
      <w:r w:rsidRPr="00447B4E">
        <w:rPr>
          <w:i/>
        </w:rPr>
        <w:t>Paragraphe 2.10.5</w:t>
      </w:r>
      <w:r w:rsidRPr="00447B4E">
        <w:t>, lire :</w:t>
      </w:r>
    </w:p>
    <w:p w14:paraId="09AC1E8E" w14:textId="77777777" w:rsidR="009933F1" w:rsidRPr="00447B4E" w:rsidRDefault="009933F1" w:rsidP="00A9332F">
      <w:pPr>
        <w:pStyle w:val="SingleTxtG"/>
        <w:tabs>
          <w:tab w:val="left" w:pos="2268"/>
        </w:tabs>
        <w:ind w:left="2268" w:hanging="1134"/>
      </w:pPr>
      <w:r w:rsidRPr="00447B4E">
        <w:t>« 2.10.5</w:t>
      </w:r>
      <w:r w:rsidRPr="00447B4E">
        <w:tab/>
        <w:t>Type 5</w:t>
      </w:r>
    </w:p>
    <w:p w14:paraId="2B1CF0CC" w14:textId="77777777" w:rsidR="009933F1" w:rsidRPr="00447B4E" w:rsidRDefault="009933F1" w:rsidP="00A9332F">
      <w:pPr>
        <w:pStyle w:val="SingleTxtG"/>
        <w:ind w:left="2268"/>
      </w:pPr>
      <w:r w:rsidRPr="00447B4E">
        <w:t>Un ensemble constitué d</w:t>
      </w:r>
      <w:r w:rsidR="00B147BE">
        <w:t>’</w:t>
      </w:r>
      <w:r w:rsidRPr="00447B4E">
        <w:t>une roue et d</w:t>
      </w:r>
      <w:r w:rsidR="00B147BE">
        <w:t>’</w:t>
      </w:r>
      <w:r w:rsidRPr="00447B4E">
        <w:t>un pneumatique tel que défini aux paragraphes 2.4.3 ou 2.4.4 ou 2.4.5 ci-dessus, monté sur le véhicule pour une utilisation normale durable sur route, mais qui en cas d</w:t>
      </w:r>
      <w:r w:rsidR="00B147BE">
        <w:t>’</w:t>
      </w:r>
      <w:r w:rsidRPr="00447B4E">
        <w:t>urgence est utilisé entièrement dégonflé. ».</w:t>
      </w:r>
    </w:p>
    <w:p w14:paraId="104E9954" w14:textId="77777777" w:rsidR="009933F1" w:rsidRPr="00447B4E" w:rsidRDefault="009933F1" w:rsidP="00A9332F">
      <w:pPr>
        <w:pStyle w:val="SingleTxtG"/>
      </w:pPr>
      <w:r w:rsidRPr="00447B4E">
        <w:rPr>
          <w:i/>
        </w:rPr>
        <w:t>Paragraphe 5.1.5</w:t>
      </w:r>
      <w:r w:rsidRPr="00447B4E">
        <w:t>, lire :</w:t>
      </w:r>
    </w:p>
    <w:p w14:paraId="325CEF7A" w14:textId="77777777" w:rsidR="009933F1" w:rsidRPr="00447B4E" w:rsidRDefault="009933F1" w:rsidP="00A9332F">
      <w:pPr>
        <w:pStyle w:val="SingleTxtG"/>
        <w:tabs>
          <w:tab w:val="left" w:pos="2268"/>
        </w:tabs>
        <w:ind w:left="2268" w:hanging="1134"/>
      </w:pPr>
      <w:r w:rsidRPr="00447B4E">
        <w:t>« 5.1.5</w:t>
      </w:r>
      <w:r w:rsidRPr="00447B4E">
        <w:tab/>
        <w:t>Sauf dans le cas de pneumatiques pour roulage à plat/pneumatiques à flancs porteurs ou d</w:t>
      </w:r>
      <w:r w:rsidR="00B147BE">
        <w:t>’</w:t>
      </w:r>
      <w:r w:rsidRPr="00447B4E">
        <w:t>un système de roulage à plat/système de mobilité prolongée ou de pneumatiques à mobilité prolongée, il est permis de ne fournir avec le véhicule qu</w:t>
      </w:r>
      <w:r w:rsidR="00B147BE">
        <w:t>’</w:t>
      </w:r>
      <w:r w:rsidRPr="00447B4E">
        <w:t>un seul équipement de secours à usage temporaire. ».</w:t>
      </w:r>
    </w:p>
    <w:p w14:paraId="325BEB7F" w14:textId="77777777" w:rsidR="009933F1" w:rsidRPr="00447B4E" w:rsidRDefault="009933F1" w:rsidP="00A9332F">
      <w:pPr>
        <w:pStyle w:val="SingleTxtG"/>
      </w:pPr>
      <w:r w:rsidRPr="00447B4E">
        <w:rPr>
          <w:i/>
        </w:rPr>
        <w:t>Paragraphe 5.1.6</w:t>
      </w:r>
      <w:r w:rsidRPr="00447B4E">
        <w:t>, lire :</w:t>
      </w:r>
    </w:p>
    <w:p w14:paraId="0B662841" w14:textId="77777777" w:rsidR="009933F1" w:rsidRPr="00447B4E" w:rsidRDefault="009933F1" w:rsidP="00A9332F">
      <w:pPr>
        <w:pStyle w:val="SingleTxtG"/>
        <w:tabs>
          <w:tab w:val="left" w:pos="2268"/>
        </w:tabs>
        <w:ind w:left="2268" w:hanging="1134"/>
      </w:pPr>
      <w:r w:rsidRPr="00447B4E">
        <w:t>« 5.1.6</w:t>
      </w:r>
      <w:r w:rsidRPr="00447B4E">
        <w:tab/>
        <w:t>Les véhicules équipés de pneumatiques pour roulage à plat/pneumatiques à flancs porteurs ou de systèmes de roulage à plat/systèmes de mobilité prolongée ou de pneumatiques à mobilité prolongée doivent aussi être munis d</w:t>
      </w:r>
      <w:r w:rsidR="00B147BE">
        <w:t>’</w:t>
      </w:r>
      <w:r w:rsidRPr="00447B4E">
        <w:t>un système avertisseur de roulage à plat (tel qu</w:t>
      </w:r>
      <w:r w:rsidR="00B147BE">
        <w:t>’</w:t>
      </w:r>
      <w:r w:rsidRPr="00447B4E">
        <w:t>il est défini au paragraphe</w:t>
      </w:r>
      <w:r w:rsidR="00D22F82">
        <w:t> </w:t>
      </w:r>
      <w:r w:rsidRPr="00447B4E">
        <w:t>2.13), capable de fonctionner dans une plage de vitesses comprises entre 40 km/h et la vitesse maximale par construction et satisfaisant aux prescriptions des paragraphes 5.1.6.1 à 5.1.6.6. Toutefois, si le véhicule est équipé d</w:t>
      </w:r>
      <w:r w:rsidR="00B147BE">
        <w:t>’</w:t>
      </w:r>
      <w:r w:rsidRPr="00447B4E">
        <w:t>un système de surveillance de la pression des pneumatiques satisfaisant aux prescriptions du Règlement ONU n</w:t>
      </w:r>
      <w:r w:rsidRPr="00447B4E">
        <w:rPr>
          <w:vertAlign w:val="superscript"/>
        </w:rPr>
        <w:t>o</w:t>
      </w:r>
      <w:r w:rsidRPr="00447B4E">
        <w:t> 141, le montage supplémentaire d</w:t>
      </w:r>
      <w:r w:rsidR="00B147BE">
        <w:t>’</w:t>
      </w:r>
      <w:r w:rsidRPr="00447B4E">
        <w:t>un système avertisseur de roulage à plat n</w:t>
      </w:r>
      <w:r w:rsidR="00B147BE">
        <w:t>’</w:t>
      </w:r>
      <w:r w:rsidRPr="00447B4E">
        <w:t>est pas requis. ».</w:t>
      </w:r>
    </w:p>
    <w:p w14:paraId="6922F32B" w14:textId="77777777" w:rsidR="009933F1" w:rsidRPr="00447B4E" w:rsidRDefault="009933F1" w:rsidP="00A9332F">
      <w:pPr>
        <w:pStyle w:val="SingleTxtG"/>
        <w:keepNext/>
      </w:pPr>
      <w:r w:rsidRPr="00447B4E">
        <w:rPr>
          <w:i/>
        </w:rPr>
        <w:lastRenderedPageBreak/>
        <w:t>Annexe 1</w:t>
      </w:r>
      <w:r w:rsidRPr="00447B4E">
        <w:t>,</w:t>
      </w:r>
    </w:p>
    <w:p w14:paraId="7CD7A33E" w14:textId="77777777" w:rsidR="009933F1" w:rsidRPr="00447B4E" w:rsidRDefault="009933F1" w:rsidP="00A9332F">
      <w:pPr>
        <w:pStyle w:val="SingleTxtG"/>
        <w:keepNext/>
      </w:pPr>
      <w:r w:rsidRPr="00447B4E">
        <w:rPr>
          <w:i/>
        </w:rPr>
        <w:t>Partie introductive</w:t>
      </w:r>
      <w:r w:rsidRPr="00447B4E">
        <w:t>, lire :</w:t>
      </w:r>
    </w:p>
    <w:p w14:paraId="779E6D91" w14:textId="77777777" w:rsidR="009933F1" w:rsidRPr="00447B4E" w:rsidRDefault="009933F1" w:rsidP="00A9332F">
      <w:pPr>
        <w:pStyle w:val="SingleTxtG"/>
      </w:pPr>
      <w:r w:rsidRPr="00447B4E">
        <w:t>« …</w:t>
      </w:r>
    </w:p>
    <w:p w14:paraId="13DE512F" w14:textId="77777777" w:rsidR="009933F1" w:rsidRPr="00447B4E" w:rsidRDefault="009933F1" w:rsidP="00A9332F">
      <w:pPr>
        <w:pStyle w:val="SingleTxtG"/>
      </w:pPr>
      <w:r w:rsidRPr="00447B4E">
        <w:t>d</w:t>
      </w:r>
      <w:r w:rsidR="00B147BE">
        <w:t>’</w:t>
      </w:r>
      <w:r w:rsidRPr="00447B4E">
        <w:t xml:space="preserve">un type de véhicule en ce qui </w:t>
      </w:r>
      <w:r w:rsidRPr="00A9332F">
        <w:t>concerne</w:t>
      </w:r>
      <w:r w:rsidRPr="00447B4E">
        <w:t xml:space="preserve"> son équipement qui peut comprendre : un équipement de secours à usage temporaire, des pneumatiques pour roulage à plat et/ou un système de roulage à plat et/ou des pneumatiques à mobilité prolongée</w:t>
      </w:r>
      <w:r w:rsidRPr="00447B4E">
        <w:rPr>
          <w:sz w:val="18"/>
          <w:szCs w:val="18"/>
          <w:vertAlign w:val="superscript"/>
        </w:rPr>
        <w:t>2</w:t>
      </w:r>
      <w:r w:rsidRPr="00447B4E">
        <w:t>, en application du Règlement ONU n</w:t>
      </w:r>
      <w:r w:rsidRPr="00447B4E">
        <w:rPr>
          <w:vertAlign w:val="superscript"/>
        </w:rPr>
        <w:t>o</w:t>
      </w:r>
      <w:r w:rsidRPr="00447B4E">
        <w:t> 64. ».</w:t>
      </w:r>
    </w:p>
    <w:p w14:paraId="52DD3524" w14:textId="77777777" w:rsidR="009933F1" w:rsidRPr="00447B4E" w:rsidRDefault="009933F1" w:rsidP="00A9332F">
      <w:pPr>
        <w:pStyle w:val="SingleTxtG"/>
      </w:pPr>
      <w:r w:rsidRPr="00447B4E">
        <w:rPr>
          <w:i/>
        </w:rPr>
        <w:t>Point 9.3</w:t>
      </w:r>
      <w:r w:rsidRPr="00447B4E">
        <w:t>, lire :</w:t>
      </w:r>
    </w:p>
    <w:p w14:paraId="0B4C8158" w14:textId="77777777" w:rsidR="009933F1" w:rsidRPr="00447B4E" w:rsidRDefault="009933F1" w:rsidP="00A9332F">
      <w:pPr>
        <w:pStyle w:val="SingleTxtG"/>
        <w:tabs>
          <w:tab w:val="left" w:pos="2268"/>
        </w:tabs>
        <w:ind w:left="2268" w:hanging="1134"/>
      </w:pPr>
      <w:r w:rsidRPr="00447B4E">
        <w:t>« 9.3</w:t>
      </w:r>
      <w:r w:rsidRPr="00447B4E">
        <w:tab/>
        <w:t>Caractéristiques de l</w:t>
      </w:r>
      <w:r w:rsidR="00B147BE">
        <w:t>’</w:t>
      </w:r>
      <w:r w:rsidRPr="00447B4E">
        <w:t>équipement de secours à usage temporaire, notamment dimensions et marquage de l</w:t>
      </w:r>
      <w:r w:rsidR="00B147BE">
        <w:t>’</w:t>
      </w:r>
      <w:r w:rsidRPr="00447B4E">
        <w:t>ensemble roue/pneumatique, capacité de charge et indice de vitesse des pneumatiques, capacité de roulage à plat, capacité de roulage prolongée et déport maximal de la roue (lorsque ces caractéristiques diffèrent de celles de l</w:t>
      </w:r>
      <w:r w:rsidR="00B147BE">
        <w:t>’</w:t>
      </w:r>
      <w:r w:rsidRPr="00447B4E">
        <w:t>équipement standard). ».</w:t>
      </w:r>
    </w:p>
    <w:p w14:paraId="110AC997" w14:textId="77777777" w:rsidR="009933F1" w:rsidRPr="00447B4E" w:rsidRDefault="009933F1" w:rsidP="00A9332F">
      <w:pPr>
        <w:pStyle w:val="SingleTxtG"/>
      </w:pPr>
      <w:r w:rsidRPr="00447B4E">
        <w:rPr>
          <w:i/>
        </w:rPr>
        <w:t>Annexe 3</w:t>
      </w:r>
      <w:r w:rsidRPr="00447B4E">
        <w:t>,</w:t>
      </w:r>
    </w:p>
    <w:p w14:paraId="65E4574E" w14:textId="77777777" w:rsidR="009933F1" w:rsidRPr="00447B4E" w:rsidRDefault="009933F1" w:rsidP="00A9332F">
      <w:pPr>
        <w:pStyle w:val="SingleTxtG"/>
      </w:pPr>
      <w:r w:rsidRPr="00447B4E">
        <w:rPr>
          <w:i/>
        </w:rPr>
        <w:t>Paragraphe 1.5</w:t>
      </w:r>
      <w:r w:rsidRPr="00447B4E">
        <w:t>, lire :</w:t>
      </w:r>
    </w:p>
    <w:p w14:paraId="03F6470C" w14:textId="77777777" w:rsidR="00717E87" w:rsidRPr="00D22F82" w:rsidRDefault="009933F1" w:rsidP="00A9332F">
      <w:pPr>
        <w:pStyle w:val="SingleTxtG"/>
        <w:tabs>
          <w:tab w:val="left" w:pos="2268"/>
        </w:tabs>
        <w:ind w:left="2268" w:hanging="1134"/>
        <w:rPr>
          <w:spacing w:val="-2"/>
        </w:rPr>
      </w:pPr>
      <w:r w:rsidRPr="00D22F82">
        <w:rPr>
          <w:spacing w:val="-2"/>
        </w:rPr>
        <w:t>« 1.5</w:t>
      </w:r>
      <w:r w:rsidRPr="00D22F82">
        <w:rPr>
          <w:spacing w:val="-2"/>
        </w:rPr>
        <w:tab/>
        <w:t>À l</w:t>
      </w:r>
      <w:r w:rsidR="00B147BE" w:rsidRPr="00D22F82">
        <w:rPr>
          <w:spacing w:val="-2"/>
        </w:rPr>
        <w:t>’</w:t>
      </w:r>
      <w:r w:rsidRPr="00D22F82">
        <w:rPr>
          <w:spacing w:val="-2"/>
        </w:rPr>
        <w:t>exception du pneumatique pour roulage à plat et du pneumatique à mobilité prolongée, les pneumatiques doivent être gonflés aux pressions recommandées par le constructeur pour le type de véhicule et l</w:t>
      </w:r>
      <w:r w:rsidR="00B147BE" w:rsidRPr="00D22F82">
        <w:rPr>
          <w:spacing w:val="-2"/>
        </w:rPr>
        <w:t>’</w:t>
      </w:r>
      <w:r w:rsidRPr="00D22F82">
        <w:rPr>
          <w:spacing w:val="-2"/>
        </w:rPr>
        <w:t>état de charge considérés. L</w:t>
      </w:r>
      <w:r w:rsidR="00B147BE" w:rsidRPr="00D22F82">
        <w:rPr>
          <w:spacing w:val="-2"/>
        </w:rPr>
        <w:t>’</w:t>
      </w:r>
      <w:r w:rsidRPr="00D22F82">
        <w:rPr>
          <w:spacing w:val="-2"/>
        </w:rPr>
        <w:t>essai d</w:t>
      </w:r>
      <w:r w:rsidR="00B147BE" w:rsidRPr="00D22F82">
        <w:rPr>
          <w:spacing w:val="-2"/>
        </w:rPr>
        <w:t>’</w:t>
      </w:r>
      <w:r w:rsidRPr="00D22F82">
        <w:rPr>
          <w:spacing w:val="-2"/>
        </w:rPr>
        <w:t>un pneumatique pour roulage à plat ou d</w:t>
      </w:r>
      <w:r w:rsidR="00B147BE" w:rsidRPr="00D22F82">
        <w:rPr>
          <w:spacing w:val="-2"/>
        </w:rPr>
        <w:t>’</w:t>
      </w:r>
      <w:r w:rsidRPr="00D22F82">
        <w:rPr>
          <w:spacing w:val="-2"/>
        </w:rPr>
        <w:t>un pneumatique à mobilité prolongée doit être effectué à l</w:t>
      </w:r>
      <w:r w:rsidR="00B147BE" w:rsidRPr="00D22F82">
        <w:rPr>
          <w:spacing w:val="-2"/>
        </w:rPr>
        <w:t>’</w:t>
      </w:r>
      <w:r w:rsidRPr="00D22F82">
        <w:rPr>
          <w:spacing w:val="-2"/>
        </w:rPr>
        <w:t>état entièrement dégonflé. ».</w:t>
      </w:r>
    </w:p>
    <w:p w14:paraId="1A104691" w14:textId="77777777" w:rsidR="005F0207" w:rsidRPr="00A9332F" w:rsidRDefault="00A9332F" w:rsidP="00A933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9332F" w:rsidSect="00717E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FC59" w14:textId="77777777" w:rsidR="0064764D" w:rsidRDefault="0064764D"/>
  </w:endnote>
  <w:endnote w:type="continuationSeparator" w:id="0">
    <w:p w14:paraId="2D98EA6C" w14:textId="77777777" w:rsidR="0064764D" w:rsidRDefault="0064764D">
      <w:pPr>
        <w:pStyle w:val="Pieddepage"/>
      </w:pPr>
    </w:p>
  </w:endnote>
  <w:endnote w:type="continuationNotice" w:id="1">
    <w:p w14:paraId="0AB575BC" w14:textId="77777777" w:rsidR="0064764D" w:rsidRPr="00C451B9" w:rsidRDefault="0064764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14AD" w14:textId="77777777" w:rsidR="00717E87" w:rsidRPr="00717E87" w:rsidRDefault="00717E87" w:rsidP="00717E87">
    <w:pPr>
      <w:pStyle w:val="Pieddepage"/>
      <w:tabs>
        <w:tab w:val="right" w:pos="9638"/>
      </w:tabs>
    </w:pPr>
    <w:r w:rsidRPr="00717E87">
      <w:rPr>
        <w:b/>
        <w:sz w:val="18"/>
      </w:rPr>
      <w:fldChar w:fldCharType="begin"/>
    </w:r>
    <w:r w:rsidRPr="00717E87">
      <w:rPr>
        <w:b/>
        <w:sz w:val="18"/>
      </w:rPr>
      <w:instrText xml:space="preserve"> PAGE  \* MERGEFORMAT </w:instrText>
    </w:r>
    <w:r w:rsidRPr="00717E87">
      <w:rPr>
        <w:b/>
        <w:sz w:val="18"/>
      </w:rPr>
      <w:fldChar w:fldCharType="separate"/>
    </w:r>
    <w:r w:rsidRPr="00717E87">
      <w:rPr>
        <w:b/>
        <w:noProof/>
        <w:sz w:val="18"/>
      </w:rPr>
      <w:t>2</w:t>
    </w:r>
    <w:r w:rsidRPr="00717E87">
      <w:rPr>
        <w:b/>
        <w:sz w:val="18"/>
      </w:rPr>
      <w:fldChar w:fldCharType="end"/>
    </w:r>
    <w:r>
      <w:rPr>
        <w:b/>
        <w:sz w:val="18"/>
      </w:rPr>
      <w:tab/>
    </w:r>
    <w:r>
      <w:t>GE.20-00729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DFF8" w14:textId="77777777" w:rsidR="00717E87" w:rsidRPr="00717E87" w:rsidRDefault="00717E87" w:rsidP="00717E87">
    <w:pPr>
      <w:pStyle w:val="Pieddepage"/>
      <w:tabs>
        <w:tab w:val="right" w:pos="9638"/>
      </w:tabs>
      <w:rPr>
        <w:b/>
        <w:sz w:val="18"/>
      </w:rPr>
    </w:pPr>
    <w:r>
      <w:t>GE.20-00729</w:t>
    </w:r>
    <w:r>
      <w:tab/>
    </w:r>
    <w:r w:rsidRPr="00717E87">
      <w:rPr>
        <w:b/>
        <w:sz w:val="18"/>
      </w:rPr>
      <w:fldChar w:fldCharType="begin"/>
    </w:r>
    <w:r w:rsidRPr="00717E87">
      <w:rPr>
        <w:b/>
        <w:sz w:val="18"/>
      </w:rPr>
      <w:instrText xml:space="preserve"> PAGE  \* MERGEFORMAT </w:instrText>
    </w:r>
    <w:r w:rsidRPr="00717E87">
      <w:rPr>
        <w:b/>
        <w:sz w:val="18"/>
      </w:rPr>
      <w:fldChar w:fldCharType="separate"/>
    </w:r>
    <w:r w:rsidRPr="00717E87">
      <w:rPr>
        <w:b/>
        <w:noProof/>
        <w:sz w:val="18"/>
      </w:rPr>
      <w:t>3</w:t>
    </w:r>
    <w:r w:rsidRPr="00717E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7B7E" w14:textId="77777777" w:rsidR="00467F2C" w:rsidRPr="00717E87" w:rsidRDefault="00717E87" w:rsidP="00717E8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3D78704" wp14:editId="0E63814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20-00729  (F)</w:t>
    </w:r>
    <w:r w:rsidR="00027732">
      <w:rPr>
        <w:sz w:val="20"/>
      </w:rPr>
      <w:t xml:space="preserve">    180620    180620</w:t>
    </w:r>
    <w:r>
      <w:rPr>
        <w:sz w:val="20"/>
      </w:rPr>
      <w:br/>
    </w:r>
    <w:r w:rsidRPr="00717E87">
      <w:rPr>
        <w:rFonts w:ascii="C39T30Lfz" w:hAnsi="C39T30Lfz"/>
        <w:sz w:val="56"/>
      </w:rPr>
      <w:t></w:t>
    </w:r>
    <w:r w:rsidRPr="00717E87">
      <w:rPr>
        <w:rFonts w:ascii="C39T30Lfz" w:hAnsi="C39T30Lfz"/>
        <w:sz w:val="56"/>
      </w:rPr>
      <w:t></w:t>
    </w:r>
    <w:r w:rsidRPr="00717E87">
      <w:rPr>
        <w:rFonts w:ascii="C39T30Lfz" w:hAnsi="C39T30Lfz"/>
        <w:sz w:val="56"/>
      </w:rPr>
      <w:t></w:t>
    </w:r>
    <w:r w:rsidRPr="00717E87">
      <w:rPr>
        <w:rFonts w:ascii="C39T30Lfz" w:hAnsi="C39T30Lfz"/>
        <w:sz w:val="56"/>
      </w:rPr>
      <w:t></w:t>
    </w:r>
    <w:r w:rsidRPr="00717E87">
      <w:rPr>
        <w:rFonts w:ascii="C39T30Lfz" w:hAnsi="C39T30Lfz"/>
        <w:sz w:val="56"/>
      </w:rPr>
      <w:t></w:t>
    </w:r>
    <w:r w:rsidRPr="00717E87">
      <w:rPr>
        <w:rFonts w:ascii="C39T30Lfz" w:hAnsi="C39T30Lfz"/>
        <w:sz w:val="56"/>
      </w:rPr>
      <w:t></w:t>
    </w:r>
    <w:r w:rsidRPr="00717E87">
      <w:rPr>
        <w:rFonts w:ascii="C39T30Lfz" w:hAnsi="C39T30Lfz"/>
        <w:sz w:val="56"/>
      </w:rPr>
      <w:t></w:t>
    </w:r>
    <w:r w:rsidRPr="00717E87">
      <w:rPr>
        <w:rFonts w:ascii="C39T30Lfz" w:hAnsi="C39T30Lfz"/>
        <w:sz w:val="56"/>
      </w:rPr>
      <w:t></w:t>
    </w:r>
    <w:r w:rsidRPr="00717E8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B47825A" wp14:editId="516065C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2041" w14:textId="77777777" w:rsidR="0064764D" w:rsidRPr="00D27D5E" w:rsidRDefault="0064764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094372" w14:textId="77777777" w:rsidR="0064764D" w:rsidRPr="00D171D4" w:rsidRDefault="0064764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D406E57" w14:textId="77777777" w:rsidR="0064764D" w:rsidRPr="00C451B9" w:rsidRDefault="0064764D" w:rsidP="00C451B9">
      <w:pPr>
        <w:spacing w:line="240" w:lineRule="auto"/>
        <w:rPr>
          <w:sz w:val="2"/>
          <w:szCs w:val="2"/>
        </w:rPr>
      </w:pPr>
    </w:p>
  </w:footnote>
  <w:footnote w:id="2">
    <w:p w14:paraId="7A2C5349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B147BE">
        <w:t>’</w:t>
      </w:r>
      <w:r w:rsidR="00591072" w:rsidRPr="00591072">
        <w:t>Accord :</w:t>
      </w:r>
    </w:p>
    <w:p w14:paraId="1183FDE0" w14:textId="77777777" w:rsidR="00591072" w:rsidRPr="00591072" w:rsidRDefault="00591072" w:rsidP="00591072">
      <w:pPr>
        <w:pStyle w:val="Notedebasdepage"/>
      </w:pPr>
      <w:r w:rsidRPr="00717E87">
        <w:tab/>
      </w:r>
      <w:r w:rsidRPr="00717E87">
        <w:tab/>
        <w:t xml:space="preserve">Accord </w:t>
      </w:r>
      <w:r w:rsidRPr="00591072">
        <w:t>concernant l</w:t>
      </w:r>
      <w:r w:rsidR="00B147BE">
        <w:t>’</w:t>
      </w:r>
      <w:r w:rsidRPr="00591072">
        <w:t>adoption de conditions uniformes d</w:t>
      </w:r>
      <w:r w:rsidR="00B147BE">
        <w:t>’</w:t>
      </w:r>
      <w:r w:rsidRPr="00591072">
        <w:t>homologation et la reconnaissance réciproque de l</w:t>
      </w:r>
      <w:r w:rsidR="00B147BE">
        <w:t>’</w:t>
      </w:r>
      <w:r w:rsidRPr="00591072">
        <w:t>homologation des équipements et pièces de véhicules à moteur, en date, à Genève, du 20 mars 1958 (version originale) ;</w:t>
      </w:r>
    </w:p>
    <w:p w14:paraId="0FAF32A6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B147BE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B147BE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D7EA" w14:textId="567F7C68" w:rsidR="00717E87" w:rsidRPr="00717E87" w:rsidRDefault="00717E87">
    <w:pPr>
      <w:pStyle w:val="En-tte"/>
      <w:rPr>
        <w:lang w:val="en-US"/>
      </w:rPr>
    </w:pPr>
    <w:r>
      <w:fldChar w:fldCharType="begin"/>
    </w:r>
    <w:r w:rsidRPr="00717E87">
      <w:rPr>
        <w:lang w:val="en-US"/>
      </w:rPr>
      <w:instrText xml:space="preserve"> TITLE  \* MERGEFORMAT </w:instrText>
    </w:r>
    <w:r>
      <w:fldChar w:fldCharType="separate"/>
    </w:r>
    <w:r w:rsidR="006F4229">
      <w:rPr>
        <w:lang w:val="en-US"/>
      </w:rPr>
      <w:t>E/ECE/324/Rev.1/Add.63/Rev.2/Amend.1</w:t>
    </w:r>
    <w:r>
      <w:fldChar w:fldCharType="end"/>
    </w:r>
    <w:r w:rsidRPr="00717E87">
      <w:rPr>
        <w:lang w:val="en-US"/>
      </w:rPr>
      <w:br/>
    </w:r>
    <w:r>
      <w:fldChar w:fldCharType="begin"/>
    </w:r>
    <w:r w:rsidRPr="00717E87">
      <w:rPr>
        <w:lang w:val="en-US"/>
      </w:rPr>
      <w:instrText xml:space="preserve"> KEYWORDS  \* MERGEFORMAT </w:instrText>
    </w:r>
    <w:r>
      <w:fldChar w:fldCharType="separate"/>
    </w:r>
    <w:r w:rsidR="006F4229">
      <w:rPr>
        <w:lang w:val="en-US"/>
      </w:rPr>
      <w:t>E/ECE/TRANS/505/Rev.1/Add.63/Rev.2/Amend.1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95821" w14:textId="674A3C44" w:rsidR="00717E87" w:rsidRPr="00717E87" w:rsidRDefault="00717E87" w:rsidP="00717E87">
    <w:pPr>
      <w:pStyle w:val="En-tte"/>
      <w:jc w:val="right"/>
      <w:rPr>
        <w:lang w:val="en-US"/>
      </w:rPr>
    </w:pPr>
    <w:r>
      <w:fldChar w:fldCharType="begin"/>
    </w:r>
    <w:r w:rsidRPr="00717E87">
      <w:rPr>
        <w:lang w:val="en-US"/>
      </w:rPr>
      <w:instrText xml:space="preserve"> TITLE  \* MERGEFORMAT </w:instrText>
    </w:r>
    <w:r>
      <w:fldChar w:fldCharType="separate"/>
    </w:r>
    <w:r w:rsidR="006F4229">
      <w:rPr>
        <w:lang w:val="en-US"/>
      </w:rPr>
      <w:t>E/ECE/324/Rev.1/Add.63/Rev.2/Amend.1</w:t>
    </w:r>
    <w:r>
      <w:fldChar w:fldCharType="end"/>
    </w:r>
    <w:r w:rsidRPr="00717E87">
      <w:rPr>
        <w:lang w:val="en-US"/>
      </w:rPr>
      <w:br/>
    </w:r>
    <w:r>
      <w:fldChar w:fldCharType="begin"/>
    </w:r>
    <w:r w:rsidRPr="00717E87">
      <w:rPr>
        <w:lang w:val="en-US"/>
      </w:rPr>
      <w:instrText xml:space="preserve"> KEYWORDS  \* MERGEFORMAT </w:instrText>
    </w:r>
    <w:r>
      <w:fldChar w:fldCharType="separate"/>
    </w:r>
    <w:r w:rsidR="006F4229">
      <w:rPr>
        <w:lang w:val="en-US"/>
      </w:rPr>
      <w:t>E/ECE/TRANS/505/Rev.1/Add.63/Rev.2/Amend.1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764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27732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5A75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D6D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4764D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4229"/>
    <w:rsid w:val="00700A8B"/>
    <w:rsid w:val="0070347C"/>
    <w:rsid w:val="007102D2"/>
    <w:rsid w:val="00714A66"/>
    <w:rsid w:val="007176C1"/>
    <w:rsid w:val="00717E87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33F1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9332F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47BE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149C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2F82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2DB1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728548"/>
  <w15:docId w15:val="{AF93EB34-35CD-446B-AADD-0EE2C86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91FED-574E-4480-B344-4E7A350B139C}"/>
</file>

<file path=customXml/itemProps2.xml><?xml version="1.0" encoding="utf-8"?>
<ds:datastoreItem xmlns:ds="http://schemas.openxmlformats.org/officeDocument/2006/customXml" ds:itemID="{8E6E247C-0974-4993-B9FE-087F8A89C189}"/>
</file>

<file path=customXml/itemProps3.xml><?xml version="1.0" encoding="utf-8"?>
<ds:datastoreItem xmlns:ds="http://schemas.openxmlformats.org/officeDocument/2006/customXml" ds:itemID="{A8A252BF-BFAB-43D0-8F49-61FC83181B3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675</Words>
  <Characters>4389</Characters>
  <Application>Microsoft Office Word</Application>
  <DocSecurity>0</DocSecurity>
  <Lines>438</Lines>
  <Paragraphs>297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E/ECE/324/Rev.1/Add.63/Rev.2/Amend.1</dc:title>
  <dc:creator>Julien OKRZESIK</dc:creator>
  <cp:keywords>E/ECE/TRANS/505/Rev.1/Add.63/Rev.2/Amend.1</cp:keywords>
  <cp:lastModifiedBy>Julien Okrzesik</cp:lastModifiedBy>
  <cp:revision>3</cp:revision>
  <cp:lastPrinted>2020-06-18T09:11:00Z</cp:lastPrinted>
  <dcterms:created xsi:type="dcterms:W3CDTF">2020-06-18T09:11:00Z</dcterms:created>
  <dcterms:modified xsi:type="dcterms:W3CDTF">2020-06-18T09:11:00Z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