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2784A" w14:paraId="1D5D772A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D3C752" w14:textId="77777777" w:rsidR="0052784A" w:rsidRDefault="0052784A" w:rsidP="0052784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A9265F0" w14:textId="6E20639C" w:rsidR="0052784A" w:rsidRPr="00D47EEA" w:rsidRDefault="0052784A" w:rsidP="00EB2B8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/ECE/324/Rev.1/Add.52/Rev.</w:t>
            </w:r>
            <w:r w:rsidR="00EB2B83">
              <w:t>3</w:t>
            </w:r>
            <w:r>
              <w:t>/Amend.</w:t>
            </w:r>
            <w:r w:rsidR="00EB2B83">
              <w:t>8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/ECE/TRANS/505/Rev.1/Add.52/Rev.</w:t>
            </w:r>
            <w:r w:rsidR="00EB2B83">
              <w:t>3</w:t>
            </w:r>
            <w:r>
              <w:t>/Amend.</w:t>
            </w:r>
            <w:r w:rsidR="00EB2B83">
              <w:t>8</w:t>
            </w:r>
          </w:p>
        </w:tc>
      </w:tr>
      <w:tr w:rsidR="0052784A" w14:paraId="6E7C9488" w14:textId="7777777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B14AF8" w14:textId="77777777" w:rsidR="0052784A" w:rsidRDefault="0052784A" w:rsidP="0052784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D95D53A" w14:textId="77777777" w:rsidR="0052784A" w:rsidRPr="00D773DF" w:rsidRDefault="0052784A" w:rsidP="0052784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21D057" w14:textId="77777777" w:rsidR="0052784A" w:rsidRPr="006D6E88" w:rsidRDefault="0052784A" w:rsidP="0052784A">
            <w:pPr>
              <w:spacing w:before="120"/>
              <w:rPr>
                <w:highlight w:val="yellow"/>
              </w:rPr>
            </w:pPr>
          </w:p>
          <w:p w14:paraId="64424AE8" w14:textId="77777777" w:rsidR="0052784A" w:rsidRPr="006D6E88" w:rsidRDefault="0052784A" w:rsidP="0052784A">
            <w:pPr>
              <w:spacing w:before="120"/>
              <w:rPr>
                <w:highlight w:val="yellow"/>
              </w:rPr>
            </w:pPr>
          </w:p>
          <w:p w14:paraId="5E40940D" w14:textId="04EE05EA" w:rsidR="0052784A" w:rsidRPr="006D6E88" w:rsidRDefault="008F4236" w:rsidP="00DB463E">
            <w:pPr>
              <w:spacing w:before="120"/>
              <w:rPr>
                <w:highlight w:val="yellow"/>
              </w:rPr>
            </w:pPr>
            <w:r>
              <w:t>1 July</w:t>
            </w:r>
            <w:r w:rsidR="00DB463E">
              <w:t xml:space="preserve"> 2020</w:t>
            </w:r>
          </w:p>
        </w:tc>
      </w:tr>
    </w:tbl>
    <w:p w14:paraId="3C5B0F21" w14:textId="77777777" w:rsidR="0052784A" w:rsidRPr="00392A12" w:rsidRDefault="0052784A" w:rsidP="0052784A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0C604A38" w14:textId="77777777" w:rsidR="0052784A" w:rsidRPr="00392A12" w:rsidRDefault="0052784A" w:rsidP="0052784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50C0907" w14:textId="77777777" w:rsidR="0052784A" w:rsidRPr="00392A12" w:rsidRDefault="0052784A" w:rsidP="0052784A">
      <w:pPr>
        <w:pStyle w:val="SingleTxtG"/>
        <w:spacing w:before="120"/>
      </w:pPr>
      <w:r>
        <w:t>(Revision 3, including the amendments which entered into force on 14 September 2017)</w:t>
      </w:r>
    </w:p>
    <w:p w14:paraId="19C344B6" w14:textId="77777777" w:rsidR="0052784A" w:rsidRDefault="0052784A" w:rsidP="0052784A">
      <w:pPr>
        <w:pStyle w:val="H1G"/>
        <w:spacing w:before="120"/>
        <w:ind w:left="0" w:right="0" w:firstLine="0"/>
        <w:jc w:val="center"/>
      </w:pPr>
      <w:r>
        <w:t>_________</w:t>
      </w:r>
    </w:p>
    <w:p w14:paraId="732FB48F" w14:textId="77777777" w:rsidR="0052784A" w:rsidRDefault="0052784A" w:rsidP="0052784A">
      <w:pPr>
        <w:pStyle w:val="H1G"/>
        <w:spacing w:before="240" w:after="120"/>
      </w:pPr>
      <w:r>
        <w:tab/>
      </w:r>
      <w:r>
        <w:tab/>
        <w:t>Addendum 52 – UN Regulation No. 53</w:t>
      </w:r>
    </w:p>
    <w:p w14:paraId="082EC5DE" w14:textId="20D77C66" w:rsidR="0052784A" w:rsidRPr="00014D07" w:rsidRDefault="0052784A" w:rsidP="0052784A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EB2B83">
        <w:t>3</w:t>
      </w:r>
      <w:r w:rsidRPr="00014D07">
        <w:t xml:space="preserve"> </w:t>
      </w:r>
      <w:r>
        <w:t>–</w:t>
      </w:r>
      <w:r w:rsidRPr="00014D07">
        <w:t xml:space="preserve"> </w:t>
      </w:r>
      <w:r>
        <w:t xml:space="preserve">Amendment </w:t>
      </w:r>
      <w:r w:rsidR="00EB2B83">
        <w:t>8</w:t>
      </w:r>
    </w:p>
    <w:p w14:paraId="05698921" w14:textId="31E3147E" w:rsidR="0052784A" w:rsidRPr="00272880" w:rsidRDefault="006A2153" w:rsidP="0052784A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B2B83">
        <w:rPr>
          <w:spacing w:val="-2"/>
        </w:rPr>
        <w:t>21</w:t>
      </w:r>
      <w:r>
        <w:rPr>
          <w:spacing w:val="-2"/>
        </w:rPr>
        <w:t xml:space="preserve"> to the 0</w:t>
      </w:r>
      <w:r w:rsidR="00EB2B83">
        <w:rPr>
          <w:spacing w:val="-2"/>
        </w:rPr>
        <w:t>1</w:t>
      </w:r>
      <w:r w:rsidR="0052784A">
        <w:rPr>
          <w:spacing w:val="-2"/>
        </w:rPr>
        <w:t xml:space="preserve"> series of amendments</w:t>
      </w:r>
      <w:r w:rsidR="0052784A" w:rsidRPr="00272880">
        <w:rPr>
          <w:spacing w:val="-2"/>
        </w:rPr>
        <w:t xml:space="preserve"> – Date of entry into force: </w:t>
      </w:r>
      <w:r w:rsidR="00DB463E">
        <w:t>29</w:t>
      </w:r>
      <w:r w:rsidR="0052784A">
        <w:t xml:space="preserve"> </w:t>
      </w:r>
      <w:r w:rsidR="00DB463E">
        <w:t>May 2020</w:t>
      </w:r>
    </w:p>
    <w:p w14:paraId="3CBE624C" w14:textId="31C67DC1" w:rsidR="0052784A" w:rsidRDefault="0052784A" w:rsidP="0052784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2C6A" w:rsidRPr="00A12C6A">
        <w:t>Uniform provisions concerning the approval of category L</w:t>
      </w:r>
      <w:r w:rsidR="00A12C6A" w:rsidRPr="004C06DA">
        <w:rPr>
          <w:vertAlign w:val="subscript"/>
        </w:rPr>
        <w:t>3</w:t>
      </w:r>
      <w:r w:rsidR="00A12C6A" w:rsidRPr="00A12C6A">
        <w:t xml:space="preserve"> vehicles with regard to the installation of lighting and light-signalling devices</w:t>
      </w:r>
    </w:p>
    <w:p w14:paraId="6ECDD6FF" w14:textId="69011731" w:rsidR="0052784A" w:rsidRDefault="0052784A" w:rsidP="0052784A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ECE/TRANS/WP.29/2019/</w:t>
      </w:r>
      <w:r w:rsidR="00DB463E">
        <w:rPr>
          <w:spacing w:val="-6"/>
          <w:lang w:eastAsia="en-GB"/>
        </w:rPr>
        <w:t>8</w:t>
      </w:r>
      <w:r w:rsidR="00EB2B83">
        <w:rPr>
          <w:spacing w:val="-6"/>
          <w:lang w:eastAsia="en-GB"/>
        </w:rPr>
        <w:t>6</w:t>
      </w:r>
      <w:r w:rsidR="008513EA">
        <w:rPr>
          <w:spacing w:val="-6"/>
          <w:lang w:eastAsia="en-GB"/>
        </w:rPr>
        <w:t>.</w:t>
      </w:r>
    </w:p>
    <w:p w14:paraId="69BDE939" w14:textId="77777777" w:rsidR="0052784A" w:rsidRPr="000D3A4F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48367A1" wp14:editId="302B6C5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35A921D3" w14:textId="13B5F211" w:rsidR="00DB463E" w:rsidRDefault="0052784A" w:rsidP="0052784A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46142D8C" w14:textId="77777777" w:rsidR="00DB463E" w:rsidRDefault="00DB463E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bookmarkEnd w:id="2"/>
    <w:p w14:paraId="5BAF2163" w14:textId="77777777" w:rsidR="00EB2B83" w:rsidRDefault="00EB2B83" w:rsidP="00EB2B83">
      <w:pPr>
        <w:pStyle w:val="SingleTxtG"/>
        <w:ind w:right="-40"/>
        <w:rPr>
          <w:i/>
          <w:iCs/>
        </w:rPr>
      </w:pPr>
      <w:r>
        <w:rPr>
          <w:i/>
          <w:iCs/>
        </w:rPr>
        <w:lastRenderedPageBreak/>
        <w:t>Paragraph 2.5.9.</w:t>
      </w:r>
      <w:r>
        <w:t>, amend to read:</w:t>
      </w:r>
    </w:p>
    <w:p w14:paraId="68A0A7DB" w14:textId="77777777" w:rsidR="00EB2B83" w:rsidRDefault="00EB2B83" w:rsidP="00EB2B83">
      <w:pPr>
        <w:spacing w:after="120"/>
        <w:ind w:leftChars="567" w:left="2268" w:rightChars="567" w:right="1134" w:hanging="1134"/>
        <w:jc w:val="both"/>
        <w:rPr>
          <w:i/>
          <w:iCs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>
        <w:rPr>
          <w:rFonts w:eastAsia="MS Mincho"/>
          <w:i/>
        </w:rPr>
        <w:t xml:space="preserve">"Stop lamp" </w:t>
      </w:r>
      <w:r>
        <w:rPr>
          <w:rFonts w:eastAsia="MS Mincho"/>
        </w:rPr>
        <w:t xml:space="preserve">means the lamp used to indicate to other road-users to the rear of the vehicle that </w:t>
      </w:r>
      <w:r>
        <w:t>the longitudinal movement of the vehicle is intentionally retarded."</w:t>
      </w:r>
    </w:p>
    <w:p w14:paraId="7654750A" w14:textId="77777777" w:rsidR="00EB2B83" w:rsidRPr="004F2217" w:rsidRDefault="00EB2B83" w:rsidP="00EB2B83">
      <w:pPr>
        <w:spacing w:after="120"/>
        <w:ind w:left="1134" w:right="1134"/>
        <w:jc w:val="both"/>
      </w:pPr>
      <w:r>
        <w:rPr>
          <w:i/>
        </w:rPr>
        <w:t>Paragraph 6.1.1.2</w:t>
      </w:r>
      <w:r w:rsidRPr="004F2217">
        <w:rPr>
          <w:i/>
        </w:rPr>
        <w:t xml:space="preserve">., </w:t>
      </w:r>
      <w:r w:rsidRPr="004F2217">
        <w:t>amend to read:</w:t>
      </w:r>
    </w:p>
    <w:p w14:paraId="211B03D6" w14:textId="77777777" w:rsidR="00EB2B83" w:rsidRDefault="00EB2B83" w:rsidP="00EB2B83">
      <w:pPr>
        <w:pStyle w:val="SingleTxtG"/>
        <w:ind w:left="2268" w:hanging="1134"/>
      </w:pPr>
      <w:r w:rsidRPr="00452E16">
        <w:t>"</w:t>
      </w:r>
      <w:r w:rsidRPr="00015B17">
        <w:t>6.1.1.</w:t>
      </w:r>
      <w:r>
        <w:t>2</w:t>
      </w:r>
      <w:r w:rsidRPr="00015B17">
        <w:t xml:space="preserve">. </w:t>
      </w:r>
      <w:r w:rsidRPr="00015B17">
        <w:tab/>
      </w:r>
      <w:r>
        <w:t>For motorcycles having a cylinder capacity &gt; 125 cm</w:t>
      </w:r>
      <w:r w:rsidRPr="005348D4">
        <w:rPr>
          <w:vertAlign w:val="superscript"/>
        </w:rPr>
        <w:t>3</w:t>
      </w:r>
    </w:p>
    <w:p w14:paraId="246EDE51" w14:textId="77777777" w:rsidR="00EB2B83" w:rsidRPr="00CB24DA" w:rsidRDefault="00EB2B83" w:rsidP="00EB2B83">
      <w:pPr>
        <w:pStyle w:val="SingleTxtG"/>
        <w:ind w:left="2552" w:hanging="284"/>
      </w:pPr>
      <w:r>
        <w:t xml:space="preserve">One </w:t>
      </w:r>
      <w:r w:rsidRPr="00CB24DA">
        <w:t>or two of approved type according to:</w:t>
      </w:r>
    </w:p>
    <w:p w14:paraId="4C539E65" w14:textId="77777777" w:rsidR="00EB2B83" w:rsidRPr="00CB24DA" w:rsidRDefault="00EB2B83" w:rsidP="00EB2B83">
      <w:pPr>
        <w:pStyle w:val="SingleTxtG"/>
        <w:ind w:left="2694" w:hanging="426"/>
      </w:pPr>
      <w:r w:rsidRPr="00CB24DA">
        <w:t>(a)</w:t>
      </w:r>
      <w:r>
        <w:tab/>
      </w:r>
      <w:r w:rsidRPr="00CB24DA">
        <w:t>Class B, D or E of UN Regulation No. 113;</w:t>
      </w:r>
    </w:p>
    <w:p w14:paraId="3EF061C8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(b)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112;</w:t>
      </w:r>
    </w:p>
    <w:p w14:paraId="26E40E60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(c)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1;</w:t>
      </w:r>
    </w:p>
    <w:p w14:paraId="16082EC0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(d)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8;</w:t>
      </w:r>
    </w:p>
    <w:p w14:paraId="52F6463A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(e)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20;</w:t>
      </w:r>
    </w:p>
    <w:p w14:paraId="4CF10E0A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(f)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72;</w:t>
      </w:r>
    </w:p>
    <w:p w14:paraId="56B46FD8" w14:textId="77777777" w:rsidR="00EB2B83" w:rsidRPr="00CB24DA" w:rsidRDefault="00EB2B83" w:rsidP="00EB2B8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(g)</w:t>
      </w:r>
      <w:r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98;</w:t>
      </w:r>
    </w:p>
    <w:p w14:paraId="6333A5FB" w14:textId="724F5A7B" w:rsidR="00EB2B83" w:rsidRPr="00CB24DA" w:rsidRDefault="00EB2B83" w:rsidP="008F4236">
      <w:pPr>
        <w:pStyle w:val="SingleTxtG"/>
        <w:ind w:left="2694" w:hanging="426"/>
        <w:rPr>
          <w:bCs/>
        </w:rPr>
      </w:pPr>
      <w:r w:rsidRPr="00CB24DA">
        <w:rPr>
          <w:bCs/>
        </w:rPr>
        <w:t>(h)</w:t>
      </w:r>
      <w:bookmarkStart w:id="5" w:name="_GoBack"/>
      <w:bookmarkEnd w:id="5"/>
      <w:r w:rsidR="008F4236">
        <w:rPr>
          <w:bCs/>
        </w:rPr>
        <w:tab/>
      </w:r>
      <w:r w:rsidRPr="00CB24DA">
        <w:rPr>
          <w:bCs/>
        </w:rPr>
        <w:t xml:space="preserve">Class A, B, D, BS, DS or ES of UN Regulation No. </w:t>
      </w:r>
      <w:r>
        <w:rPr>
          <w:bCs/>
        </w:rPr>
        <w:t>149.</w:t>
      </w:r>
    </w:p>
    <w:p w14:paraId="4F737955" w14:textId="77777777" w:rsidR="00EB2B83" w:rsidRPr="00CB24DA" w:rsidRDefault="00EB2B83" w:rsidP="00EB2B83">
      <w:pPr>
        <w:pStyle w:val="SingleTxtG"/>
        <w:ind w:left="2552" w:hanging="284"/>
        <w:rPr>
          <w:bCs/>
        </w:rPr>
      </w:pPr>
      <w:r w:rsidRPr="00CB24DA">
        <w:rPr>
          <w:bCs/>
        </w:rPr>
        <w:t>Two of approved type according to:</w:t>
      </w:r>
    </w:p>
    <w:p w14:paraId="1C0281FB" w14:textId="77777777" w:rsidR="00EB2B83" w:rsidRPr="00CB24DA" w:rsidRDefault="00EB2B83" w:rsidP="00EB2B83">
      <w:pPr>
        <w:pStyle w:val="SingleTxtG"/>
        <w:ind w:left="2694" w:hanging="426"/>
        <w:rPr>
          <w:bCs/>
        </w:rPr>
      </w:pPr>
      <w:r w:rsidRPr="00CB24DA">
        <w:rPr>
          <w:bCs/>
        </w:rPr>
        <w:t>(</w:t>
      </w:r>
      <w:proofErr w:type="spellStart"/>
      <w:r w:rsidRPr="00CB24DA">
        <w:rPr>
          <w:bCs/>
        </w:rPr>
        <w:t>i</w:t>
      </w:r>
      <w:proofErr w:type="spellEnd"/>
      <w:r w:rsidRPr="00CB24DA">
        <w:rPr>
          <w:bCs/>
        </w:rPr>
        <w:t>)</w:t>
      </w:r>
      <w:r>
        <w:rPr>
          <w:bCs/>
        </w:rPr>
        <w:tab/>
      </w:r>
      <w:r w:rsidRPr="00CB24DA">
        <w:rPr>
          <w:bCs/>
        </w:rPr>
        <w:t>Class C of UN Regulation No. 113;</w:t>
      </w:r>
    </w:p>
    <w:p w14:paraId="27413454" w14:textId="5175A5D7" w:rsidR="00EB2B83" w:rsidRPr="00CB24DA" w:rsidRDefault="00EB2B83" w:rsidP="00EB2B83">
      <w:pPr>
        <w:pStyle w:val="SingleTxtG"/>
        <w:ind w:left="2694" w:hanging="426"/>
        <w:rPr>
          <w:bCs/>
        </w:rPr>
      </w:pPr>
      <w:r w:rsidRPr="00CB24DA">
        <w:rPr>
          <w:bCs/>
        </w:rPr>
        <w:t>(j)</w:t>
      </w:r>
      <w:r>
        <w:rPr>
          <w:bCs/>
        </w:rPr>
        <w:tab/>
      </w:r>
      <w:r w:rsidRPr="00CB24DA">
        <w:rPr>
          <w:bCs/>
        </w:rPr>
        <w:t xml:space="preserve">Class CS of UN Regulation No. </w:t>
      </w:r>
      <w:r>
        <w:rPr>
          <w:bCs/>
        </w:rPr>
        <w:t>149.</w:t>
      </w:r>
      <w:r w:rsidRPr="00452E16">
        <w:t>"</w:t>
      </w:r>
    </w:p>
    <w:p w14:paraId="0B81528F" w14:textId="77777777" w:rsidR="00EB2B83" w:rsidRDefault="00EB2B83" w:rsidP="00EB2B83">
      <w:pPr>
        <w:pStyle w:val="SingleTxtG"/>
        <w:ind w:right="-40"/>
        <w:rPr>
          <w:i/>
          <w:iCs/>
        </w:rPr>
      </w:pPr>
      <w:r>
        <w:rPr>
          <w:i/>
          <w:iCs/>
        </w:rPr>
        <w:t>Paragraph 6.4.6.</w:t>
      </w:r>
      <w:r>
        <w:t>, amend to read:</w:t>
      </w:r>
    </w:p>
    <w:p w14:paraId="7B48FBD5" w14:textId="77777777" w:rsidR="00EB2B83" w:rsidRDefault="00EB2B83" w:rsidP="00EB2B83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6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  <w:t>Electrical connections</w:t>
      </w:r>
    </w:p>
    <w:p w14:paraId="39F209F3" w14:textId="77777777" w:rsidR="00EB2B83" w:rsidRDefault="00EB2B83" w:rsidP="00EB2B83">
      <w:pPr>
        <w:pStyle w:val="SingleTxtG"/>
        <w:ind w:left="2268" w:hanging="1134"/>
        <w:rPr>
          <w:color w:val="000000"/>
          <w:lang w:eastAsia="ja-JP"/>
        </w:rPr>
      </w:pPr>
      <w:r>
        <w:rPr>
          <w:color w:val="000000"/>
          <w:lang w:eastAsia="ja-JP"/>
        </w:rPr>
        <w:t>6.4.6.1.</w:t>
      </w:r>
      <w:r>
        <w:rPr>
          <w:color w:val="000000"/>
          <w:lang w:eastAsia="ja-JP"/>
        </w:rPr>
        <w:tab/>
      </w:r>
      <w:r>
        <w:rPr>
          <w:bCs/>
          <w:lang w:eastAsia="ja-JP"/>
        </w:rPr>
        <w:t>All the stop lamps</w:t>
      </w:r>
      <w:r>
        <w:rPr>
          <w:lang w:eastAsia="ja-JP"/>
        </w:rPr>
        <w:t xml:space="preserve"> shall light up simultaneously</w:t>
      </w:r>
      <w:r>
        <w:rPr>
          <w:color w:val="000000"/>
          <w:lang w:eastAsia="ja-JP"/>
        </w:rPr>
        <w:t xml:space="preserve"> </w:t>
      </w:r>
      <w:r>
        <w:rPr>
          <w:bCs/>
          <w:color w:val="000000"/>
          <w:lang w:eastAsia="ja-JP"/>
        </w:rPr>
        <w:t>when the braking system provides the braking signal defined in UN Regulation No. 78.</w:t>
      </w:r>
    </w:p>
    <w:p w14:paraId="15747497" w14:textId="77777777" w:rsidR="00EB2B83" w:rsidRDefault="00EB2B83" w:rsidP="00EB2B83">
      <w:pPr>
        <w:spacing w:after="120"/>
        <w:ind w:leftChars="567" w:left="2268" w:rightChars="567" w:right="1134" w:hanging="1134"/>
        <w:jc w:val="both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6.4.6.2.</w:t>
      </w:r>
      <w:r>
        <w:rPr>
          <w:bCs/>
          <w:color w:val="000000"/>
          <w:lang w:eastAsia="ja-JP"/>
        </w:rPr>
        <w:tab/>
        <w:t>The stop lamps need not to function if the device, which starts and/or stops the engine (propulsion system), is in a position that makes it impossible for the engine (propulsion system) to operate."</w:t>
      </w:r>
      <w:bookmarkEnd w:id="6"/>
    </w:p>
    <w:p w14:paraId="2FA97902" w14:textId="77777777" w:rsidR="00EB2B83" w:rsidRPr="00D15D71" w:rsidRDefault="00EB2B83" w:rsidP="00EB2B83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6.7.4.</w:t>
      </w:r>
      <w:r w:rsidRPr="00532934">
        <w:t xml:space="preserve">, </w:t>
      </w:r>
      <w:r w:rsidRPr="00D15D71">
        <w:t>amend to read</w:t>
      </w:r>
      <w:r>
        <w:t>:</w:t>
      </w:r>
    </w:p>
    <w:p w14:paraId="13940564" w14:textId="33FCE1D7" w:rsidR="00EB2B83" w:rsidRDefault="004C06DA" w:rsidP="00EB2B83">
      <w:pPr>
        <w:spacing w:after="120"/>
        <w:ind w:leftChars="567" w:left="2268" w:rightChars="567" w:right="1134" w:hanging="1134"/>
        <w:jc w:val="both"/>
      </w:pPr>
      <w:r>
        <w:t>"</w:t>
      </w:r>
      <w:r w:rsidR="00EB2B83">
        <w:t xml:space="preserve">6.7.4. </w:t>
      </w:r>
      <w:r w:rsidR="00EB2B83">
        <w:tab/>
        <w:t xml:space="preserve">Geometric Visibility </w:t>
      </w:r>
    </w:p>
    <w:p w14:paraId="309F81A1" w14:textId="77777777" w:rsidR="00EB2B83" w:rsidRDefault="00EB2B83" w:rsidP="00EB2B83">
      <w:pPr>
        <w:spacing w:after="120"/>
        <w:ind w:leftChars="1130" w:left="3870" w:rightChars="567" w:right="1134" w:hanging="1610"/>
        <w:jc w:val="both"/>
      </w:pPr>
      <w:r>
        <w:t xml:space="preserve">Horizontal angle: </w:t>
      </w:r>
      <w:r>
        <w:tab/>
        <w:t xml:space="preserve">80° to left and to right for a single lamp: </w:t>
      </w:r>
    </w:p>
    <w:p w14:paraId="723CCF15" w14:textId="77777777" w:rsidR="00EB2B83" w:rsidRDefault="00EB2B83" w:rsidP="00EB2B83">
      <w:pPr>
        <w:spacing w:after="120"/>
        <w:ind w:leftChars="1130" w:left="3846" w:rightChars="567" w:right="1134" w:hanging="1586"/>
        <w:jc w:val="both"/>
      </w:pPr>
      <w:r>
        <w:t xml:space="preserve"> </w:t>
      </w:r>
      <w:r>
        <w:tab/>
        <w:t xml:space="preserve">the horizontal angle may be 80° outwards and </w:t>
      </w:r>
      <w:r w:rsidRPr="009D1D54">
        <w:rPr>
          <w:bCs/>
        </w:rPr>
        <w:t>20°</w:t>
      </w:r>
      <w:r>
        <w:t xml:space="preserve"> inwards for each pair of lamps: </w:t>
      </w:r>
    </w:p>
    <w:p w14:paraId="21E1516A" w14:textId="77777777" w:rsidR="00EB2B83" w:rsidRDefault="00EB2B83" w:rsidP="00EB2B83">
      <w:pPr>
        <w:spacing w:after="120"/>
        <w:ind w:leftChars="1130" w:left="3870" w:rightChars="567" w:right="1134" w:hanging="1610"/>
        <w:jc w:val="both"/>
      </w:pPr>
      <w:r>
        <w:t xml:space="preserve">Vertical angle: </w:t>
      </w:r>
      <w:r>
        <w:tab/>
        <w:t xml:space="preserve">15° above and below the horizontal. </w:t>
      </w:r>
    </w:p>
    <w:p w14:paraId="5BFD21DA" w14:textId="77777777" w:rsidR="00EB2B83" w:rsidRPr="009D1D54" w:rsidRDefault="00EB2B83" w:rsidP="00EB2B83">
      <w:pPr>
        <w:spacing w:after="120"/>
        <w:ind w:left="2250" w:rightChars="567" w:right="1134" w:firstLine="18"/>
        <w:jc w:val="both"/>
        <w:rPr>
          <w:i/>
        </w:rPr>
      </w:pPr>
      <w:r w:rsidRPr="0097008C">
        <w:t>However, where a lamp is mounted below 750 mm (measured according to the provisions of paragraph 5.7.), the downward angle of 15° may be reduced to</w:t>
      </w:r>
      <w:r>
        <w:t> </w:t>
      </w:r>
      <w:r w:rsidRPr="0097008C">
        <w:t>5°.</w:t>
      </w:r>
      <w:r>
        <w:t>"</w:t>
      </w:r>
    </w:p>
    <w:p w14:paraId="1CE1A716" w14:textId="60F83E0F" w:rsidR="004865D9" w:rsidRPr="007F3A96" w:rsidRDefault="00EB2B83" w:rsidP="00EB2B83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7F3A96" w:rsidSect="004C0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36BF" w14:textId="77777777" w:rsidR="00B82E60" w:rsidRDefault="00B82E60"/>
  </w:endnote>
  <w:endnote w:type="continuationSeparator" w:id="0">
    <w:p w14:paraId="25287726" w14:textId="77777777" w:rsidR="00B82E60" w:rsidRDefault="00B82E60"/>
  </w:endnote>
  <w:endnote w:type="continuationNotice" w:id="1">
    <w:p w14:paraId="0452FA14" w14:textId="77777777" w:rsidR="00B82E60" w:rsidRDefault="00B82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A12C6A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B2B83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E266" w14:textId="77777777" w:rsidR="00B82E60" w:rsidRPr="000B175B" w:rsidRDefault="00B82E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764E38" w14:textId="77777777" w:rsidR="00B82E60" w:rsidRPr="00FC68B7" w:rsidRDefault="00B82E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53C4F5" w14:textId="77777777" w:rsidR="00B82E60" w:rsidRDefault="00B82E60"/>
  </w:footnote>
  <w:footnote w:id="2">
    <w:p w14:paraId="0CE94D09" w14:textId="77777777" w:rsidR="0052784A" w:rsidRPr="00A153B0" w:rsidRDefault="0052784A" w:rsidP="0052784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6D3D018C" w14:textId="77777777" w:rsidR="0052784A" w:rsidRPr="00A153B0" w:rsidRDefault="0052784A" w:rsidP="0052784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871494D" w14:textId="77777777" w:rsidR="0052784A" w:rsidRPr="00E964DF" w:rsidRDefault="0052784A" w:rsidP="0052784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9848" w14:textId="506151F9" w:rsidR="0052784A" w:rsidRDefault="0052784A" w:rsidP="0052784A">
    <w:pPr>
      <w:pStyle w:val="Header"/>
    </w:pPr>
    <w:r w:rsidRPr="0052784A">
      <w:t>E/ECE/324/Rev.1/Add.52/Rev.</w:t>
    </w:r>
    <w:r w:rsidR="00EB2B83">
      <w:t>3</w:t>
    </w:r>
    <w:r w:rsidRPr="0052784A">
      <w:t>/Amend.</w:t>
    </w:r>
    <w:r w:rsidR="00EB2B83">
      <w:t>8</w:t>
    </w:r>
  </w:p>
  <w:p w14:paraId="3604F3EE" w14:textId="10E2BA43" w:rsidR="008935CB" w:rsidRPr="0052784A" w:rsidRDefault="0052784A" w:rsidP="00DB463E">
    <w:pPr>
      <w:pStyle w:val="Header"/>
      <w:spacing w:after="240"/>
    </w:pPr>
    <w:r w:rsidRPr="0052784A">
      <w:t>E/ECE/TRANS/505/Rev.1/Add.52/Rev.</w:t>
    </w:r>
    <w:r w:rsidR="00EB2B83">
      <w:t>3</w:t>
    </w:r>
    <w:r w:rsidRPr="0052784A">
      <w:t>/Amend.</w:t>
    </w:r>
    <w:r w:rsidR="00EB2B83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9724" w14:textId="31638AA6" w:rsidR="0052784A" w:rsidRDefault="0052784A" w:rsidP="0052784A">
    <w:pPr>
      <w:pStyle w:val="Header"/>
      <w:jc w:val="right"/>
    </w:pPr>
    <w:r w:rsidRPr="0052784A">
      <w:t>E/ECE/324/Rev.1/Add.52/Rev.</w:t>
    </w:r>
    <w:r w:rsidR="00EB2B83">
      <w:t>3</w:t>
    </w:r>
    <w:r w:rsidRPr="0052784A">
      <w:t>/Amend.</w:t>
    </w:r>
    <w:r w:rsidR="00EB2B83">
      <w:t>8</w:t>
    </w:r>
  </w:p>
  <w:p w14:paraId="0FA3BF53" w14:textId="7B4EA753" w:rsidR="0009346C" w:rsidRPr="0052784A" w:rsidRDefault="0052784A" w:rsidP="00DB463E">
    <w:pPr>
      <w:pStyle w:val="Header"/>
      <w:spacing w:after="240"/>
      <w:jc w:val="right"/>
    </w:pPr>
    <w:r w:rsidRPr="0052784A">
      <w:t>E/ECE/TRANS/505/Rev.1/Add.52/Rev.</w:t>
    </w:r>
    <w:r w:rsidR="00EB2B83">
      <w:t>3</w:t>
    </w:r>
    <w:r w:rsidRPr="0052784A">
      <w:t>/Amend.</w:t>
    </w:r>
    <w:r w:rsidR="00EB2B83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A0E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02A9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2FF2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53B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3330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43E8"/>
    <w:rsid w:val="004B5A45"/>
    <w:rsid w:val="004C06DA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2784A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016F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95A29"/>
    <w:rsid w:val="006A2153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AF9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1EEC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02C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3A96"/>
    <w:rsid w:val="007F43E2"/>
    <w:rsid w:val="007F6611"/>
    <w:rsid w:val="00800E61"/>
    <w:rsid w:val="0080347D"/>
    <w:rsid w:val="00804DB7"/>
    <w:rsid w:val="00805314"/>
    <w:rsid w:val="00810FDF"/>
    <w:rsid w:val="00811219"/>
    <w:rsid w:val="00811BEA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3EA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4236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07D1D"/>
    <w:rsid w:val="009150D6"/>
    <w:rsid w:val="00916ED9"/>
    <w:rsid w:val="00917305"/>
    <w:rsid w:val="00921305"/>
    <w:rsid w:val="00923C5D"/>
    <w:rsid w:val="00925530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2692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6A59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2C6A"/>
    <w:rsid w:val="00A1427D"/>
    <w:rsid w:val="00A2091B"/>
    <w:rsid w:val="00A225B5"/>
    <w:rsid w:val="00A2260A"/>
    <w:rsid w:val="00A22945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2E60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6EA2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7927"/>
    <w:rsid w:val="00BE4680"/>
    <w:rsid w:val="00BE4F74"/>
    <w:rsid w:val="00BE618E"/>
    <w:rsid w:val="00BF1990"/>
    <w:rsid w:val="00BF3566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463E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6CC"/>
    <w:rsid w:val="00E32D71"/>
    <w:rsid w:val="00E34F7C"/>
    <w:rsid w:val="00E35822"/>
    <w:rsid w:val="00E3755F"/>
    <w:rsid w:val="00E40F00"/>
    <w:rsid w:val="00E455F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97527"/>
    <w:rsid w:val="00EA21FB"/>
    <w:rsid w:val="00EA2326"/>
    <w:rsid w:val="00EA264E"/>
    <w:rsid w:val="00EA3FCB"/>
    <w:rsid w:val="00EA7AFC"/>
    <w:rsid w:val="00EB1488"/>
    <w:rsid w:val="00EB1D7C"/>
    <w:rsid w:val="00EB2187"/>
    <w:rsid w:val="00EB2B83"/>
    <w:rsid w:val="00EB3128"/>
    <w:rsid w:val="00EB3C2B"/>
    <w:rsid w:val="00EB41BB"/>
    <w:rsid w:val="00EB78B7"/>
    <w:rsid w:val="00EC27A2"/>
    <w:rsid w:val="00EC28B5"/>
    <w:rsid w:val="00EC3288"/>
    <w:rsid w:val="00EC707B"/>
    <w:rsid w:val="00ED029A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16B6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C74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E166-EA0A-4F10-8F54-59BAE2F5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2489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4</cp:revision>
  <cp:lastPrinted>2019-11-11T07:04:00Z</cp:lastPrinted>
  <dcterms:created xsi:type="dcterms:W3CDTF">2020-06-29T15:07:00Z</dcterms:created>
  <dcterms:modified xsi:type="dcterms:W3CDTF">2020-06-30T09:17:00Z</dcterms:modified>
</cp:coreProperties>
</file>