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8"/>
        <w:gridCol w:w="5532"/>
        <w:gridCol w:w="2819"/>
      </w:tblGrid>
      <w:tr w:rsidR="002A432D" w:rsidRPr="002A432D" w:rsidTr="002A432D">
        <w:trPr>
          <w:trHeight w:hRule="exact" w:val="851"/>
        </w:trPr>
        <w:tc>
          <w:tcPr>
            <w:tcW w:w="1288" w:type="dxa"/>
            <w:gridSpan w:val="2"/>
            <w:tcBorders>
              <w:bottom w:val="single" w:sz="4" w:space="0" w:color="auto"/>
            </w:tcBorders>
          </w:tcPr>
          <w:p w:rsidR="002A432D" w:rsidRPr="00BD33EE" w:rsidRDefault="002A432D" w:rsidP="002A7B4A">
            <w:bookmarkStart w:id="0" w:name="_GoBack"/>
            <w:bookmarkEnd w:id="0"/>
          </w:p>
        </w:tc>
        <w:tc>
          <w:tcPr>
            <w:tcW w:w="8351" w:type="dxa"/>
            <w:gridSpan w:val="2"/>
            <w:tcBorders>
              <w:bottom w:val="single" w:sz="4" w:space="0" w:color="auto"/>
            </w:tcBorders>
            <w:vAlign w:val="bottom"/>
          </w:tcPr>
          <w:p w:rsidR="002A432D" w:rsidRPr="002A432D" w:rsidRDefault="002A432D" w:rsidP="002A432D">
            <w:pPr>
              <w:jc w:val="right"/>
              <w:rPr>
                <w:lang w:val="en-US"/>
              </w:rPr>
            </w:pPr>
            <w:r w:rsidRPr="002A432D">
              <w:rPr>
                <w:sz w:val="40"/>
                <w:lang w:val="en-US"/>
              </w:rPr>
              <w:t>E</w:t>
            </w:r>
            <w:r w:rsidRPr="002A432D">
              <w:rPr>
                <w:lang w:val="en-US"/>
              </w:rPr>
              <w:t>/ECE/324/Rev.1/Add.47/Rev.6/Amend.12</w:t>
            </w:r>
            <w:r w:rsidRPr="002A432D">
              <w:rPr>
                <w:rFonts w:cs="Times New Roman"/>
                <w:lang w:val="en-US"/>
              </w:rPr>
              <w:t>−</w:t>
            </w:r>
            <w:r w:rsidRPr="002A432D">
              <w:rPr>
                <w:sz w:val="40"/>
                <w:lang w:val="en-US"/>
              </w:rPr>
              <w:t>E</w:t>
            </w:r>
            <w:r w:rsidRPr="002A432D">
              <w:rPr>
                <w:lang w:val="en-US"/>
              </w:rPr>
              <w:t>/ECE/TRANS/505/Rev.1/Add.47/Rev.6/Amend.12</w:t>
            </w:r>
          </w:p>
        </w:tc>
      </w:tr>
      <w:tr w:rsidR="002D5AAC" w:rsidRPr="002A432D" w:rsidTr="002A7B4A">
        <w:trPr>
          <w:trHeight w:hRule="exact" w:val="2835"/>
        </w:trPr>
        <w:tc>
          <w:tcPr>
            <w:tcW w:w="1280" w:type="dxa"/>
            <w:tcBorders>
              <w:top w:val="single" w:sz="4" w:space="0" w:color="auto"/>
              <w:bottom w:val="single" w:sz="12" w:space="0" w:color="auto"/>
            </w:tcBorders>
          </w:tcPr>
          <w:p w:rsidR="002D5AAC" w:rsidRPr="002A432D" w:rsidRDefault="002D5AAC" w:rsidP="002A7B4A">
            <w:pPr>
              <w:spacing w:before="120"/>
              <w:rPr>
                <w:szCs w:val="20"/>
                <w:lang w:val="en-US"/>
              </w:rPr>
            </w:pPr>
          </w:p>
        </w:tc>
        <w:tc>
          <w:tcPr>
            <w:tcW w:w="5540" w:type="dxa"/>
            <w:gridSpan w:val="2"/>
            <w:tcBorders>
              <w:top w:val="single" w:sz="4" w:space="0" w:color="auto"/>
              <w:bottom w:val="single" w:sz="12" w:space="0" w:color="auto"/>
            </w:tcBorders>
          </w:tcPr>
          <w:p w:rsidR="002D5AAC" w:rsidRPr="002A432D"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2A432D" w:rsidRDefault="002A432D" w:rsidP="002A432D">
            <w:pPr>
              <w:spacing w:before="120" w:line="240" w:lineRule="exact"/>
              <w:rPr>
                <w:szCs w:val="20"/>
                <w:lang w:val="en-US"/>
              </w:rPr>
            </w:pPr>
          </w:p>
          <w:p w:rsidR="002A432D" w:rsidRDefault="002A432D" w:rsidP="002A432D">
            <w:pPr>
              <w:spacing w:before="120" w:line="240" w:lineRule="exact"/>
              <w:rPr>
                <w:szCs w:val="20"/>
                <w:lang w:val="en-US"/>
              </w:rPr>
            </w:pPr>
          </w:p>
          <w:p w:rsidR="002A432D" w:rsidRPr="009D084C" w:rsidRDefault="002A432D" w:rsidP="002A432D">
            <w:pPr>
              <w:spacing w:before="120" w:line="240" w:lineRule="exact"/>
              <w:rPr>
                <w:szCs w:val="20"/>
                <w:lang w:val="en-US"/>
              </w:rPr>
            </w:pPr>
            <w:r>
              <w:rPr>
                <w:szCs w:val="20"/>
                <w:lang w:val="en-US"/>
              </w:rPr>
              <w:t>8 November 2019</w:t>
            </w:r>
          </w:p>
        </w:tc>
      </w:tr>
    </w:tbl>
    <w:p w:rsidR="002A432D" w:rsidRDefault="002A432D" w:rsidP="002A432D">
      <w:pPr>
        <w:pStyle w:val="HChG"/>
        <w:spacing w:before="240" w:after="120"/>
        <w:rPr>
          <w:lang w:eastAsia="en-US"/>
        </w:rPr>
      </w:pPr>
      <w:r>
        <w:tab/>
      </w:r>
      <w:r>
        <w:tab/>
      </w:r>
      <w:r>
        <w:rPr>
          <w:bCs/>
        </w:rPr>
        <w:t>Соглашение</w:t>
      </w:r>
      <w:bookmarkStart w:id="1" w:name="_Toc340666199"/>
      <w:bookmarkStart w:id="2" w:name="_Toc340745062"/>
      <w:bookmarkEnd w:id="1"/>
      <w:bookmarkEnd w:id="2"/>
    </w:p>
    <w:p w:rsidR="002A432D" w:rsidRDefault="002A432D" w:rsidP="002A432D">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2A432D">
        <w:rPr>
          <w:rStyle w:val="FootnoteReference"/>
          <w:b w:val="0"/>
          <w:sz w:val="20"/>
          <w:vertAlign w:val="baseline"/>
        </w:rPr>
        <w:footnoteReference w:customMarkFollows="1" w:id="1"/>
        <w:t>*</w:t>
      </w:r>
    </w:p>
    <w:p w:rsidR="002A432D" w:rsidRDefault="002A432D" w:rsidP="002A432D">
      <w:pPr>
        <w:pStyle w:val="SingleTxtG"/>
        <w:spacing w:before="120"/>
      </w:pPr>
      <w:r>
        <w:t>(Пересмотр 3, включающий поправки, вступившие в силу 14 сентября 2017 года)</w:t>
      </w:r>
    </w:p>
    <w:p w:rsidR="002A432D" w:rsidRDefault="002A432D" w:rsidP="002A432D">
      <w:pPr>
        <w:pStyle w:val="H1G"/>
        <w:spacing w:before="120"/>
        <w:ind w:left="0" w:right="0" w:firstLine="0"/>
        <w:jc w:val="center"/>
      </w:pPr>
      <w:r>
        <w:rPr>
          <w:bCs/>
        </w:rPr>
        <w:t>_________</w:t>
      </w:r>
    </w:p>
    <w:p w:rsidR="002A432D" w:rsidRDefault="002A432D" w:rsidP="002A432D">
      <w:pPr>
        <w:pStyle w:val="H1G"/>
        <w:spacing w:before="240" w:after="120"/>
      </w:pPr>
      <w:r>
        <w:tab/>
      </w:r>
      <w:r>
        <w:tab/>
      </w:r>
      <w:r>
        <w:rPr>
          <w:bCs/>
        </w:rPr>
        <w:t>Добавление 47 – Правила № 48 ООН</w:t>
      </w:r>
    </w:p>
    <w:p w:rsidR="002A432D" w:rsidRDefault="002A432D" w:rsidP="002A432D">
      <w:pPr>
        <w:pStyle w:val="H1G"/>
        <w:spacing w:before="240"/>
      </w:pPr>
      <w:r>
        <w:tab/>
      </w:r>
      <w:r>
        <w:tab/>
      </w:r>
      <w:r>
        <w:rPr>
          <w:bCs/>
        </w:rPr>
        <w:t>Пересмотр 6 – Поправка 12</w:t>
      </w:r>
    </w:p>
    <w:p w:rsidR="002A432D" w:rsidRDefault="002A432D" w:rsidP="002A432D">
      <w:pPr>
        <w:pStyle w:val="SingleTxtG"/>
        <w:spacing w:after="360"/>
        <w:rPr>
          <w:spacing w:val="-2"/>
        </w:rPr>
      </w:pPr>
      <w:r>
        <w:t>Дополнение 6 к поправкам серии 03 − Дата вступления в силу: 15 октября 2019 года</w:t>
      </w:r>
    </w:p>
    <w:p w:rsidR="002A432D" w:rsidRDefault="002A432D" w:rsidP="002A432D">
      <w:pPr>
        <w:pStyle w:val="H1G"/>
        <w:spacing w:before="120" w:after="120" w:line="240" w:lineRule="exact"/>
      </w:pPr>
      <w:r>
        <w:tab/>
      </w:r>
      <w:r>
        <w:tab/>
      </w:r>
      <w:r>
        <w:rPr>
          <w:bCs/>
        </w:rPr>
        <w:t>Установка устройств освещения и световой сигнализации</w:t>
      </w:r>
    </w:p>
    <w:p w:rsidR="002A432D" w:rsidRDefault="002A432D" w:rsidP="002A432D">
      <w:pPr>
        <w:pStyle w:val="SingleTxtG"/>
        <w:spacing w:after="40"/>
      </w:pPr>
      <w:r>
        <w:t>Настоящий документ опубликован исключительно в информационных целях. Аутентичным и юридически обязательным текстом является документ: ECE/TRANS/WP.29/2018/102.</w:t>
      </w:r>
    </w:p>
    <w:p w:rsidR="002A432D" w:rsidRDefault="002A432D" w:rsidP="002A432D">
      <w:pPr>
        <w:pStyle w:val="H1G"/>
        <w:spacing w:before="120"/>
        <w:ind w:left="0" w:right="0" w:firstLine="0"/>
        <w:jc w:val="center"/>
      </w:pPr>
      <w:r>
        <w:rPr>
          <w:bCs/>
        </w:rPr>
        <w:t>_________</w:t>
      </w:r>
      <w:r>
        <w:rPr>
          <w:noProof/>
        </w:rPr>
        <w:drawing>
          <wp:anchor distT="0" distB="137160" distL="114300" distR="114300" simplePos="0" relativeHeight="251659264" behindDoc="0" locked="0" layoutInCell="1" allowOverlap="1">
            <wp:simplePos x="0" y="0"/>
            <wp:positionH relativeFrom="column">
              <wp:posOffset>2540000</wp:posOffset>
            </wp:positionH>
            <wp:positionV relativeFrom="paragraph">
              <wp:posOffset>223520</wp:posOffset>
            </wp:positionV>
            <wp:extent cx="1028700" cy="8267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2A432D" w:rsidRDefault="002A432D" w:rsidP="002A432D">
      <w:pPr>
        <w:suppressAutoHyphens w:val="0"/>
        <w:spacing w:line="240" w:lineRule="auto"/>
        <w:jc w:val="center"/>
        <w:rPr>
          <w:b/>
          <w:sz w:val="24"/>
        </w:rPr>
      </w:pPr>
      <w:r>
        <w:rPr>
          <w:b/>
          <w:bCs/>
        </w:rPr>
        <w:t>ОРГАНИЗАЦИЯ ОБЪЕДИНЕННЫХ НАЦИЙ</w:t>
      </w:r>
    </w:p>
    <w:p w:rsidR="002A432D" w:rsidRDefault="002A432D" w:rsidP="002A432D">
      <w:pPr>
        <w:suppressAutoHyphens w:val="0"/>
        <w:spacing w:line="240" w:lineRule="auto"/>
        <w:rPr>
          <w:b/>
          <w:sz w:val="24"/>
        </w:rPr>
      </w:pPr>
      <w:r>
        <w:rPr>
          <w:b/>
          <w:sz w:val="24"/>
        </w:rPr>
        <w:br w:type="page"/>
      </w:r>
    </w:p>
    <w:p w:rsidR="002A432D" w:rsidRDefault="002A432D" w:rsidP="002A432D">
      <w:pPr>
        <w:pStyle w:val="HChG"/>
      </w:pPr>
      <w:r>
        <w:lastRenderedPageBreak/>
        <w:tab/>
      </w:r>
      <w:r>
        <w:tab/>
        <w:t xml:space="preserve">Дополнение 6 к поправкам серии 03 </w:t>
      </w:r>
      <w:r>
        <w:br/>
        <w:t xml:space="preserve">к Правилам № 48 ООН (установка устройств </w:t>
      </w:r>
      <w:r>
        <w:br/>
        <w:t>освещения и световой сигнализации)</w:t>
      </w:r>
    </w:p>
    <w:p w:rsidR="002A432D" w:rsidRDefault="002A432D" w:rsidP="002A432D">
      <w:pPr>
        <w:pStyle w:val="SingleTxtG"/>
      </w:pPr>
      <w:r>
        <w:rPr>
          <w:i/>
          <w:iCs/>
        </w:rPr>
        <w:t>Пункт 2.7.16.4</w:t>
      </w:r>
      <w:r>
        <w:t xml:space="preserve"> изменить следующим образом:</w:t>
      </w:r>
    </w:p>
    <w:p w:rsidR="002A432D" w:rsidRDefault="002A432D" w:rsidP="002A432D">
      <w:pPr>
        <w:pStyle w:val="SingleTxtG"/>
        <w:ind w:left="2268" w:hanging="1134"/>
      </w:pPr>
      <w:r>
        <w:t>«2.7.16.4</w:t>
      </w:r>
      <w:r>
        <w:tab/>
      </w:r>
      <w:r w:rsidRPr="002A432D">
        <w:rPr>
          <w:lang w:val="en-GB"/>
        </w:rPr>
        <w:t>Светоотражающие</w:t>
      </w:r>
      <w:r>
        <w:t xml:space="preserve"> материалы, официально утвержденные в качестве класса D или Е в соответствии с Правилами № 104 или [СОУ] ООН и используемые для других целей в силу национальных требований, например для рекламы».</w:t>
      </w:r>
    </w:p>
    <w:p w:rsidR="002A432D" w:rsidRDefault="002A432D" w:rsidP="002A432D">
      <w:pPr>
        <w:pStyle w:val="SingleTxtGR"/>
        <w:tabs>
          <w:tab w:val="clear" w:pos="1701"/>
        </w:tabs>
        <w:ind w:left="2268" w:hanging="1134"/>
      </w:pPr>
      <w:r>
        <w:rPr>
          <w:i/>
          <w:iCs/>
        </w:rPr>
        <w:t xml:space="preserve">Пункт 2.7.28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«2.7.28</w:t>
      </w:r>
      <w:r>
        <w:tab/>
        <w:t>"</w:t>
      </w:r>
      <w:r>
        <w:rPr>
          <w:i/>
          <w:iCs/>
        </w:rPr>
        <w:t>Адаптивная система переднего освещения</w:t>
      </w:r>
      <w:r>
        <w:t>" (или "</w:t>
      </w:r>
      <w:r>
        <w:rPr>
          <w:i/>
          <w:iCs/>
        </w:rPr>
        <w:t>АСПО</w:t>
      </w:r>
      <w:r>
        <w:t xml:space="preserve">") означает осветительное устройство, тип которого официально утвержден в </w:t>
      </w:r>
      <w:r w:rsidRPr="002A432D">
        <w:rPr>
          <w:lang w:val="en-GB"/>
        </w:rPr>
        <w:t>соответствии</w:t>
      </w:r>
      <w:r>
        <w:t xml:space="preserve"> с Правилами № 123 или [СОУ] ООН, создающее лучи света с различными характеристиками для автоматической адаптации к изменяющимся условиям использования луча ближнего света и, если это применимо, луча дальнего света».</w:t>
      </w:r>
    </w:p>
    <w:p w:rsidR="002A432D" w:rsidRDefault="002A432D" w:rsidP="002A432D">
      <w:pPr>
        <w:pStyle w:val="SingleTxtGR"/>
        <w:tabs>
          <w:tab w:val="clear" w:pos="1701"/>
        </w:tabs>
        <w:ind w:left="2268" w:hanging="1134"/>
      </w:pPr>
      <w:r>
        <w:rPr>
          <w:i/>
          <w:iCs/>
        </w:rPr>
        <w:t>Пункт 3.2.6.2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«3.2.6.2</w:t>
      </w:r>
      <w:r>
        <w:tab/>
      </w:r>
      <w:r w:rsidRPr="002A432D">
        <w:rPr>
          <w:lang w:val="en-GB"/>
        </w:rPr>
        <w:t>соответствующие</w:t>
      </w:r>
      <w:r>
        <w:t xml:space="preserve"> управляющие сигналы АСПО и их технические </w:t>
      </w:r>
      <w:r w:rsidRPr="002A432D">
        <w:rPr>
          <w:lang w:val="en-GB"/>
        </w:rPr>
        <w:t>характеристики</w:t>
      </w:r>
      <w:r>
        <w:t>, определенные в приложении 10 к Правилам № 123 ООН или в приложении 14 к Правилам № [УОД] ООН;».</w:t>
      </w:r>
    </w:p>
    <w:p w:rsidR="002A432D" w:rsidRDefault="002A432D" w:rsidP="002A432D">
      <w:pPr>
        <w:pStyle w:val="SingleTxtGR"/>
        <w:tabs>
          <w:tab w:val="clear" w:pos="1701"/>
        </w:tabs>
        <w:ind w:left="2268" w:hanging="1134"/>
      </w:pPr>
      <w:r>
        <w:rPr>
          <w:i/>
          <w:iCs/>
        </w:rPr>
        <w:t>Пункт 6.1</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«6.1</w:t>
      </w:r>
      <w:r>
        <w:tab/>
        <w:t xml:space="preserve">Фара </w:t>
      </w:r>
      <w:r w:rsidRPr="00F40CB8">
        <w:t>дальнего</w:t>
      </w:r>
      <w:r>
        <w:t xml:space="preserve"> света (Правила № 98, 112 и [УОД] ООН)</w:t>
      </w:r>
      <w:r w:rsidR="00F40CB8">
        <w:t>;</w:t>
      </w:r>
      <w:r>
        <w:t>»</w:t>
      </w:r>
      <w:r w:rsidR="00C418EC">
        <w:t>.</w:t>
      </w:r>
    </w:p>
    <w:p w:rsidR="002A432D" w:rsidRDefault="002A432D" w:rsidP="002A432D">
      <w:pPr>
        <w:pStyle w:val="SingleTxtGR"/>
        <w:tabs>
          <w:tab w:val="clear" w:pos="1701"/>
        </w:tabs>
        <w:ind w:left="2268" w:hanging="1134"/>
      </w:pPr>
      <w:r>
        <w:rPr>
          <w:i/>
          <w:iCs/>
        </w:rPr>
        <w:t>Пункт 6.2</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«6.2</w:t>
      </w:r>
      <w:r>
        <w:tab/>
        <w:t xml:space="preserve">Фара </w:t>
      </w:r>
      <w:r w:rsidRPr="00F40CB8">
        <w:t>ближнего</w:t>
      </w:r>
      <w:r>
        <w:t xml:space="preserve"> света (Правила № 98, 112 и [УОД] ООН)</w:t>
      </w:r>
      <w:r w:rsidR="00F40CB8">
        <w:t>;</w:t>
      </w:r>
      <w:r>
        <w:t>»</w:t>
      </w:r>
      <w:r w:rsidR="00C418EC">
        <w:t>.</w:t>
      </w:r>
    </w:p>
    <w:p w:rsidR="002A432D" w:rsidRDefault="002A432D" w:rsidP="002A432D">
      <w:pPr>
        <w:pStyle w:val="SingleTxtGR"/>
        <w:tabs>
          <w:tab w:val="clear" w:pos="1701"/>
        </w:tabs>
        <w:ind w:left="2268" w:hanging="1134"/>
      </w:pPr>
      <w:r>
        <w:rPr>
          <w:i/>
          <w:iCs/>
        </w:rPr>
        <w:t>Пункт 6.2.7</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«6.2.7</w:t>
      </w:r>
      <w:r>
        <w:tab/>
      </w:r>
      <w:r w:rsidRPr="002A432D">
        <w:rPr>
          <w:lang w:val="en-GB"/>
        </w:rPr>
        <w:t>Функциональная</w:t>
      </w:r>
      <w:r>
        <w:t xml:space="preserve"> электрическая схема</w:t>
      </w:r>
    </w:p>
    <w:p w:rsidR="002A432D" w:rsidRDefault="002A432D" w:rsidP="002A432D">
      <w:pPr>
        <w:pStyle w:val="SingleTxtGR"/>
        <w:tabs>
          <w:tab w:val="clear" w:pos="1701"/>
        </w:tabs>
        <w:ind w:left="2268" w:hanging="1134"/>
      </w:pPr>
      <w:r>
        <w:tab/>
      </w:r>
      <w:r w:rsidRPr="002A432D">
        <w:rPr>
          <w:lang w:val="en-GB"/>
        </w:rPr>
        <w:t>Переключение</w:t>
      </w:r>
      <w:r>
        <w:t xml:space="preserve"> на ближний свет должно вызывать одновременное выключение всех фар дальнего света.</w:t>
      </w:r>
    </w:p>
    <w:p w:rsidR="002A432D" w:rsidRDefault="002A432D" w:rsidP="002A432D">
      <w:pPr>
        <w:pStyle w:val="SingleTxtGR"/>
        <w:tabs>
          <w:tab w:val="clear" w:pos="1701"/>
        </w:tabs>
        <w:ind w:left="2268" w:hanging="1134"/>
      </w:pPr>
      <w:r>
        <w:tab/>
        <w:t xml:space="preserve">Огни </w:t>
      </w:r>
      <w:r w:rsidRPr="002A432D">
        <w:rPr>
          <w:lang w:val="en-GB"/>
        </w:rPr>
        <w:t>ближнего</w:t>
      </w:r>
      <w:r>
        <w:t xml:space="preserve"> света могут оставаться включенными одновременно с огнями дальнего света.</w:t>
      </w:r>
    </w:p>
    <w:p w:rsidR="002A432D" w:rsidRDefault="002A432D" w:rsidP="002A432D">
      <w:pPr>
        <w:pStyle w:val="SingleTxtGR"/>
        <w:tabs>
          <w:tab w:val="clear" w:pos="1701"/>
        </w:tabs>
        <w:ind w:left="2268" w:hanging="1134"/>
      </w:pPr>
      <w:r>
        <w:tab/>
        <w:t xml:space="preserve">В случае фар </w:t>
      </w:r>
      <w:r w:rsidRPr="005247BE">
        <w:t>ближнего</w:t>
      </w:r>
      <w:r>
        <w:t xml:space="preserve"> света, соответствующих Правилам № 98 или</w:t>
      </w:r>
      <w:r w:rsidR="00F40CB8">
        <w:t xml:space="preserve"> </w:t>
      </w:r>
      <w:r>
        <w:t>[УОД] ООН, газоразрядные источники света должны оставаться включенными при работающих огнях дальнего света.</w:t>
      </w:r>
    </w:p>
    <w:p w:rsidR="002A432D" w:rsidRDefault="002A432D" w:rsidP="002A432D">
      <w:pPr>
        <w:pStyle w:val="SingleTxtGR"/>
        <w:tabs>
          <w:tab w:val="clear" w:pos="1701"/>
        </w:tabs>
        <w:ind w:left="2268" w:hanging="1134"/>
      </w:pPr>
      <w:r>
        <w:tab/>
        <w:t xml:space="preserve">Один </w:t>
      </w:r>
      <w:r w:rsidRPr="002A432D">
        <w:rPr>
          <w:lang w:val="en-GB"/>
        </w:rPr>
        <w:t>дополнительный</w:t>
      </w:r>
      <w:r>
        <w:t xml:space="preserve"> источник света либо один или более модулей СИД, расположенных внутри фар ближнего света или огня (за</w:t>
      </w:r>
      <w:r>
        <w:rPr>
          <w:lang w:val="en-US"/>
        </w:rPr>
        <w:t> </w:t>
      </w:r>
      <w:r>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 ответственным за официальное утверждение типа.</w:t>
      </w:r>
    </w:p>
    <w:p w:rsidR="002A432D" w:rsidRDefault="002A432D" w:rsidP="002A432D">
      <w:pPr>
        <w:pStyle w:val="SingleTxtGR"/>
        <w:tabs>
          <w:tab w:val="clear" w:pos="1701"/>
        </w:tabs>
        <w:ind w:left="2268" w:hanging="1134"/>
      </w:pPr>
      <w:r>
        <w:tab/>
        <w:t xml:space="preserve">Фары </w:t>
      </w:r>
      <w:r w:rsidRPr="002A432D">
        <w:rPr>
          <w:lang w:val="en-GB"/>
        </w:rPr>
        <w:t>ближнего</w:t>
      </w:r>
      <w:r>
        <w:t xml:space="preserve">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2A432D" w:rsidRDefault="002A432D" w:rsidP="002A432D">
      <w:pPr>
        <w:pStyle w:val="SingleTxtGR"/>
        <w:pageBreakBefore/>
        <w:tabs>
          <w:tab w:val="clear" w:pos="1701"/>
        </w:tabs>
        <w:ind w:left="2268" w:hanging="1134"/>
      </w:pPr>
      <w:r>
        <w:rPr>
          <w:i/>
          <w:iCs/>
        </w:rPr>
        <w:lastRenderedPageBreak/>
        <w:t>Пункт 6.2.9</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rPr>
          <w:i/>
        </w:rPr>
      </w:pPr>
      <w:r>
        <w:t>«6.2.9</w:t>
      </w:r>
      <w:r>
        <w:tab/>
      </w:r>
      <w:r w:rsidRPr="002A432D">
        <w:rPr>
          <w:lang w:val="en-GB"/>
        </w:rPr>
        <w:t>Прочие</w:t>
      </w:r>
      <w:r>
        <w:t xml:space="preserve"> требования </w:t>
      </w:r>
    </w:p>
    <w:p w:rsidR="002A432D" w:rsidRDefault="002A432D" w:rsidP="002A432D">
      <w:pPr>
        <w:pStyle w:val="SingleTxtGR"/>
        <w:tabs>
          <w:tab w:val="clear" w:pos="1701"/>
        </w:tabs>
        <w:ind w:left="2268" w:hanging="1134"/>
      </w:pPr>
      <w:r>
        <w:tab/>
      </w:r>
      <w:r w:rsidRPr="002A432D">
        <w:rPr>
          <w:lang w:val="en-GB"/>
        </w:rPr>
        <w:t>Требования</w:t>
      </w:r>
      <w:r>
        <w:t>, содержащиеся в пункте 5.5.2, не применяют к фарам ближнего света.</w:t>
      </w:r>
    </w:p>
    <w:p w:rsidR="002A432D" w:rsidRDefault="002A432D" w:rsidP="002A432D">
      <w:pPr>
        <w:pStyle w:val="SingleTxtGR"/>
        <w:tabs>
          <w:tab w:val="clear" w:pos="1701"/>
        </w:tabs>
        <w:ind w:left="2268" w:hanging="1134"/>
      </w:pPr>
      <w:r>
        <w:tab/>
        <w:t>Фары ближнего света с источником света или модулем(ями) СИД, создающим(и) основной луч ближнего света и имеющим(и) номинальный световой поток более 2 000 люмен, устанавливаются только совместно с устройством(ами) для очистки фар в соответствии с Правилами № 45 ООН</w:t>
      </w:r>
      <w:r>
        <w:rPr>
          <w:sz w:val="18"/>
          <w:szCs w:val="18"/>
          <w:vertAlign w:val="superscript"/>
        </w:rPr>
        <w:t>9</w:t>
      </w:r>
      <w:r>
        <w:t>.</w:t>
      </w:r>
    </w:p>
    <w:p w:rsidR="002A432D" w:rsidRDefault="002A432D" w:rsidP="002A432D">
      <w:pPr>
        <w:pStyle w:val="SingleTxtGR"/>
        <w:tabs>
          <w:tab w:val="clear" w:pos="1701"/>
        </w:tabs>
        <w:ind w:left="2268" w:hanging="1134"/>
      </w:pPr>
      <w:r>
        <w:tab/>
        <w:t xml:space="preserve">В </w:t>
      </w:r>
      <w:r w:rsidRPr="002A432D">
        <w:rPr>
          <w:lang w:val="en-GB"/>
        </w:rPr>
        <w:t>отношении</w:t>
      </w:r>
      <w:r>
        <w:t xml:space="preserve"> вертикального наклона положения пункта 6.2.6.2.2 выше не </w:t>
      </w:r>
      <w:r w:rsidRPr="002A432D">
        <w:rPr>
          <w:lang w:val="en-GB"/>
        </w:rPr>
        <w:t>применяют</w:t>
      </w:r>
      <w:r>
        <w:t xml:space="preserve"> к фарам ближнего света:</w:t>
      </w:r>
    </w:p>
    <w:p w:rsidR="002A432D" w:rsidRDefault="002A432D" w:rsidP="002A432D">
      <w:pPr>
        <w:pStyle w:val="SingleTxtGR"/>
        <w:tabs>
          <w:tab w:val="clear" w:pos="1701"/>
        </w:tabs>
        <w:ind w:left="2835" w:hanging="1701"/>
      </w:pPr>
      <w:r>
        <w:tab/>
      </w:r>
      <w:r>
        <w:rPr>
          <w:lang w:val="en-US"/>
        </w:rPr>
        <w:t>a</w:t>
      </w:r>
      <w:r>
        <w:t>)</w:t>
      </w:r>
      <w:r>
        <w:tab/>
        <w:t xml:space="preserve">с модулем(ями) СИД, создающим(и) основной луч ближнего </w:t>
      </w:r>
      <w:r w:rsidRPr="002A432D">
        <w:rPr>
          <w:lang w:val="en-GB"/>
        </w:rPr>
        <w:t>света</w:t>
      </w:r>
      <w:r>
        <w:t>, или</w:t>
      </w:r>
    </w:p>
    <w:p w:rsidR="002A432D" w:rsidRDefault="002A432D" w:rsidP="002A432D">
      <w:pPr>
        <w:pStyle w:val="SingleTxtGR"/>
        <w:tabs>
          <w:tab w:val="clear" w:pos="1701"/>
        </w:tabs>
        <w:ind w:left="2835" w:hanging="1701"/>
      </w:pPr>
      <w:r>
        <w:tab/>
      </w:r>
      <w:r>
        <w:rPr>
          <w:lang w:val="en-US"/>
        </w:rPr>
        <w:t>b</w:t>
      </w:r>
      <w:r>
        <w:t>)</w:t>
      </w:r>
      <w:r>
        <w:tab/>
        <w:t xml:space="preserve">с </w:t>
      </w:r>
      <w:r w:rsidRPr="002A432D">
        <w:rPr>
          <w:lang w:val="en-GB"/>
        </w:rPr>
        <w:t>источником</w:t>
      </w:r>
      <w:r>
        <w:t xml:space="preserve"> света, создающим основной луч ближнего света и имеющим номинальный световой поток более 2 000 люмен.</w:t>
      </w:r>
    </w:p>
    <w:p w:rsidR="002A432D" w:rsidRDefault="002A432D" w:rsidP="002A432D">
      <w:pPr>
        <w:pStyle w:val="SingleTxtGR"/>
        <w:tabs>
          <w:tab w:val="clear" w:pos="1701"/>
        </w:tabs>
        <w:ind w:left="2268" w:hanging="1134"/>
      </w:pPr>
      <w:r>
        <w:tab/>
        <w:t xml:space="preserve">Для </w:t>
      </w:r>
      <w:r w:rsidRPr="002A432D">
        <w:rPr>
          <w:lang w:val="en-GB"/>
        </w:rPr>
        <w:t>обеспечения</w:t>
      </w:r>
      <w:r>
        <w:t xml:space="preserve"> поворотного освещения могут использоваться только фары ближнего света, отвечающие требованиям Правил № 98, 112 и [УОД] ООН».</w:t>
      </w:r>
    </w:p>
    <w:p w:rsidR="002A432D" w:rsidRDefault="002A432D" w:rsidP="002A432D">
      <w:pPr>
        <w:pStyle w:val="SingleTxtGR"/>
        <w:tabs>
          <w:tab w:val="clear" w:pos="1701"/>
        </w:tabs>
        <w:ind w:left="2268" w:hanging="1134"/>
      </w:pPr>
      <w:r>
        <w:rPr>
          <w:i/>
          <w:iCs/>
        </w:rPr>
        <w:t>Пункт 6.3</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«6.3</w:t>
      </w:r>
      <w:r>
        <w:tab/>
        <w:t xml:space="preserve">Передняя </w:t>
      </w:r>
      <w:r w:rsidRPr="00C418EC">
        <w:t>противотуманная</w:t>
      </w:r>
      <w:r>
        <w:t xml:space="preserve"> фара (Правила № 19 или [УОД] ООН)»</w:t>
      </w:r>
      <w:r w:rsidR="00C418EC">
        <w:t>.</w:t>
      </w:r>
    </w:p>
    <w:p w:rsidR="002A432D" w:rsidRDefault="002A432D" w:rsidP="002A432D">
      <w:pPr>
        <w:pStyle w:val="SingleTxtGR"/>
        <w:tabs>
          <w:tab w:val="clear" w:pos="1701"/>
        </w:tabs>
        <w:ind w:left="2268" w:hanging="1134"/>
      </w:pPr>
      <w:r>
        <w:rPr>
          <w:i/>
          <w:iCs/>
        </w:rPr>
        <w:t>Пункт 6.3.2</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rPr>
          <w:iCs/>
        </w:rPr>
      </w:pPr>
      <w:r>
        <w:t>«6.3.2</w:t>
      </w:r>
      <w:r>
        <w:tab/>
      </w:r>
      <w:r w:rsidRPr="002A432D">
        <w:rPr>
          <w:lang w:val="en-GB"/>
        </w:rPr>
        <w:t>Число</w:t>
      </w:r>
    </w:p>
    <w:p w:rsidR="002A432D" w:rsidRDefault="002A432D" w:rsidP="002A432D">
      <w:pPr>
        <w:pStyle w:val="SingleTxtGR"/>
        <w:tabs>
          <w:tab w:val="clear" w:pos="1701"/>
        </w:tabs>
        <w:ind w:left="2268" w:hanging="1134"/>
      </w:pPr>
      <w:r>
        <w:tab/>
        <w:t xml:space="preserve">Две; в </w:t>
      </w:r>
      <w:r w:rsidRPr="00BF68FA">
        <w:t>соответствии</w:t>
      </w:r>
      <w:r>
        <w:t xml:space="preserve"> либо с требованиями поправок серии</w:t>
      </w:r>
      <w:r>
        <w:rPr>
          <w:lang w:val="en-US"/>
        </w:rPr>
        <w:t> </w:t>
      </w:r>
      <w:r>
        <w:t>03 и</w:t>
      </w:r>
      <w:r w:rsidR="005247BE">
        <w:t xml:space="preserve"> </w:t>
      </w:r>
      <w:r>
        <w:t>последующих серий поправок к Правилам № 19 ООН, либо с требованиями Правил</w:t>
      </w:r>
      <w:r w:rsidR="00716F7A">
        <w:t xml:space="preserve"> </w:t>
      </w:r>
      <w:r>
        <w:t>№</w:t>
      </w:r>
      <w:r w:rsidR="00716F7A">
        <w:t xml:space="preserve"> </w:t>
      </w:r>
      <w:r>
        <w:t>[УОД] ООН».</w:t>
      </w:r>
    </w:p>
    <w:p w:rsidR="002A432D" w:rsidRDefault="002A432D" w:rsidP="002A432D">
      <w:pPr>
        <w:pStyle w:val="SingleTxtGR"/>
        <w:tabs>
          <w:tab w:val="clear" w:pos="1701"/>
        </w:tabs>
        <w:ind w:left="2268" w:hanging="1134"/>
      </w:pPr>
      <w:r>
        <w:rPr>
          <w:i/>
          <w:iCs/>
        </w:rPr>
        <w:t>Пункт 6.3.9</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rPr>
          <w:u w:val="single"/>
        </w:rPr>
      </w:pPr>
      <w:r>
        <w:t>«6.3.9</w:t>
      </w:r>
      <w:r>
        <w:tab/>
      </w:r>
      <w:r w:rsidRPr="002A432D">
        <w:rPr>
          <w:lang w:val="en-GB"/>
        </w:rPr>
        <w:t>Прочие</w:t>
      </w:r>
      <w:r>
        <w:t xml:space="preserve"> требования</w:t>
      </w:r>
    </w:p>
    <w:p w:rsidR="002A432D" w:rsidRDefault="002A432D" w:rsidP="002A432D">
      <w:pPr>
        <w:pStyle w:val="SingleTxtGR"/>
        <w:tabs>
          <w:tab w:val="clear" w:pos="1701"/>
        </w:tabs>
        <w:ind w:left="2268" w:hanging="1134"/>
      </w:pPr>
      <w:r>
        <w:tab/>
        <w:t xml:space="preserve">В </w:t>
      </w:r>
      <w:r w:rsidRPr="00BF68FA">
        <w:t>случае</w:t>
      </w:r>
      <w:r>
        <w:t xml:space="preserve"> утвердительного ответа в карточке сообщения, приведенной в</w:t>
      </w:r>
      <w:r>
        <w:rPr>
          <w:lang w:val="en-US"/>
        </w:rPr>
        <w:t> </w:t>
      </w:r>
      <w:r>
        <w:t>приложении 1 к Правилам № 19 ООН или в приложении 1 к Правилам</w:t>
      </w:r>
      <w:r>
        <w:rPr>
          <w:lang w:val="en-US"/>
        </w:rPr>
        <w:t> </w:t>
      </w:r>
      <w:r>
        <w:t>№</w:t>
      </w:r>
      <w:r w:rsidR="00BF68FA">
        <w:t xml:space="preserve"> </w:t>
      </w:r>
      <w:r>
        <w:t>[УОД] ООН, ориентация и сила света луча передней противотуманной фары класса "F3" могут автоматически корректироваться…».</w:t>
      </w:r>
    </w:p>
    <w:p w:rsidR="002A432D" w:rsidRDefault="002A432D" w:rsidP="002A432D">
      <w:pPr>
        <w:pStyle w:val="SingleTxtGR"/>
        <w:tabs>
          <w:tab w:val="clear" w:pos="1701"/>
        </w:tabs>
        <w:ind w:left="2268" w:hanging="1134"/>
      </w:pPr>
      <w:r>
        <w:rPr>
          <w:i/>
          <w:iCs/>
        </w:rPr>
        <w:t>Пункт 6.4</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«6.4</w:t>
      </w:r>
      <w:r>
        <w:tab/>
      </w:r>
      <w:r w:rsidRPr="00C418EC">
        <w:t>Задняя</w:t>
      </w:r>
      <w:r>
        <w:t xml:space="preserve"> фара (Правила № 23 или [УСС] ООН)»</w:t>
      </w:r>
      <w:r w:rsidR="00C418EC">
        <w:t>.</w:t>
      </w:r>
    </w:p>
    <w:p w:rsidR="002A432D" w:rsidRDefault="002A432D" w:rsidP="002A432D">
      <w:pPr>
        <w:pStyle w:val="SingleTxtGR"/>
        <w:tabs>
          <w:tab w:val="clear" w:pos="1701"/>
          <w:tab w:val="left" w:pos="5978"/>
        </w:tabs>
        <w:ind w:left="2268" w:hanging="1134"/>
      </w:pPr>
      <w:r>
        <w:rPr>
          <w:i/>
          <w:iCs/>
        </w:rPr>
        <w:t>Пункт 6.5</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«6.5</w:t>
      </w:r>
      <w:r>
        <w:tab/>
      </w:r>
      <w:r w:rsidRPr="00D6070C">
        <w:t>Указатель</w:t>
      </w:r>
      <w:r>
        <w:t xml:space="preserve"> поворота (Правила № 6 или [УСС] ООН)»</w:t>
      </w:r>
      <w:r w:rsidR="00C418EC">
        <w:t>.</w:t>
      </w:r>
    </w:p>
    <w:p w:rsidR="002A432D" w:rsidRDefault="002A432D" w:rsidP="002A432D">
      <w:pPr>
        <w:pStyle w:val="SingleTxtGR"/>
        <w:tabs>
          <w:tab w:val="clear" w:pos="1701"/>
        </w:tabs>
        <w:ind w:left="2268" w:hanging="1134"/>
      </w:pPr>
      <w:r>
        <w:rPr>
          <w:i/>
          <w:iCs/>
        </w:rPr>
        <w:t>Пункт 6.5.8</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«6.5.8</w:t>
      </w:r>
      <w:r>
        <w:tab/>
        <w:t>…</w:t>
      </w:r>
    </w:p>
    <w:p w:rsidR="002A432D" w:rsidRDefault="002A432D" w:rsidP="002A432D">
      <w:pPr>
        <w:pStyle w:val="SingleTxtGR"/>
        <w:tabs>
          <w:tab w:val="clear" w:pos="1701"/>
        </w:tabs>
        <w:ind w:left="2268" w:hanging="1134"/>
      </w:pPr>
      <w:r>
        <w:tab/>
        <w:t xml:space="preserve">Он </w:t>
      </w:r>
      <w:r w:rsidRPr="002A432D">
        <w:rPr>
          <w:lang w:val="en-GB"/>
        </w:rPr>
        <w:t>должен</w:t>
      </w:r>
      <w:r>
        <w:t xml:space="preserve"> включаться сигналом, генерируемым в соответствии с пунктом 6.2.2 Правил № 6 ООН или с пунктом 5.6.3 Правил № [УСС] ООН либо иным подходящим способом</w:t>
      </w:r>
      <w:r>
        <w:rPr>
          <w:sz w:val="18"/>
          <w:szCs w:val="18"/>
          <w:vertAlign w:val="superscript"/>
        </w:rPr>
        <w:t>15</w:t>
      </w:r>
      <w:r>
        <w:t>.</w:t>
      </w:r>
    </w:p>
    <w:p w:rsidR="002A432D" w:rsidRDefault="002A432D" w:rsidP="002A432D">
      <w:pPr>
        <w:pStyle w:val="SingleTxtGR"/>
        <w:tabs>
          <w:tab w:val="clear" w:pos="1701"/>
        </w:tabs>
        <w:ind w:left="2268" w:hanging="1134"/>
      </w:pPr>
      <w:r>
        <w:rPr>
          <w:vertAlign w:val="superscript"/>
        </w:rPr>
        <w:tab/>
      </w:r>
      <w:r>
        <w:t>…»</w:t>
      </w:r>
      <w:r w:rsidR="00C418EC">
        <w:t>.</w:t>
      </w:r>
    </w:p>
    <w:p w:rsidR="002A432D" w:rsidRDefault="002A432D" w:rsidP="002A432D">
      <w:pPr>
        <w:pStyle w:val="SingleTxtGR"/>
        <w:tabs>
          <w:tab w:val="clear" w:pos="1701"/>
        </w:tabs>
        <w:ind w:left="2268" w:hanging="1134"/>
      </w:pPr>
      <w:r>
        <w:rPr>
          <w:i/>
          <w:iCs/>
        </w:rPr>
        <w:t>Пункт 6.7</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«6.7</w:t>
      </w:r>
      <w:r>
        <w:tab/>
        <w:t xml:space="preserve">Сигнал </w:t>
      </w:r>
      <w:r w:rsidRPr="00C418EC">
        <w:t>торможения</w:t>
      </w:r>
      <w:r>
        <w:t xml:space="preserve"> (Правила № 7 или [УСС] ООН)»</w:t>
      </w:r>
      <w:r w:rsidR="00C418EC">
        <w:t>.</w:t>
      </w:r>
    </w:p>
    <w:p w:rsidR="002A432D" w:rsidRDefault="002A432D" w:rsidP="002A432D">
      <w:pPr>
        <w:pStyle w:val="SingleTxtGR"/>
        <w:pageBreakBefore/>
        <w:tabs>
          <w:tab w:val="clear" w:pos="1701"/>
        </w:tabs>
        <w:ind w:left="2268" w:hanging="1134"/>
      </w:pPr>
      <w:r>
        <w:rPr>
          <w:i/>
          <w:iCs/>
        </w:rPr>
        <w:lastRenderedPageBreak/>
        <w:t>Пункт 6.8</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«6.8</w:t>
      </w:r>
      <w:r>
        <w:tab/>
      </w:r>
      <w:r w:rsidRPr="00C418EC">
        <w:t>Фонарь</w:t>
      </w:r>
      <w:r>
        <w:t xml:space="preserve"> освещения заднего регистрационного знака (Правила № 4 или [УСС] ООН)»</w:t>
      </w:r>
      <w:r w:rsidR="00C418EC">
        <w:t>.</w:t>
      </w:r>
    </w:p>
    <w:p w:rsidR="002A432D" w:rsidRDefault="002A432D" w:rsidP="002A432D">
      <w:pPr>
        <w:pStyle w:val="SingleTxtGR"/>
        <w:tabs>
          <w:tab w:val="clear" w:pos="1701"/>
        </w:tabs>
        <w:ind w:left="2268" w:hanging="1134"/>
      </w:pPr>
      <w:r>
        <w:rPr>
          <w:i/>
          <w:iCs/>
        </w:rPr>
        <w:t>Пункт 6.9</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«6.9</w:t>
      </w:r>
      <w:r>
        <w:tab/>
      </w:r>
      <w:r w:rsidRPr="00C418EC">
        <w:t>Передний</w:t>
      </w:r>
      <w:r>
        <w:t xml:space="preserve"> габаритный огонь (Правила № 7 или [УСС] ООН)»</w:t>
      </w:r>
      <w:r w:rsidR="00C418EC">
        <w:t>.</w:t>
      </w:r>
    </w:p>
    <w:p w:rsidR="002A432D" w:rsidRDefault="002A432D" w:rsidP="002A432D">
      <w:pPr>
        <w:pStyle w:val="SingleTxtGR"/>
        <w:tabs>
          <w:tab w:val="clear" w:pos="1701"/>
        </w:tabs>
        <w:ind w:left="2268" w:hanging="1134"/>
      </w:pPr>
      <w:r>
        <w:rPr>
          <w:i/>
          <w:iCs/>
        </w:rPr>
        <w:t>Пункт 6.10</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«6.10</w:t>
      </w:r>
      <w:r>
        <w:tab/>
      </w:r>
      <w:r w:rsidRPr="00C418EC">
        <w:t>Задний</w:t>
      </w:r>
      <w:r>
        <w:t xml:space="preserve"> габаритный огонь (Правила № 7 или [УСС] ООН)»</w:t>
      </w:r>
      <w:r w:rsidR="00C418EC">
        <w:t>.</w:t>
      </w:r>
    </w:p>
    <w:p w:rsidR="002A432D" w:rsidRDefault="002A432D" w:rsidP="002A432D">
      <w:pPr>
        <w:pStyle w:val="SingleTxtGR"/>
        <w:tabs>
          <w:tab w:val="clear" w:pos="1701"/>
        </w:tabs>
        <w:ind w:left="2268" w:hanging="1134"/>
      </w:pPr>
      <w:r>
        <w:rPr>
          <w:i/>
          <w:iCs/>
        </w:rPr>
        <w:t>Пункт 6.11</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«6.11</w:t>
      </w:r>
      <w:r>
        <w:tab/>
        <w:t>Задний противотуманный огонь (Правила № 3 или [УСС] ООН)»</w:t>
      </w:r>
      <w:r w:rsidR="00C418EC">
        <w:t>.</w:t>
      </w:r>
    </w:p>
    <w:p w:rsidR="002A432D" w:rsidRDefault="002A432D" w:rsidP="002A432D">
      <w:pPr>
        <w:pStyle w:val="SingleTxtGR"/>
        <w:tabs>
          <w:tab w:val="clear" w:pos="1701"/>
        </w:tabs>
        <w:ind w:left="2268" w:hanging="1134"/>
      </w:pPr>
      <w:r>
        <w:rPr>
          <w:i/>
          <w:iCs/>
        </w:rPr>
        <w:t>Пункт 6.12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«6.12</w:t>
      </w:r>
      <w:r>
        <w:tab/>
      </w:r>
      <w:r w:rsidRPr="00C418EC">
        <w:t>Стояночный</w:t>
      </w:r>
      <w:r>
        <w:t xml:space="preserve"> огонь (Правила № 77, 7 или [УСС] ООН)»</w:t>
      </w:r>
      <w:r w:rsidR="00C418EC">
        <w:t>.</w:t>
      </w:r>
    </w:p>
    <w:p w:rsidR="002A432D" w:rsidRDefault="002A432D" w:rsidP="002A432D">
      <w:pPr>
        <w:pStyle w:val="SingleTxtGR"/>
        <w:tabs>
          <w:tab w:val="clear" w:pos="1701"/>
        </w:tabs>
        <w:ind w:left="2268" w:hanging="1134"/>
      </w:pPr>
      <w:r>
        <w:rPr>
          <w:i/>
          <w:iCs/>
        </w:rPr>
        <w:t>Пункт 6.13</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«6.13</w:t>
      </w:r>
      <w:r>
        <w:tab/>
      </w:r>
      <w:r w:rsidRPr="00C418EC">
        <w:t>Контурный</w:t>
      </w:r>
      <w:r>
        <w:t xml:space="preserve"> огонь (Правила № 7 или [УСС] ООН)»</w:t>
      </w:r>
      <w:r w:rsidR="00C418EC">
        <w:t>.</w:t>
      </w:r>
    </w:p>
    <w:p w:rsidR="002A432D" w:rsidRDefault="002A432D" w:rsidP="002A432D">
      <w:pPr>
        <w:pStyle w:val="SingleTxtGR"/>
        <w:tabs>
          <w:tab w:val="clear" w:pos="1701"/>
        </w:tabs>
        <w:ind w:left="2268" w:hanging="1134"/>
      </w:pPr>
      <w:r>
        <w:rPr>
          <w:i/>
          <w:iCs/>
        </w:rPr>
        <w:t>Пункт 6.14</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«6.14</w:t>
      </w:r>
      <w:r>
        <w:tab/>
      </w:r>
      <w:r w:rsidRPr="00D6070C">
        <w:t>Заднее</w:t>
      </w:r>
      <w:r>
        <w:t xml:space="preserve"> светоотражающее устройство нетреугольной формы (Правила</w:t>
      </w:r>
      <w:r w:rsidR="00D6070C">
        <w:t> </w:t>
      </w:r>
      <w:r>
        <w:t>№</w:t>
      </w:r>
      <w:r>
        <w:rPr>
          <w:lang w:val="en-US"/>
        </w:rPr>
        <w:t> </w:t>
      </w:r>
      <w:r>
        <w:t>3 или [СОУ] ООН)»</w:t>
      </w:r>
      <w:r w:rsidR="00C418EC">
        <w:t>.</w:t>
      </w:r>
    </w:p>
    <w:p w:rsidR="002A432D" w:rsidRDefault="002A432D" w:rsidP="002A432D">
      <w:pPr>
        <w:pStyle w:val="SingleTxtGR"/>
        <w:tabs>
          <w:tab w:val="clear" w:pos="1701"/>
        </w:tabs>
        <w:ind w:left="2268" w:hanging="1134"/>
      </w:pPr>
      <w:r>
        <w:rPr>
          <w:i/>
          <w:iCs/>
        </w:rPr>
        <w:t>Пункт 6.14.2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«6.14.2</w:t>
      </w:r>
      <w:r>
        <w:tab/>
      </w:r>
      <w:r w:rsidRPr="002A432D">
        <w:rPr>
          <w:lang w:val="en-GB"/>
        </w:rPr>
        <w:t>Число</w:t>
      </w:r>
    </w:p>
    <w:p w:rsidR="002A432D" w:rsidRDefault="002A432D" w:rsidP="002A432D">
      <w:pPr>
        <w:pStyle w:val="SingleTxtGR"/>
        <w:tabs>
          <w:tab w:val="clear" w:pos="1701"/>
        </w:tabs>
        <w:ind w:left="2268" w:hanging="1134"/>
      </w:pPr>
      <w:r>
        <w:tab/>
        <w:t xml:space="preserve">Два </w:t>
      </w:r>
      <w:r w:rsidRPr="002A432D">
        <w:rPr>
          <w:lang w:val="en-GB"/>
        </w:rPr>
        <w:t>устройства</w:t>
      </w:r>
      <w:r>
        <w:t>, рабочие характеристики которых должны соответствовать требованиям для светоотражающих устройств класса IA или IB, изложенным в Правилах № 3 или [СОУ] ООН.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p>
    <w:p w:rsidR="002A432D" w:rsidRDefault="002A432D" w:rsidP="002A432D">
      <w:pPr>
        <w:pStyle w:val="SingleTxtGR"/>
        <w:tabs>
          <w:tab w:val="clear" w:pos="1701"/>
        </w:tabs>
        <w:ind w:left="2268" w:hanging="1134"/>
      </w:pPr>
      <w:r>
        <w:rPr>
          <w:i/>
          <w:iCs/>
        </w:rPr>
        <w:t>Пункт 6.15</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«6.15</w:t>
      </w:r>
      <w:r>
        <w:tab/>
      </w:r>
      <w:r w:rsidRPr="00C418EC">
        <w:t>Заднее</w:t>
      </w:r>
      <w:r>
        <w:t xml:space="preserve"> светоотражающее устройство треугольной формы (Правила № 3 или [СОУ] ООН)»</w:t>
      </w:r>
      <w:r w:rsidR="00C418EC">
        <w:t>.</w:t>
      </w:r>
    </w:p>
    <w:p w:rsidR="002A432D" w:rsidRDefault="002A432D" w:rsidP="002A432D">
      <w:pPr>
        <w:pStyle w:val="SingleTxtGR"/>
        <w:tabs>
          <w:tab w:val="clear" w:pos="1701"/>
        </w:tabs>
        <w:ind w:left="2268" w:hanging="1134"/>
      </w:pPr>
      <w:r>
        <w:rPr>
          <w:i/>
          <w:iCs/>
        </w:rPr>
        <w:t>Пункт 6.15.2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«6.15.2</w:t>
      </w:r>
      <w:r>
        <w:tab/>
      </w:r>
      <w:r w:rsidRPr="002A432D">
        <w:rPr>
          <w:lang w:val="en-GB"/>
        </w:rPr>
        <w:t>Число</w:t>
      </w:r>
    </w:p>
    <w:p w:rsidR="002A432D" w:rsidRDefault="002A432D" w:rsidP="002A432D">
      <w:pPr>
        <w:pStyle w:val="SingleTxtGR"/>
        <w:tabs>
          <w:tab w:val="clear" w:pos="1701"/>
        </w:tabs>
        <w:ind w:left="2268" w:hanging="1134"/>
      </w:pPr>
      <w:r>
        <w:tab/>
        <w:t xml:space="preserve">Два </w:t>
      </w:r>
      <w:r w:rsidRPr="002A432D">
        <w:rPr>
          <w:lang w:val="en-GB"/>
        </w:rPr>
        <w:t>устройства</w:t>
      </w:r>
      <w:r>
        <w:t xml:space="preserve">, рабочие характеристики которых должны соответствовать требованиям для светоотражающих устройств класса IIIA или IIIВ, изложенным в Правилах № 3 или [СОУ] ООН. </w:t>
      </w:r>
    </w:p>
    <w:p w:rsidR="002A432D" w:rsidRDefault="002A432D" w:rsidP="002A432D">
      <w:pPr>
        <w:pStyle w:val="SingleTxtGR"/>
        <w:tabs>
          <w:tab w:val="clear" w:pos="1701"/>
        </w:tabs>
        <w:ind w:left="2268" w:hanging="1134"/>
      </w:pPr>
      <w:r>
        <w:tab/>
      </w:r>
      <w:r w:rsidRPr="002A432D">
        <w:rPr>
          <w:lang w:val="en-GB"/>
        </w:rPr>
        <w:t>Дополнительные</w:t>
      </w:r>
      <w:r>
        <w:t xml:space="preserve">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rsidR="002A432D" w:rsidRDefault="002A432D" w:rsidP="002A432D">
      <w:pPr>
        <w:pStyle w:val="SingleTxtGR"/>
        <w:tabs>
          <w:tab w:val="clear" w:pos="1701"/>
        </w:tabs>
        <w:ind w:left="2268" w:hanging="1134"/>
      </w:pPr>
      <w:r>
        <w:rPr>
          <w:i/>
          <w:iCs/>
        </w:rPr>
        <w:t>Пункт 6.16</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jc w:val="left"/>
      </w:pPr>
      <w:r>
        <w:t>«6.16</w:t>
      </w:r>
      <w:r>
        <w:tab/>
      </w:r>
      <w:r w:rsidRPr="00C418EC">
        <w:t>Переднее</w:t>
      </w:r>
      <w:r>
        <w:t xml:space="preserve"> светоотражающее устройство нетреугольной формы (Правила</w:t>
      </w:r>
      <w:r>
        <w:rPr>
          <w:lang w:val="en-US"/>
        </w:rPr>
        <w:t> </w:t>
      </w:r>
      <w:r>
        <w:t>№</w:t>
      </w:r>
      <w:r>
        <w:rPr>
          <w:lang w:val="en-US"/>
        </w:rPr>
        <w:t> </w:t>
      </w:r>
      <w:r>
        <w:t>3 или [СОУ] ООН)»</w:t>
      </w:r>
      <w:r w:rsidR="00C418EC">
        <w:t>.</w:t>
      </w:r>
    </w:p>
    <w:p w:rsidR="002A432D" w:rsidRDefault="002A432D" w:rsidP="002A432D">
      <w:pPr>
        <w:pStyle w:val="SingleTxtGR"/>
        <w:tabs>
          <w:tab w:val="clear" w:pos="1701"/>
        </w:tabs>
        <w:ind w:left="2268" w:hanging="1134"/>
      </w:pPr>
      <w:r>
        <w:rPr>
          <w:i/>
          <w:iCs/>
        </w:rPr>
        <w:t>Пункт 6.16.2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«6.16.2</w:t>
      </w:r>
      <w:r>
        <w:tab/>
      </w:r>
      <w:r w:rsidRPr="002A432D">
        <w:rPr>
          <w:lang w:val="en-GB"/>
        </w:rPr>
        <w:t>Число</w:t>
      </w:r>
    </w:p>
    <w:p w:rsidR="002A432D" w:rsidRDefault="002A432D" w:rsidP="002A432D">
      <w:pPr>
        <w:pStyle w:val="SingleTxtGR"/>
        <w:tabs>
          <w:tab w:val="clear" w:pos="1701"/>
        </w:tabs>
        <w:ind w:left="2268" w:hanging="1134"/>
      </w:pPr>
      <w:r>
        <w:tab/>
        <w:t xml:space="preserve">Два </w:t>
      </w:r>
      <w:r w:rsidRPr="002A432D">
        <w:rPr>
          <w:lang w:val="en-GB"/>
        </w:rPr>
        <w:t>устройства</w:t>
      </w:r>
      <w:r>
        <w:t xml:space="preserve">, рабочие характеристики которых должны соответствовать требованиям для светоотражающих устройств класса IA или IB, изложенным в Правилах № 3 или [СОУ] ООН. Дополнительные </w:t>
      </w:r>
      <w:r w:rsidRPr="002A432D">
        <w:rPr>
          <w:lang w:val="en-GB"/>
        </w:rPr>
        <w:lastRenderedPageBreak/>
        <w:t>светоотражающие</w:t>
      </w:r>
      <w:r>
        <w:t xml:space="preserve"> устройства и материалы (включая два светоотражающих устройства, не соответствующих пункту 6.16.4 ниже) разрешаются при условии, что они не снижают эффективности обязательных устройств освещения и световой сигнализации».</w:t>
      </w:r>
    </w:p>
    <w:p w:rsidR="002A432D" w:rsidRDefault="002A432D" w:rsidP="002A432D">
      <w:pPr>
        <w:pStyle w:val="SingleTxtGR"/>
        <w:tabs>
          <w:tab w:val="clear" w:pos="1701"/>
        </w:tabs>
        <w:ind w:left="2268" w:hanging="1134"/>
      </w:pPr>
      <w:r>
        <w:rPr>
          <w:i/>
          <w:iCs/>
        </w:rPr>
        <w:t>Пункт 6.17</w:t>
      </w:r>
      <w:r>
        <w:t xml:space="preserve"> изменить следующим образом:</w:t>
      </w:r>
    </w:p>
    <w:p w:rsidR="002A432D" w:rsidRDefault="002A432D" w:rsidP="002A432D">
      <w:pPr>
        <w:pStyle w:val="SingleTxtGR"/>
        <w:tabs>
          <w:tab w:val="clear" w:pos="1701"/>
        </w:tabs>
        <w:ind w:left="2268" w:hanging="1134"/>
      </w:pPr>
      <w:r>
        <w:t>«6.17</w:t>
      </w:r>
      <w:r>
        <w:tab/>
        <w:t xml:space="preserve">Боковое </w:t>
      </w:r>
      <w:r w:rsidRPr="00C418EC">
        <w:t>светоотражающее</w:t>
      </w:r>
      <w:r>
        <w:t xml:space="preserve"> устройство нетреугольной формы (</w:t>
      </w:r>
      <w:r w:rsidRPr="00C418EC">
        <w:t>Правила</w:t>
      </w:r>
      <w:r>
        <w:rPr>
          <w:lang w:val="en-US"/>
        </w:rPr>
        <w:t> </w:t>
      </w:r>
      <w:r>
        <w:t>№ 3 или [СОУ] ООН)»</w:t>
      </w:r>
      <w:r w:rsidR="00C418EC">
        <w:t>.</w:t>
      </w:r>
    </w:p>
    <w:p w:rsidR="002A432D" w:rsidRDefault="002A432D" w:rsidP="002A432D">
      <w:pPr>
        <w:pStyle w:val="SingleTxtGR"/>
        <w:tabs>
          <w:tab w:val="clear" w:pos="1701"/>
        </w:tabs>
        <w:ind w:left="2268" w:hanging="1134"/>
      </w:pPr>
      <w:r>
        <w:rPr>
          <w:i/>
        </w:rPr>
        <w:t>Пункт 6.17.2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«6.17.2</w:t>
      </w:r>
      <w:r>
        <w:tab/>
      </w:r>
      <w:r w:rsidRPr="002A432D">
        <w:rPr>
          <w:lang w:val="en-GB"/>
        </w:rPr>
        <w:t>Число</w:t>
      </w:r>
    </w:p>
    <w:p w:rsidR="002A432D" w:rsidRDefault="002A432D" w:rsidP="002A432D">
      <w:pPr>
        <w:pStyle w:val="SingleTxtGR"/>
        <w:tabs>
          <w:tab w:val="clear" w:pos="1701"/>
        </w:tabs>
        <w:ind w:left="2268" w:hanging="1134"/>
      </w:pPr>
      <w:r>
        <w:tab/>
        <w:t xml:space="preserve">Число </w:t>
      </w:r>
      <w:r w:rsidRPr="002A432D">
        <w:rPr>
          <w:lang w:val="en-GB"/>
        </w:rPr>
        <w:t>светоотражающих</w:t>
      </w:r>
      <w:r>
        <w:t xml:space="preserve">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для светоотражающих устройств класса IA или IВ, изложенным в Правилах № 3 или [СОУ] ООН. Дополнительные светоотражающие устройства и материалы (включая два светоотражающих устройства, не соответствующих пункту 6.17.4 ниже) разрешаются при условии, что они не снижают эффективности обязательных устройств освещения и световой сигнализации».</w:t>
      </w:r>
    </w:p>
    <w:p w:rsidR="002A432D" w:rsidRDefault="002A432D" w:rsidP="002A432D">
      <w:pPr>
        <w:pStyle w:val="SingleTxtGR"/>
        <w:tabs>
          <w:tab w:val="clear" w:pos="1701"/>
        </w:tabs>
        <w:ind w:left="2268" w:hanging="1134"/>
      </w:pPr>
      <w:r>
        <w:rPr>
          <w:i/>
          <w:iCs/>
        </w:rPr>
        <w:t>Пункт 6.18</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«6.18</w:t>
      </w:r>
      <w:r>
        <w:tab/>
        <w:t xml:space="preserve">Боковые </w:t>
      </w:r>
      <w:r w:rsidRPr="00C418EC">
        <w:t>габаритные</w:t>
      </w:r>
      <w:r>
        <w:t xml:space="preserve"> огни (Правила № 91 или [УСС] ООН)»</w:t>
      </w:r>
      <w:r w:rsidR="00C418EC">
        <w:t>.</w:t>
      </w:r>
    </w:p>
    <w:p w:rsidR="002A432D" w:rsidRDefault="002A432D" w:rsidP="002A432D">
      <w:pPr>
        <w:pStyle w:val="SingleTxtGR"/>
        <w:tabs>
          <w:tab w:val="clear" w:pos="1701"/>
        </w:tabs>
        <w:ind w:left="2268" w:hanging="1134"/>
      </w:pPr>
      <w:r>
        <w:rPr>
          <w:i/>
          <w:iCs/>
        </w:rPr>
        <w:t>Пункт 6.19</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«6.19</w:t>
      </w:r>
      <w:r>
        <w:tab/>
        <w:t xml:space="preserve">Дневной </w:t>
      </w:r>
      <w:r w:rsidRPr="00C418EC">
        <w:t>ходовой</w:t>
      </w:r>
      <w:r>
        <w:t xml:space="preserve"> огонь (Правила № 87 или [УСС] ООН)</w:t>
      </w:r>
      <w:r>
        <w:rPr>
          <w:sz w:val="18"/>
          <w:szCs w:val="18"/>
          <w:vertAlign w:val="superscript"/>
        </w:rPr>
        <w:t>16</w:t>
      </w:r>
      <w:r>
        <w:t>»</w:t>
      </w:r>
      <w:r w:rsidR="00C418EC">
        <w:t>.</w:t>
      </w:r>
    </w:p>
    <w:p w:rsidR="002A432D" w:rsidRDefault="002A432D" w:rsidP="002A432D">
      <w:pPr>
        <w:pStyle w:val="SingleTxtGR"/>
        <w:tabs>
          <w:tab w:val="clear" w:pos="1701"/>
        </w:tabs>
        <w:ind w:left="2268" w:hanging="1134"/>
      </w:pPr>
      <w:r>
        <w:rPr>
          <w:i/>
          <w:iCs/>
        </w:rPr>
        <w:t>Пункт 6.20</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«6.20</w:t>
      </w:r>
      <w:r>
        <w:tab/>
        <w:t xml:space="preserve">Огонь </w:t>
      </w:r>
      <w:r w:rsidRPr="00C418EC">
        <w:t>подсветки</w:t>
      </w:r>
      <w:r>
        <w:t xml:space="preserve"> поворота (Правила № 119 или [УОД] ООН)»</w:t>
      </w:r>
      <w:r w:rsidR="00C418EC">
        <w:t>.</w:t>
      </w:r>
    </w:p>
    <w:p w:rsidR="002A432D" w:rsidRDefault="002A432D" w:rsidP="002A432D">
      <w:pPr>
        <w:pStyle w:val="SingleTxtGR"/>
        <w:tabs>
          <w:tab w:val="clear" w:pos="1701"/>
        </w:tabs>
        <w:ind w:left="2268" w:hanging="1134"/>
      </w:pPr>
      <w:r>
        <w:rPr>
          <w:i/>
        </w:rPr>
        <w:t>Пункт 6.21</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«6.21</w:t>
      </w:r>
      <w:r>
        <w:tab/>
        <w:t xml:space="preserve">Маркировка с </w:t>
      </w:r>
      <w:r w:rsidRPr="00C418EC">
        <w:t>улучшенными</w:t>
      </w:r>
      <w:r>
        <w:t xml:space="preserve"> светоотражающими характеристиками (Правила № 104 или [СОУ] ООН)»</w:t>
      </w:r>
      <w:r w:rsidR="00C418EC">
        <w:t>.</w:t>
      </w:r>
    </w:p>
    <w:p w:rsidR="002A432D" w:rsidRDefault="002A432D" w:rsidP="002A432D">
      <w:pPr>
        <w:pStyle w:val="SingleTxtGR"/>
        <w:tabs>
          <w:tab w:val="clear" w:pos="1701"/>
        </w:tabs>
        <w:ind w:left="2268" w:hanging="1134"/>
      </w:pPr>
      <w:r>
        <w:rPr>
          <w:i/>
          <w:iCs/>
        </w:rPr>
        <w:t>Пункт 6.21.1.2.5</w:t>
      </w:r>
      <w:r>
        <w:t xml:space="preserve"> изменить </w:t>
      </w:r>
      <w:r w:rsidRPr="002A432D">
        <w:rPr>
          <w:lang w:val="en-GB"/>
        </w:rPr>
        <w:t>следующим</w:t>
      </w:r>
      <w:r>
        <w:t xml:space="preserve"> образом:</w:t>
      </w:r>
    </w:p>
    <w:p w:rsidR="002A432D" w:rsidRDefault="002A432D" w:rsidP="002A432D">
      <w:pPr>
        <w:pStyle w:val="SingleTxtGR"/>
        <w:tabs>
          <w:tab w:val="clear" w:pos="1701"/>
        </w:tabs>
        <w:ind w:left="2268" w:hanging="1134"/>
      </w:pPr>
      <w:r>
        <w:t>«6.21.1.2.5</w:t>
      </w:r>
      <w:r>
        <w:tab/>
        <w:t xml:space="preserve">В тех </w:t>
      </w:r>
      <w:r w:rsidRPr="002A432D">
        <w:rPr>
          <w:lang w:val="en-GB"/>
        </w:rPr>
        <w:t>случаях</w:t>
      </w:r>
      <w:r>
        <w:t>, когда изготовитель − после проверки технической службой − может доказать к удовлетворению органа, ответственного за официальное утверждение типа, что соблюсти требования, содержащиеся в пунктах 6.21.2−6.21.7.5,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тогда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 104 или [СОУ] ООН, чтобы сигнализация была четкой и единообразной и отвечала цели обеспечения видимости.</w:t>
      </w:r>
    </w:p>
    <w:p w:rsidR="002A432D" w:rsidRDefault="002A432D" w:rsidP="002A432D">
      <w:pPr>
        <w:pStyle w:val="SingleTxtGR"/>
        <w:tabs>
          <w:tab w:val="clear" w:pos="1701"/>
        </w:tabs>
        <w:ind w:left="2268" w:hanging="1134"/>
      </w:pPr>
      <w:r>
        <w:tab/>
        <w:t xml:space="preserve">Если </w:t>
      </w:r>
      <w:r w:rsidRPr="002A432D">
        <w:rPr>
          <w:lang w:val="en-GB"/>
        </w:rPr>
        <w:t>частичное</w:t>
      </w:r>
      <w:r>
        <w:t xml:space="preserve"> соблюдение требований считается приемлемым, то для замены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 IV, предусмотренные Правилами № 3 или [СОУ] ООН, или накладки, содержащие светоотражающие материалы, удовлетворяющие фотометрическим требованиям класса С Правил № 104 или [СОУ] ООН. </w:t>
      </w:r>
      <w:r>
        <w:lastRenderedPageBreak/>
        <w:t xml:space="preserve">В этом </w:t>
      </w:r>
      <w:r w:rsidRPr="002A432D">
        <w:rPr>
          <w:lang w:val="en-GB"/>
        </w:rPr>
        <w:t>случае</w:t>
      </w:r>
      <w:r>
        <w:t xml:space="preserve"> по одному из таких светоотражающих устройств надлежит устанавливать как минимум на каждые 1 500 мм.</w:t>
      </w:r>
    </w:p>
    <w:p w:rsidR="002A432D" w:rsidRDefault="002A432D" w:rsidP="002A432D">
      <w:pPr>
        <w:pStyle w:val="SingleTxtGR"/>
        <w:tabs>
          <w:tab w:val="clear" w:pos="1701"/>
        </w:tabs>
        <w:ind w:left="2268" w:hanging="1134"/>
      </w:pPr>
      <w:r>
        <w:tab/>
      </w:r>
      <w:r w:rsidRPr="002A432D">
        <w:rPr>
          <w:lang w:val="en-GB"/>
        </w:rPr>
        <w:t>Необходимую</w:t>
      </w:r>
      <w:r>
        <w:t xml:space="preserve"> информацию указывают в карточке сообщения».</w:t>
      </w:r>
    </w:p>
    <w:p w:rsidR="002A432D" w:rsidRDefault="002A432D" w:rsidP="002A432D">
      <w:pPr>
        <w:pStyle w:val="SingleTxtGR"/>
        <w:tabs>
          <w:tab w:val="clear" w:pos="1701"/>
        </w:tabs>
        <w:ind w:left="2268" w:hanging="1134"/>
      </w:pPr>
      <w:r>
        <w:rPr>
          <w:i/>
          <w:iCs/>
        </w:rPr>
        <w:t>Пункт 6.21.7.4</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«6.21.7.4</w:t>
      </w:r>
      <w:r>
        <w:tab/>
        <w:t>В случае установки задних опознавательных знаков, соответствующих либо поправкам серии 01 к Правилам № 70 ООН, либо Правилам</w:t>
      </w:r>
      <w:r>
        <w:rPr>
          <w:lang w:val="en-US"/>
        </w:rPr>
        <w:t> </w:t>
      </w:r>
      <w:r>
        <w:t>№</w:t>
      </w:r>
      <w:r>
        <w:rPr>
          <w:lang w:val="en-US"/>
        </w:rPr>
        <w:t> </w:t>
      </w:r>
      <w:r>
        <w:t>[СОУ] ООН, эти знаки, по усмотрению изготовителя, могут рассматриваться в качестве части задней маркировки с улучшенными светоотражающими характеристиками для целей расчета длины этой маркировки и степени ее близости к боковой части транспортного средства».</w:t>
      </w:r>
    </w:p>
    <w:p w:rsidR="002A432D" w:rsidRDefault="002A432D" w:rsidP="002A432D">
      <w:pPr>
        <w:pStyle w:val="SingleTxtGR"/>
        <w:tabs>
          <w:tab w:val="clear" w:pos="1701"/>
        </w:tabs>
        <w:ind w:left="2268" w:hanging="1134"/>
      </w:pPr>
      <w:r>
        <w:rPr>
          <w:i/>
          <w:iCs/>
        </w:rPr>
        <w:t>Пункт 6.22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«6.22</w:t>
      </w:r>
      <w:r>
        <w:tab/>
      </w:r>
      <w:r w:rsidRPr="002A432D">
        <w:rPr>
          <w:lang w:val="en-GB"/>
        </w:rPr>
        <w:t>Адаптивная</w:t>
      </w:r>
      <w:r>
        <w:t xml:space="preserve"> система переднего освещения (АСПО) (Правила № 123 или [УОД] ООН)</w:t>
      </w:r>
    </w:p>
    <w:p w:rsidR="002A432D" w:rsidRDefault="002A432D" w:rsidP="002A432D">
      <w:pPr>
        <w:pStyle w:val="SingleTxtGR"/>
        <w:tabs>
          <w:tab w:val="clear" w:pos="1701"/>
        </w:tabs>
        <w:ind w:left="2268" w:hanging="1134"/>
      </w:pPr>
      <w:r>
        <w:tab/>
        <w:t xml:space="preserve">Если </w:t>
      </w:r>
      <w:r w:rsidRPr="002A432D">
        <w:rPr>
          <w:lang w:val="en-GB"/>
        </w:rPr>
        <w:t>ниже</w:t>
      </w:r>
      <w:r>
        <w:t xml:space="preserve"> не указано иное, то к соответствующей части АСПО применяют требования настоящих Правил для фар дальнего света (пункт 6.1) и для фар ближнего света (пункт 6.2)».</w:t>
      </w:r>
    </w:p>
    <w:p w:rsidR="002A432D" w:rsidRDefault="002A432D" w:rsidP="002A432D">
      <w:pPr>
        <w:pStyle w:val="SingleTxtGR"/>
        <w:tabs>
          <w:tab w:val="clear" w:pos="1701"/>
        </w:tabs>
        <w:ind w:left="2268" w:hanging="1134"/>
      </w:pPr>
      <w:r>
        <w:rPr>
          <w:i/>
          <w:iCs/>
        </w:rPr>
        <w:t>Пункт 6.22.6.1.2.1</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«6.22.6.1.2.1</w:t>
      </w:r>
      <w:r>
        <w:tab/>
        <w:t xml:space="preserve">Если </w:t>
      </w:r>
      <w:r w:rsidRPr="002A432D">
        <w:rPr>
          <w:lang w:val="en-GB"/>
        </w:rPr>
        <w:t>луч</w:t>
      </w:r>
      <w:r>
        <w:t xml:space="preserve"> ближнего света образуется за счет нескольких лучей от различных световых модулей, то положения пункта 6.22.6.1.2 выше применяются к светотеневой границе (если таковая имеется) каждого указанного луча, который должен проецироваться в угловую зону, как это определено в пункте 9.3 карточки сообщения согласно образцу, приведенному в приложении 1 к Правилам № 123 ООН или в пункте 9.3.3 в приложении 1 к Правилам [УОД] ООН».</w:t>
      </w:r>
    </w:p>
    <w:p w:rsidR="002A432D" w:rsidRDefault="002A432D" w:rsidP="002A432D">
      <w:pPr>
        <w:pStyle w:val="SingleTxtGR"/>
        <w:tabs>
          <w:tab w:val="clear" w:pos="1701"/>
        </w:tabs>
        <w:ind w:left="2268" w:hanging="1134"/>
      </w:pPr>
      <w:r>
        <w:rPr>
          <w:i/>
          <w:iCs/>
        </w:rPr>
        <w:t>Пункт 6.22.6.3</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«6.22.6.3</w:t>
      </w:r>
      <w:r>
        <w:tab/>
      </w:r>
      <w:r w:rsidRPr="002A432D">
        <w:rPr>
          <w:lang w:val="en-GB"/>
        </w:rPr>
        <w:t>Горизонтальная</w:t>
      </w:r>
      <w:r>
        <w:t xml:space="preserve"> направленность</w:t>
      </w:r>
    </w:p>
    <w:p w:rsidR="002A432D" w:rsidRDefault="002A432D" w:rsidP="002A432D">
      <w:pPr>
        <w:pStyle w:val="SingleTxtGR"/>
        <w:tabs>
          <w:tab w:val="clear" w:pos="1701"/>
        </w:tabs>
        <w:ind w:left="2268" w:hanging="1134"/>
      </w:pPr>
      <w:r>
        <w:tab/>
        <w:t xml:space="preserve">Для </w:t>
      </w:r>
      <w:r w:rsidRPr="002A432D">
        <w:rPr>
          <w:lang w:val="en-GB"/>
        </w:rPr>
        <w:t>каждого</w:t>
      </w:r>
      <w:r>
        <w:t xml:space="preserve"> светового модуля угол перелома светотеневой границы, если таковая имеется, при проецировании на экран должен совпадать с вертикальной линией, проходящей через ось отсчета указанного светового модуля. Допускается погрешность в 0,5º со стороны направления движения. Другие световые модули регулируют в соответствии с техническими условиями заявителя, как это определено в приложении 10 к Правилам № 123 ООН или в приложении</w:t>
      </w:r>
      <w:r>
        <w:rPr>
          <w:lang w:val="en-US"/>
        </w:rPr>
        <w:t> </w:t>
      </w:r>
      <w:r>
        <w:t>14 к Правилам № [УОД] ООН».</w:t>
      </w:r>
    </w:p>
    <w:p w:rsidR="002A432D" w:rsidRDefault="002A432D" w:rsidP="002A432D">
      <w:pPr>
        <w:pStyle w:val="SingleTxtGR"/>
        <w:tabs>
          <w:tab w:val="clear" w:pos="1701"/>
        </w:tabs>
        <w:ind w:left="2268" w:hanging="1134"/>
      </w:pPr>
      <w:r>
        <w:rPr>
          <w:i/>
          <w:iCs/>
        </w:rPr>
        <w:t>Пункт 6.22.7.4.3</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«6.22.7.4.3</w:t>
      </w:r>
      <w:r>
        <w:tab/>
      </w:r>
      <w:r w:rsidRPr="002A432D">
        <w:rPr>
          <w:lang w:val="en-GB"/>
        </w:rPr>
        <w:t>Способ</w:t>
      </w:r>
      <w:r>
        <w:t>(ы) освещения для луча ближнего света класса Е не должен (должны) функционировать, если скорость транспортного средства не превышает 70 км/ч и автоматически не выявлено одно или несколько из следующих условий:</w:t>
      </w:r>
    </w:p>
    <w:p w:rsidR="002A432D" w:rsidRDefault="002A432D" w:rsidP="002A432D">
      <w:pPr>
        <w:pStyle w:val="SingleTxtGR"/>
        <w:tabs>
          <w:tab w:val="clear" w:pos="1701"/>
        </w:tabs>
        <w:ind w:left="2835" w:hanging="1701"/>
      </w:pPr>
      <w:r>
        <w:tab/>
        <w:t>a)</w:t>
      </w:r>
      <w:r>
        <w:tab/>
      </w:r>
      <w:r w:rsidRPr="002A432D">
        <w:rPr>
          <w:lang w:val="en-GB"/>
        </w:rPr>
        <w:t>характеристики</w:t>
      </w:r>
      <w:r>
        <w:t xml:space="preserve"> дороги соответствуют условиям</w:t>
      </w:r>
      <w:r>
        <w:rPr>
          <w:sz w:val="18"/>
          <w:szCs w:val="18"/>
          <w:vertAlign w:val="superscript"/>
        </w:rPr>
        <w:t>20</w:t>
      </w:r>
      <w:r>
        <w:t xml:space="preserve"> движения по автомагистрали и/или скорость транспортных средств превышает 110 км/ч (применяется сигнал Е); </w:t>
      </w:r>
    </w:p>
    <w:p w:rsidR="002A432D" w:rsidRDefault="002A432D" w:rsidP="002A432D">
      <w:pPr>
        <w:pStyle w:val="SingleTxtGR"/>
        <w:tabs>
          <w:tab w:val="clear" w:pos="1701"/>
        </w:tabs>
        <w:ind w:left="2835" w:hanging="1701"/>
      </w:pPr>
      <w:r>
        <w:tab/>
        <w:t>b)</w:t>
      </w:r>
      <w:r>
        <w:tab/>
      </w:r>
      <w:r w:rsidRPr="002A432D">
        <w:rPr>
          <w:lang w:val="en-GB"/>
        </w:rPr>
        <w:t>только</w:t>
      </w:r>
      <w:r>
        <w:t xml:space="preserve"> в случае способа освещения для луча ближнего света класса Е, который, согласно документации об официальном утверждении системы/спецификации, соответствует «набору данных», указанных в таблице 6 приложения 3 к Правилам</w:t>
      </w:r>
      <w:r>
        <w:rPr>
          <w:lang w:val="en-US"/>
        </w:rPr>
        <w:t> </w:t>
      </w:r>
      <w:r>
        <w:t>№</w:t>
      </w:r>
      <w:r>
        <w:rPr>
          <w:lang w:val="en-US"/>
        </w:rPr>
        <w:t> </w:t>
      </w:r>
      <w:r>
        <w:t>123 ООН или в таблице 14 Правил № [УОД] ООН.</w:t>
      </w:r>
    </w:p>
    <w:p w:rsidR="002A432D" w:rsidRDefault="002A432D" w:rsidP="002A432D">
      <w:pPr>
        <w:pStyle w:val="SingleTxtGR"/>
        <w:tabs>
          <w:tab w:val="clear" w:pos="1701"/>
        </w:tabs>
        <w:ind w:left="2268" w:hanging="1134"/>
      </w:pPr>
      <w:r>
        <w:tab/>
        <w:t xml:space="preserve">Набор </w:t>
      </w:r>
      <w:r w:rsidRPr="002A432D">
        <w:rPr>
          <w:lang w:val="en-GB"/>
        </w:rPr>
        <w:t>данных</w:t>
      </w:r>
      <w:r>
        <w:t xml:space="preserve"> E1: скорость транспортного средства превышает 100 км/ч (применяется сигнал E1);</w:t>
      </w:r>
    </w:p>
    <w:p w:rsidR="002A432D" w:rsidRDefault="002A432D" w:rsidP="002A432D">
      <w:pPr>
        <w:pStyle w:val="SingleTxtGR"/>
        <w:tabs>
          <w:tab w:val="clear" w:pos="1701"/>
        </w:tabs>
        <w:ind w:left="2268" w:hanging="1134"/>
      </w:pPr>
      <w:r>
        <w:lastRenderedPageBreak/>
        <w:tab/>
        <w:t xml:space="preserve">набор </w:t>
      </w:r>
      <w:r w:rsidRPr="002A432D">
        <w:rPr>
          <w:lang w:val="en-GB"/>
        </w:rPr>
        <w:t>данных</w:t>
      </w:r>
      <w:r>
        <w:t xml:space="preserve"> Е2: скорость транспортного средства превышает 90 км/ч (применяется сигнал Е2);</w:t>
      </w:r>
    </w:p>
    <w:p w:rsidR="002A432D" w:rsidRDefault="002A432D" w:rsidP="002A432D">
      <w:pPr>
        <w:pStyle w:val="SingleTxtGR"/>
        <w:tabs>
          <w:tab w:val="clear" w:pos="1701"/>
        </w:tabs>
        <w:ind w:left="2268" w:hanging="1134"/>
      </w:pPr>
      <w:r>
        <w:tab/>
        <w:t xml:space="preserve">набор </w:t>
      </w:r>
      <w:r w:rsidRPr="002A432D">
        <w:rPr>
          <w:lang w:val="en-GB"/>
        </w:rPr>
        <w:t>данных</w:t>
      </w:r>
      <w:r>
        <w:t xml:space="preserve"> Е3: скорость транспортного средства превышает 80 км/ч (применяется сигнал Е3)».</w:t>
      </w:r>
    </w:p>
    <w:p w:rsidR="002A432D" w:rsidRDefault="002A432D" w:rsidP="002A432D">
      <w:pPr>
        <w:pStyle w:val="SingleTxtGR"/>
        <w:tabs>
          <w:tab w:val="clear" w:pos="1701"/>
        </w:tabs>
        <w:ind w:left="2268" w:hanging="1134"/>
      </w:pPr>
      <w:r>
        <w:rPr>
          <w:i/>
          <w:iCs/>
        </w:rPr>
        <w:t>Пункт 6.22.8.2</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«6.22.8.2</w:t>
      </w:r>
      <w:r>
        <w:tab/>
      </w:r>
      <w:r w:rsidRPr="002A432D">
        <w:rPr>
          <w:lang w:val="en-GB"/>
        </w:rPr>
        <w:t>Визуальное</w:t>
      </w:r>
      <w:r>
        <w:t xml:space="preserve"> устройство для сигнализации несрабатывания АСПО является обязательным. Оно не должно быть мигающим. Такое устройство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ООН или с пунктом 4.13 Правил № [УОД] ООН.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 отключается устройство для запуска и остановки двигателя».</w:t>
      </w:r>
    </w:p>
    <w:p w:rsidR="002A432D" w:rsidRDefault="002A432D" w:rsidP="002A432D">
      <w:pPr>
        <w:pStyle w:val="SingleTxtGR"/>
        <w:tabs>
          <w:tab w:val="clear" w:pos="1701"/>
        </w:tabs>
        <w:ind w:left="2268" w:hanging="1134"/>
      </w:pPr>
      <w:r>
        <w:rPr>
          <w:i/>
          <w:iCs/>
        </w:rPr>
        <w:t>Пункт 6.22.8.3</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«6.22.8.3</w:t>
      </w:r>
      <w:r>
        <w:tab/>
      </w:r>
      <w:r w:rsidRPr="002A432D">
        <w:rPr>
          <w:lang w:val="en-GB"/>
        </w:rPr>
        <w:t>Контрольный</w:t>
      </w:r>
      <w:r>
        <w:t xml:space="preserve"> сигнал для указания того, что водитель установил систему в состояние, определенное в пункте 5.8 Правил № 123 ООН или </w:t>
      </w:r>
      <w:r w:rsidRPr="002A432D">
        <w:rPr>
          <w:lang w:val="en-GB"/>
        </w:rPr>
        <w:t>пункте</w:t>
      </w:r>
      <w:r>
        <w:rPr>
          <w:lang w:val="en-US"/>
        </w:rPr>
        <w:t> </w:t>
      </w:r>
      <w:r>
        <w:t>4.12 Правил № [УОД] ООН, является факультативным».</w:t>
      </w:r>
    </w:p>
    <w:p w:rsidR="002A432D" w:rsidRDefault="002A432D" w:rsidP="002A432D">
      <w:pPr>
        <w:pStyle w:val="SingleTxtGR"/>
        <w:tabs>
          <w:tab w:val="clear" w:pos="1701"/>
        </w:tabs>
        <w:ind w:left="2268" w:hanging="1134"/>
      </w:pPr>
      <w:r>
        <w:rPr>
          <w:i/>
          <w:iCs/>
        </w:rPr>
        <w:t>Пункт 6.22.9.1</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pPr>
      <w:r>
        <w:t>«6.22.9.1</w:t>
      </w:r>
      <w:r>
        <w:tab/>
        <w:t xml:space="preserve">АСПО </w:t>
      </w:r>
      <w:r w:rsidRPr="002A432D">
        <w:rPr>
          <w:lang w:val="en-GB"/>
        </w:rPr>
        <w:t>разрешается</w:t>
      </w:r>
      <w:r>
        <w:t xml:space="preserve"> использовать только при установке устройств(а) для очистки фар в соответствии с Правилами № 45 ООН</w:t>
      </w:r>
      <w:r>
        <w:rPr>
          <w:sz w:val="18"/>
          <w:szCs w:val="18"/>
          <w:vertAlign w:val="superscript"/>
        </w:rPr>
        <w:t>22</w:t>
      </w:r>
      <w:r>
        <w:t>, по крайней мере в случае тех световых модулей, которые указаны в пункте 9.2.3 карточки сообщения согласно образцу, приведенному в приложении</w:t>
      </w:r>
      <w:r>
        <w:rPr>
          <w:lang w:val="en-US"/>
        </w:rPr>
        <w:t> </w:t>
      </w:r>
      <w:r>
        <w:t>1 к Правилам № 123 ООН или в пункте 9.3.2.3 приложения</w:t>
      </w:r>
      <w:r>
        <w:rPr>
          <w:lang w:val="en-US"/>
        </w:rPr>
        <w:t> </w:t>
      </w:r>
      <w:r>
        <w:t>1 к Правилам № [УОД] ООН,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p>
    <w:p w:rsidR="002A432D" w:rsidRDefault="002A432D" w:rsidP="002A432D">
      <w:pPr>
        <w:pStyle w:val="SingleTxtGR"/>
        <w:tabs>
          <w:tab w:val="clear" w:pos="1701"/>
        </w:tabs>
        <w:ind w:left="2268" w:hanging="1134"/>
      </w:pPr>
      <w:r>
        <w:rPr>
          <w:i/>
          <w:iCs/>
        </w:rPr>
        <w:t>Пункт 6.22.9.4</w:t>
      </w:r>
      <w:r>
        <w:t xml:space="preserve"> </w:t>
      </w:r>
      <w:r w:rsidRPr="002A432D">
        <w:rPr>
          <w:lang w:val="en-GB"/>
        </w:rPr>
        <w:t>изменить</w:t>
      </w:r>
      <w:r>
        <w:t xml:space="preserve"> следующим образом:</w:t>
      </w:r>
    </w:p>
    <w:p w:rsidR="002A432D" w:rsidRDefault="002A432D" w:rsidP="002A432D">
      <w:pPr>
        <w:pStyle w:val="SingleTxtGR"/>
        <w:tabs>
          <w:tab w:val="clear" w:pos="1701"/>
        </w:tabs>
        <w:ind w:left="2268" w:hanging="1134"/>
        <w:rPr>
          <w:sz w:val="24"/>
          <w:szCs w:val="24"/>
          <w:lang w:eastAsia="ru-RU"/>
        </w:rPr>
      </w:pPr>
      <w:r>
        <w:t>«6.22.9.4</w:t>
      </w:r>
      <w:r>
        <w:tab/>
        <w:t>Средства, позволяющие, согласно положениям пункта 5.8 Правил</w:t>
      </w:r>
      <w:r>
        <w:rPr>
          <w:lang w:val="en-US"/>
        </w:rPr>
        <w:t> </w:t>
      </w:r>
      <w:r>
        <w:t>№</w:t>
      </w:r>
      <w:r>
        <w:rPr>
          <w:lang w:val="en-US"/>
        </w:rPr>
        <w:t> </w:t>
      </w:r>
      <w:r>
        <w:t>123 ООН или пункта 4.12 Правил № [УОД] ООН, временно использовать автомобиль на территории с противоположным направлением движения по сравнению с тем, для которого запрашивается официальное утверждение, должны быть подробно разъяснены в руководстве по эксплуатации».</w:t>
      </w:r>
      <w:r>
        <w:rPr>
          <w:sz w:val="24"/>
          <w:szCs w:val="24"/>
          <w:lang w:eastAsia="ru-RU"/>
        </w:rPr>
        <w:t xml:space="preserve"> </w:t>
      </w:r>
    </w:p>
    <w:p w:rsidR="00381C24" w:rsidRPr="002A432D" w:rsidRDefault="002A432D" w:rsidP="002A432D">
      <w:pPr>
        <w:pStyle w:val="SingleTxtGR"/>
        <w:spacing w:before="240" w:after="0"/>
        <w:jc w:val="center"/>
      </w:pPr>
      <w:r>
        <w:rPr>
          <w:u w:val="single"/>
          <w:lang w:eastAsia="ru-RU"/>
        </w:rPr>
        <w:tab/>
      </w:r>
      <w:r>
        <w:rPr>
          <w:u w:val="single"/>
          <w:lang w:eastAsia="ru-RU"/>
        </w:rPr>
        <w:tab/>
      </w:r>
      <w:r>
        <w:rPr>
          <w:u w:val="single"/>
          <w:lang w:eastAsia="ru-RU"/>
        </w:rPr>
        <w:tab/>
      </w:r>
    </w:p>
    <w:sectPr w:rsidR="00381C24" w:rsidRPr="002A432D" w:rsidSect="002A43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B39" w:rsidRPr="00A312BC" w:rsidRDefault="006F6B39" w:rsidP="00A312BC"/>
  </w:endnote>
  <w:endnote w:type="continuationSeparator" w:id="0">
    <w:p w:rsidR="006F6B39" w:rsidRPr="00A312BC" w:rsidRDefault="006F6B3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D" w:rsidRPr="002A432D" w:rsidRDefault="002A432D">
    <w:pPr>
      <w:pStyle w:val="Footer"/>
    </w:pPr>
    <w:r w:rsidRPr="002A432D">
      <w:rPr>
        <w:b/>
        <w:sz w:val="18"/>
      </w:rPr>
      <w:fldChar w:fldCharType="begin"/>
    </w:r>
    <w:r w:rsidRPr="002A432D">
      <w:rPr>
        <w:b/>
        <w:sz w:val="18"/>
      </w:rPr>
      <w:instrText xml:space="preserve"> PAGE  \* MERGEFORMAT </w:instrText>
    </w:r>
    <w:r w:rsidRPr="002A432D">
      <w:rPr>
        <w:b/>
        <w:sz w:val="18"/>
      </w:rPr>
      <w:fldChar w:fldCharType="separate"/>
    </w:r>
    <w:r w:rsidR="00BF1DD2">
      <w:rPr>
        <w:b/>
        <w:noProof/>
        <w:sz w:val="18"/>
      </w:rPr>
      <w:t>6</w:t>
    </w:r>
    <w:r w:rsidRPr="002A432D">
      <w:rPr>
        <w:b/>
        <w:sz w:val="18"/>
      </w:rPr>
      <w:fldChar w:fldCharType="end"/>
    </w:r>
    <w:r>
      <w:rPr>
        <w:b/>
        <w:sz w:val="18"/>
      </w:rPr>
      <w:tab/>
    </w:r>
    <w:r>
      <w:t>GE.19-19320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D" w:rsidRPr="002A432D" w:rsidRDefault="002A432D" w:rsidP="002A432D">
    <w:pPr>
      <w:pStyle w:val="Footer"/>
      <w:tabs>
        <w:tab w:val="clear" w:pos="9639"/>
        <w:tab w:val="right" w:pos="9638"/>
      </w:tabs>
      <w:rPr>
        <w:b/>
        <w:sz w:val="18"/>
      </w:rPr>
    </w:pPr>
    <w:r>
      <w:t>GE.19-19320</w:t>
    </w:r>
    <w:r>
      <w:tab/>
    </w:r>
    <w:r w:rsidRPr="002A432D">
      <w:rPr>
        <w:b/>
        <w:sz w:val="18"/>
      </w:rPr>
      <w:fldChar w:fldCharType="begin"/>
    </w:r>
    <w:r w:rsidRPr="002A432D">
      <w:rPr>
        <w:b/>
        <w:sz w:val="18"/>
      </w:rPr>
      <w:instrText xml:space="preserve"> PAGE  \* MERGEFORMAT </w:instrText>
    </w:r>
    <w:r w:rsidRPr="002A432D">
      <w:rPr>
        <w:b/>
        <w:sz w:val="18"/>
      </w:rPr>
      <w:fldChar w:fldCharType="separate"/>
    </w:r>
    <w:r w:rsidR="00BF1DD2">
      <w:rPr>
        <w:b/>
        <w:noProof/>
        <w:sz w:val="18"/>
      </w:rPr>
      <w:t>7</w:t>
    </w:r>
    <w:r w:rsidRPr="002A43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2A432D" w:rsidRDefault="002A432D" w:rsidP="002A432D">
    <w:pPr>
      <w:spacing w:before="120" w:line="240" w:lineRule="auto"/>
    </w:pPr>
    <w:r>
      <w:t>GE.</w:t>
    </w:r>
    <w:r w:rsidR="00DF71B9">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19-19320  (R)</w:t>
    </w:r>
    <w:r>
      <w:rPr>
        <w:lang w:val="en-US"/>
      </w:rPr>
      <w:t xml:space="preserve">  111119  111119</w:t>
    </w:r>
    <w:r>
      <w:br/>
    </w:r>
    <w:r w:rsidRPr="002A432D">
      <w:rPr>
        <w:rFonts w:ascii="C39T30Lfz" w:hAnsi="C39T30Lfz"/>
        <w:kern w:val="14"/>
        <w:sz w:val="56"/>
      </w:rPr>
      <w:t></w:t>
    </w:r>
    <w:r w:rsidRPr="002A432D">
      <w:rPr>
        <w:rFonts w:ascii="C39T30Lfz" w:hAnsi="C39T30Lfz"/>
        <w:kern w:val="14"/>
        <w:sz w:val="56"/>
      </w:rPr>
      <w:t></w:t>
    </w:r>
    <w:r w:rsidRPr="002A432D">
      <w:rPr>
        <w:rFonts w:ascii="C39T30Lfz" w:hAnsi="C39T30Lfz"/>
        <w:kern w:val="14"/>
        <w:sz w:val="56"/>
      </w:rPr>
      <w:t></w:t>
    </w:r>
    <w:r w:rsidRPr="002A432D">
      <w:rPr>
        <w:rFonts w:ascii="C39T30Lfz" w:hAnsi="C39T30Lfz"/>
        <w:kern w:val="14"/>
        <w:sz w:val="56"/>
      </w:rPr>
      <w:t></w:t>
    </w:r>
    <w:r w:rsidRPr="002A432D">
      <w:rPr>
        <w:rFonts w:ascii="C39T30Lfz" w:hAnsi="C39T30Lfz"/>
        <w:kern w:val="14"/>
        <w:sz w:val="56"/>
      </w:rPr>
      <w:t></w:t>
    </w:r>
    <w:r w:rsidRPr="002A432D">
      <w:rPr>
        <w:rFonts w:ascii="C39T30Lfz" w:hAnsi="C39T30Lfz"/>
        <w:kern w:val="14"/>
        <w:sz w:val="56"/>
      </w:rPr>
      <w:t></w:t>
    </w:r>
    <w:r w:rsidRPr="002A432D">
      <w:rPr>
        <w:rFonts w:ascii="C39T30Lfz" w:hAnsi="C39T30Lfz"/>
        <w:kern w:val="14"/>
        <w:sz w:val="56"/>
      </w:rPr>
      <w:t></w:t>
    </w:r>
    <w:r w:rsidRPr="002A432D">
      <w:rPr>
        <w:rFonts w:ascii="C39T30Lfz" w:hAnsi="C39T30Lfz"/>
        <w:kern w:val="14"/>
        <w:sz w:val="56"/>
      </w:rPr>
      <w:t></w:t>
    </w:r>
    <w:r w:rsidRPr="002A432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47/Rev.6/Amend.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6/Amend.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B39" w:rsidRPr="001075E9" w:rsidRDefault="006F6B39" w:rsidP="001075E9">
      <w:pPr>
        <w:tabs>
          <w:tab w:val="right" w:pos="2155"/>
        </w:tabs>
        <w:spacing w:after="80" w:line="240" w:lineRule="auto"/>
        <w:ind w:left="680"/>
        <w:rPr>
          <w:u w:val="single"/>
        </w:rPr>
      </w:pPr>
      <w:r>
        <w:rPr>
          <w:u w:val="single"/>
        </w:rPr>
        <w:tab/>
      </w:r>
    </w:p>
  </w:footnote>
  <w:footnote w:type="continuationSeparator" w:id="0">
    <w:p w:rsidR="006F6B39" w:rsidRDefault="006F6B39" w:rsidP="00407B78">
      <w:pPr>
        <w:tabs>
          <w:tab w:val="right" w:pos="2155"/>
        </w:tabs>
        <w:spacing w:after="80"/>
        <w:ind w:left="680"/>
        <w:rPr>
          <w:u w:val="single"/>
        </w:rPr>
      </w:pPr>
      <w:r>
        <w:rPr>
          <w:u w:val="single"/>
        </w:rPr>
        <w:tab/>
      </w:r>
    </w:p>
  </w:footnote>
  <w:footnote w:id="1">
    <w:p w:rsidR="002A432D" w:rsidRDefault="002A432D" w:rsidP="002A432D">
      <w:pPr>
        <w:pStyle w:val="FootnoteText"/>
        <w:rPr>
          <w:lang w:eastAsia="en-US"/>
        </w:rPr>
      </w:pPr>
      <w:r>
        <w:tab/>
      </w:r>
      <w:r w:rsidRPr="002A432D">
        <w:t>*</w:t>
      </w:r>
      <w:r>
        <w:tab/>
        <w:t>Прежние названия Соглашения:</w:t>
      </w:r>
    </w:p>
    <w:p w:rsidR="002A432D" w:rsidRDefault="002A432D" w:rsidP="002A432D">
      <w:pPr>
        <w:pStyle w:val="FootnoteTex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rsidR="002A432D" w:rsidRDefault="002A432D" w:rsidP="002A432D">
      <w:pPr>
        <w:pStyle w:val="FootnoteTex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D" w:rsidRPr="002A432D" w:rsidRDefault="007A6936">
    <w:pPr>
      <w:pStyle w:val="Header"/>
    </w:pPr>
    <w:r>
      <w:fldChar w:fldCharType="begin"/>
    </w:r>
    <w:r>
      <w:instrText xml:space="preserve"> TITLE  \* MERGEFORMAT </w:instrText>
    </w:r>
    <w:r>
      <w:fldChar w:fldCharType="separate"/>
    </w:r>
    <w:r w:rsidR="003709FD">
      <w:t>E/ECE/324/Rev.1/Add.47/Rev.6/Amend.12</w:t>
    </w:r>
    <w:r>
      <w:fldChar w:fldCharType="end"/>
    </w:r>
    <w:r w:rsidR="002A432D">
      <w:br/>
    </w:r>
    <w:r>
      <w:fldChar w:fldCharType="begin"/>
    </w:r>
    <w:r>
      <w:instrText xml:space="preserve"> KEYWORDS  \* MERGEFORMAT </w:instrText>
    </w:r>
    <w:r>
      <w:fldChar w:fldCharType="separate"/>
    </w:r>
    <w:r w:rsidR="003709FD">
      <w:t>E/ECE/TRANS/505/Rev.1/Add.47/Rev.6/Amend.12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D" w:rsidRPr="002A432D" w:rsidRDefault="007A6936" w:rsidP="002A432D">
    <w:pPr>
      <w:pStyle w:val="Header"/>
      <w:jc w:val="right"/>
    </w:pPr>
    <w:r>
      <w:fldChar w:fldCharType="begin"/>
    </w:r>
    <w:r>
      <w:instrText xml:space="preserve"> TITLE  \* MERGEFORMAT </w:instrText>
    </w:r>
    <w:r>
      <w:fldChar w:fldCharType="separate"/>
    </w:r>
    <w:r w:rsidR="003709FD">
      <w:t>E/ECE/324/Rev.1/Add.47/Rev.6/Amend.12</w:t>
    </w:r>
    <w:r>
      <w:fldChar w:fldCharType="end"/>
    </w:r>
    <w:r w:rsidR="002A432D">
      <w:br/>
    </w:r>
    <w:r>
      <w:fldChar w:fldCharType="begin"/>
    </w:r>
    <w:r>
      <w:instrText xml:space="preserve"> KEYWORDS  \* MERGEFORMAT </w:instrText>
    </w:r>
    <w:r>
      <w:fldChar w:fldCharType="separate"/>
    </w:r>
    <w:r w:rsidR="003709FD">
      <w:t>E/ECE/TRANS/505/Rev.1/Add.47/Rev.6/Amend.12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2D" w:rsidRDefault="002A432D" w:rsidP="002A432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39"/>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A2EFC"/>
    <w:rsid w:val="002A432D"/>
    <w:rsid w:val="002A7B4A"/>
    <w:rsid w:val="002C0E18"/>
    <w:rsid w:val="002D5AAC"/>
    <w:rsid w:val="002E5067"/>
    <w:rsid w:val="002F405F"/>
    <w:rsid w:val="002F7EEC"/>
    <w:rsid w:val="00301299"/>
    <w:rsid w:val="00307FB6"/>
    <w:rsid w:val="00317339"/>
    <w:rsid w:val="00322004"/>
    <w:rsid w:val="00330198"/>
    <w:rsid w:val="003402C2"/>
    <w:rsid w:val="003709FD"/>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47BE"/>
    <w:rsid w:val="00526683"/>
    <w:rsid w:val="005474B5"/>
    <w:rsid w:val="0056489F"/>
    <w:rsid w:val="005709E0"/>
    <w:rsid w:val="00572E19"/>
    <w:rsid w:val="005961C8"/>
    <w:rsid w:val="005D7914"/>
    <w:rsid w:val="005E2B41"/>
    <w:rsid w:val="005F0B42"/>
    <w:rsid w:val="00681A10"/>
    <w:rsid w:val="006A1ED8"/>
    <w:rsid w:val="006C2031"/>
    <w:rsid w:val="006D461A"/>
    <w:rsid w:val="006E5645"/>
    <w:rsid w:val="006F35EE"/>
    <w:rsid w:val="006F6B39"/>
    <w:rsid w:val="007021FF"/>
    <w:rsid w:val="00712895"/>
    <w:rsid w:val="00716F7A"/>
    <w:rsid w:val="00757357"/>
    <w:rsid w:val="007A6936"/>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BF1DD2"/>
    <w:rsid w:val="00BF68FA"/>
    <w:rsid w:val="00C106D6"/>
    <w:rsid w:val="00C418EC"/>
    <w:rsid w:val="00C60F0C"/>
    <w:rsid w:val="00C805C9"/>
    <w:rsid w:val="00C92939"/>
    <w:rsid w:val="00CA1679"/>
    <w:rsid w:val="00CB151C"/>
    <w:rsid w:val="00CB58E1"/>
    <w:rsid w:val="00CE073C"/>
    <w:rsid w:val="00CE5A1A"/>
    <w:rsid w:val="00CF55F6"/>
    <w:rsid w:val="00D33D63"/>
    <w:rsid w:val="00D6070C"/>
    <w:rsid w:val="00D90028"/>
    <w:rsid w:val="00D90138"/>
    <w:rsid w:val="00DF71B9"/>
    <w:rsid w:val="00E16204"/>
    <w:rsid w:val="00E73F76"/>
    <w:rsid w:val="00E74E9E"/>
    <w:rsid w:val="00EA2C9F"/>
    <w:rsid w:val="00EB1EAF"/>
    <w:rsid w:val="00ED0BDA"/>
    <w:rsid w:val="00EF1360"/>
    <w:rsid w:val="00EF3220"/>
    <w:rsid w:val="00F40CB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C142BB-41D5-4C50-BC08-8FA129E1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B7B85"/>
    <w:rPr>
      <w:b/>
      <w:sz w:val="18"/>
      <w:lang w:val="en-GB" w:eastAsia="ru-RU"/>
    </w:rPr>
  </w:style>
  <w:style w:type="character" w:styleId="PageNumber">
    <w:name w:val="page number"/>
    <w:aliases w:val="7_G"/>
    <w:basedOn w:val="DefaultParagraphFont"/>
    <w:qFormat/>
    <w:rsid w:val="00BB7B85"/>
    <w:rPr>
      <w:rFonts w:ascii="Times New Roman" w:hAnsi="Times New Roman"/>
      <w:b/>
      <w:sz w:val="18"/>
    </w:rPr>
  </w:style>
  <w:style w:type="paragraph" w:styleId="Footer">
    <w:name w:val="footer"/>
    <w:aliases w:val="3_G"/>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B7B85"/>
    <w:rPr>
      <w:sz w:val="16"/>
      <w:lang w:val="en-GB" w:eastAsia="ru-RU"/>
    </w:rPr>
  </w:style>
  <w:style w:type="character" w:styleId="FootnoteReference">
    <w:name w:val="footnote reference"/>
    <w:aliases w:val="4_G,(Footnote Reference),-E Fußnotenzeichen,BVI fnr,Footnote symbol,Footnote,Footnote Reference Superscript,SUPERS,Fußnotenzeichen,4_GR"/>
    <w:basedOn w:val="DefaultParagraphFont"/>
    <w:qFormat/>
    <w:rsid w:val="00BB7B85"/>
    <w:rPr>
      <w:rFonts w:ascii="Times New Roman" w:hAnsi="Times New Roman"/>
      <w:dstrike w:val="0"/>
      <w:sz w:val="18"/>
      <w:vertAlign w:val="superscript"/>
    </w:rPr>
  </w:style>
  <w:style w:type="character" w:styleId="EndnoteReference">
    <w:name w:val="endnote reference"/>
    <w:aliases w:val="1_G"/>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Footnote Text Char,5_G_6,5_GR"/>
    <w:basedOn w:val="Normal"/>
    <w:link w:val="FootnoteTextChar1"/>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PP Char,Footnote Text Char Char,5_G_6 Char,5_GR Char"/>
    <w:basedOn w:val="DefaultParagraphFont"/>
    <w:link w:val="FootnoteText"/>
    <w:rsid w:val="00BB7B85"/>
    <w:rPr>
      <w:sz w:val="18"/>
      <w:lang w:val="ru-RU" w:eastAsia="ru-RU"/>
    </w:rPr>
  </w:style>
  <w:style w:type="paragraph" w:styleId="EndnoteText">
    <w:name w:val="endnote text"/>
    <w:aliases w:val="2_G"/>
    <w:basedOn w:val="FootnoteText"/>
    <w:link w:val="EndnoteTextChar"/>
    <w:qFormat/>
    <w:rsid w:val="00BB7B85"/>
  </w:style>
  <w:style w:type="character" w:customStyle="1" w:styleId="EndnoteTextChar">
    <w:name w:val="Endnote Text Char"/>
    <w:aliases w:val="2_G Char"/>
    <w:basedOn w:val="DefaultParagraphFont"/>
    <w:link w:val="EndnoteText"/>
    <w:rsid w:val="00BB7B85"/>
    <w:rPr>
      <w:sz w:val="18"/>
      <w:lang w:val="ru-RU" w:eastAsia="ru-RU"/>
    </w:rPr>
  </w:style>
  <w:style w:type="character" w:customStyle="1" w:styleId="Heading1Char">
    <w:name w:val="Heading 1 Char"/>
    <w:aliases w:val="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character" w:customStyle="1" w:styleId="SingleTxtGChar">
    <w:name w:val="_ Single Txt_G Char"/>
    <w:link w:val="SingleTxtG"/>
    <w:qFormat/>
    <w:locked/>
    <w:rsid w:val="002A432D"/>
    <w:rPr>
      <w:lang w:val="ru-RU" w:eastAsia="en-US"/>
    </w:rPr>
  </w:style>
  <w:style w:type="character" w:customStyle="1" w:styleId="HChGChar">
    <w:name w:val="_ H _Ch_G Char"/>
    <w:link w:val="HChG"/>
    <w:locked/>
    <w:rsid w:val="002A432D"/>
    <w:rPr>
      <w:b/>
      <w:sz w:val="28"/>
      <w:lang w:val="ru-RU" w:eastAsia="ru-RU"/>
    </w:rPr>
  </w:style>
  <w:style w:type="character" w:customStyle="1" w:styleId="H1GChar">
    <w:name w:val="_ H_1_G Char"/>
    <w:link w:val="H1G"/>
    <w:locked/>
    <w:rsid w:val="002A432D"/>
    <w:rPr>
      <w:b/>
      <w:sz w:val="24"/>
      <w:lang w:val="ru-RU" w:eastAsia="ru-RU"/>
    </w:rPr>
  </w:style>
  <w:style w:type="paragraph" w:customStyle="1" w:styleId="HChGR">
    <w:name w:val="_ H _Ch_GR"/>
    <w:basedOn w:val="Normal"/>
    <w:next w:val="Normal"/>
    <w:qFormat/>
    <w:rsid w:val="002A432D"/>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SingleTxtGR">
    <w:name w:val="_ Single Txt_GR"/>
    <w:basedOn w:val="Normal"/>
    <w:qFormat/>
    <w:rsid w:val="002A432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41971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2252</Words>
  <Characters>12840</Characters>
  <Application>Microsoft Office Word</Application>
  <DocSecurity>0</DocSecurity>
  <Lines>107</Lines>
  <Paragraphs>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E/ECE/324/Rev.1/Add.47/Rev.6/Amend.12</vt:lpstr>
      <vt:lpstr>E/ECE/324/Rev.1/Add.47/Rev.6/Amend.12</vt:lpstr>
      <vt:lpstr>A/</vt:lpstr>
    </vt:vector>
  </TitlesOfParts>
  <Company>DCM</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E/ECE/324/Rev.1/Add.47/Rev.6/Amend.12</dc:title>
  <dc:creator>Olga OVTCHINNIKOVA</dc:creator>
  <cp:keywords>E/ECE/TRANS/505/Rev.1/Add.47/Rev.6/Amend.12</cp:keywords>
  <cp:lastModifiedBy>Secretariat</cp:lastModifiedBy>
  <cp:revision>2</cp:revision>
  <cp:lastPrinted>2019-11-11T09:33:00Z</cp:lastPrinted>
  <dcterms:created xsi:type="dcterms:W3CDTF">2020-07-02T15:47:00Z</dcterms:created>
  <dcterms:modified xsi:type="dcterms:W3CDTF">2020-07-02T15:47:00Z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