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2635C7" w:rsidTr="007A54B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635C7" w:rsidRDefault="002635C7" w:rsidP="002635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2635C7" w:rsidRDefault="002635C7" w:rsidP="002635C7">
            <w:pPr>
              <w:jc w:val="right"/>
            </w:pPr>
            <w:r w:rsidRPr="002635C7">
              <w:rPr>
                <w:sz w:val="40"/>
              </w:rPr>
              <w:t>E</w:t>
            </w:r>
            <w:r>
              <w:t>/ECE/324/Rev.1/Add.47/Rev.11/Amend.6</w:t>
            </w:r>
            <w:r>
              <w:rPr>
                <w:rFonts w:cs="Times New Roman"/>
              </w:rPr>
              <w:t>−</w:t>
            </w:r>
            <w:r w:rsidRPr="002635C7">
              <w:rPr>
                <w:sz w:val="40"/>
              </w:rPr>
              <w:t>E</w:t>
            </w:r>
            <w:r>
              <w:t>/ECE/TRANS/505/Rev.1/Add.47/Rev.11/Amend.6</w:t>
            </w:r>
          </w:p>
        </w:tc>
      </w:tr>
      <w:tr w:rsidR="002D5AAC" w:rsidTr="002635C7">
        <w:trPr>
          <w:trHeight w:hRule="exact" w:val="240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635C7" w:rsidRDefault="002635C7" w:rsidP="002635C7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:rsidR="002635C7" w:rsidRPr="00D62A45" w:rsidRDefault="002635C7" w:rsidP="002635C7">
            <w:pPr>
              <w:spacing w:line="240" w:lineRule="exact"/>
              <w:rPr>
                <w:lang w:val="en-US"/>
              </w:rPr>
            </w:pPr>
          </w:p>
        </w:tc>
      </w:tr>
    </w:tbl>
    <w:p w:rsidR="002635C7" w:rsidRPr="00C54D45" w:rsidRDefault="002635C7" w:rsidP="002635C7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2635C7" w:rsidRPr="008708EC" w:rsidRDefault="002635C7" w:rsidP="002635C7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635C7">
        <w:rPr>
          <w:b w:val="0"/>
          <w:sz w:val="20"/>
        </w:rPr>
        <w:footnoteReference w:customMarkFollows="1" w:id="1"/>
        <w:t>*</w:t>
      </w:r>
    </w:p>
    <w:p w:rsidR="002635C7" w:rsidRPr="008708EC" w:rsidRDefault="002635C7" w:rsidP="002635C7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2635C7" w:rsidRPr="002635C7" w:rsidRDefault="002635C7" w:rsidP="002635C7">
      <w:pPr>
        <w:pStyle w:val="H1G"/>
        <w:spacing w:before="240" w:after="0"/>
        <w:ind w:left="0" w:right="0" w:firstLine="0"/>
        <w:jc w:val="center"/>
        <w:rPr>
          <w:b w:val="0"/>
          <w:u w:val="single"/>
        </w:rPr>
      </w:pPr>
      <w:r w:rsidRPr="002635C7">
        <w:rPr>
          <w:b w:val="0"/>
          <w:bCs/>
          <w:u w:val="single"/>
        </w:rPr>
        <w:tab/>
      </w:r>
      <w:r w:rsidRPr="002635C7">
        <w:rPr>
          <w:b w:val="0"/>
          <w:bCs/>
          <w:u w:val="single"/>
        </w:rPr>
        <w:tab/>
      </w:r>
      <w:r w:rsidRPr="002635C7">
        <w:rPr>
          <w:b w:val="0"/>
          <w:bCs/>
          <w:u w:val="single"/>
        </w:rPr>
        <w:tab/>
      </w:r>
    </w:p>
    <w:p w:rsidR="002635C7" w:rsidRPr="008708EC" w:rsidRDefault="002635C7" w:rsidP="002635C7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47 – Правила № 48 ООН</w:t>
      </w:r>
    </w:p>
    <w:p w:rsidR="002635C7" w:rsidRPr="001466CD" w:rsidRDefault="002635C7" w:rsidP="002635C7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1</w:t>
      </w:r>
      <w:r w:rsidRPr="001466CD">
        <w:rPr>
          <w:bCs/>
        </w:rPr>
        <w:t>1</w:t>
      </w:r>
      <w:r>
        <w:rPr>
          <w:bCs/>
        </w:rPr>
        <w:t xml:space="preserve"> – Поправка </w:t>
      </w:r>
      <w:r w:rsidRPr="001466CD">
        <w:rPr>
          <w:bCs/>
        </w:rPr>
        <w:t>6</w:t>
      </w:r>
    </w:p>
    <w:p w:rsidR="002635C7" w:rsidRPr="008708EC" w:rsidRDefault="002635C7" w:rsidP="002635C7">
      <w:pPr>
        <w:pStyle w:val="SingleTxtG"/>
        <w:spacing w:after="360"/>
        <w:rPr>
          <w:spacing w:val="-2"/>
        </w:rPr>
      </w:pPr>
      <w:r>
        <w:t>Дополнение 1</w:t>
      </w:r>
      <w:r w:rsidRPr="001466CD">
        <w:t>2</w:t>
      </w:r>
      <w:r>
        <w:t xml:space="preserve"> к поправкам серии 0</w:t>
      </w:r>
      <w:r w:rsidRPr="001466CD">
        <w:t>5</w:t>
      </w:r>
      <w:r>
        <w:t xml:space="preserve"> − Дата вступления в силу: 28 мая 2019 года</w:t>
      </w:r>
    </w:p>
    <w:p w:rsidR="002635C7" w:rsidRPr="008708EC" w:rsidRDefault="002635C7" w:rsidP="002635C7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2635C7" w:rsidRPr="008708EC" w:rsidRDefault="002635C7" w:rsidP="002635C7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ECE/TRANS/WP.29/2018/8</w:t>
      </w:r>
      <w:r w:rsidRPr="001466CD">
        <w:t>5</w:t>
      </w:r>
      <w:r>
        <w:t>.</w:t>
      </w:r>
    </w:p>
    <w:p w:rsidR="002635C7" w:rsidRPr="002635C7" w:rsidRDefault="002635C7" w:rsidP="00D84572">
      <w:pPr>
        <w:suppressAutoHyphens w:val="0"/>
        <w:spacing w:line="240" w:lineRule="auto"/>
        <w:jc w:val="center"/>
        <w:rPr>
          <w:sz w:val="24"/>
          <w:u w:val="single"/>
        </w:rPr>
      </w:pPr>
      <w:r w:rsidRPr="00C54D45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75441E3E" wp14:editId="5149244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5C7">
        <w:rPr>
          <w:bCs/>
          <w:u w:val="single"/>
        </w:rPr>
        <w:tab/>
      </w:r>
      <w:r w:rsidRPr="002635C7">
        <w:rPr>
          <w:bCs/>
          <w:u w:val="single"/>
        </w:rPr>
        <w:tab/>
      </w:r>
      <w:r w:rsidRPr="002635C7">
        <w:rPr>
          <w:bCs/>
          <w:u w:val="single"/>
        </w:rPr>
        <w:tab/>
      </w:r>
    </w:p>
    <w:p w:rsidR="002635C7" w:rsidRDefault="002635C7" w:rsidP="002635C7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:rsidR="002635C7" w:rsidRDefault="002635C7" w:rsidP="002635C7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2635C7" w:rsidRPr="00C3021B" w:rsidRDefault="002635C7" w:rsidP="002635C7">
      <w:pPr>
        <w:pStyle w:val="SingleTxtGR"/>
        <w:rPr>
          <w:i/>
        </w:rPr>
      </w:pPr>
      <w:r w:rsidRPr="00C3021B">
        <w:rPr>
          <w:i/>
          <w:iCs/>
        </w:rPr>
        <w:lastRenderedPageBreak/>
        <w:t>Включить новый пункт 2.37</w:t>
      </w:r>
      <w:r w:rsidRPr="00C3021B">
        <w:t xml:space="preserve"> следующего содержания: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>«2.37</w:t>
      </w:r>
      <w:r w:rsidRPr="00C3021B">
        <w:tab/>
        <w:t>"</w:t>
      </w:r>
      <w:r w:rsidRPr="00C3021B">
        <w:rPr>
          <w:i/>
          <w:iCs/>
        </w:rPr>
        <w:t>внешний индикатор состояния</w:t>
      </w:r>
      <w:r w:rsidRPr="00C3021B">
        <w:t>"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(СОСТС), системы охранной сигнализации (СОС) и иммобилизатора, предусмотренных</w:t>
      </w:r>
      <w:r w:rsidR="00BA561E">
        <w:t xml:space="preserve"> в правилах № 97 и </w:t>
      </w:r>
      <w:r w:rsidRPr="00C3021B">
        <w:t>116 ООН, когда транспортное средство находится на стоянке»</w:t>
      </w:r>
      <w:r>
        <w:t>.</w:t>
      </w:r>
      <w:r w:rsidRPr="00C3021B">
        <w:t xml:space="preserve"> </w:t>
      </w:r>
    </w:p>
    <w:p w:rsidR="002635C7" w:rsidRPr="00C3021B" w:rsidRDefault="002635C7" w:rsidP="002635C7">
      <w:pPr>
        <w:pStyle w:val="SingleTxtGR"/>
        <w:rPr>
          <w:i/>
        </w:rPr>
      </w:pPr>
      <w:r w:rsidRPr="00C3021B">
        <w:rPr>
          <w:i/>
          <w:iCs/>
        </w:rPr>
        <w:t>Пункт 2.7</w:t>
      </w:r>
      <w:r w:rsidRPr="00C3021B">
        <w:t xml:space="preserve"> изменить следующим образом: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 xml:space="preserve">«2.7 </w:t>
      </w:r>
      <w:r w:rsidRPr="00C3021B">
        <w:tab/>
        <w:t>"</w:t>
      </w:r>
      <w:r w:rsidRPr="00C3021B">
        <w:rPr>
          <w:i/>
          <w:iCs/>
        </w:rPr>
        <w:t>огонь</w:t>
      </w:r>
      <w:r w:rsidRPr="00C3021B">
        <w:t>"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транспортных средствах категорий</w:t>
      </w:r>
      <w:r>
        <w:t> </w:t>
      </w:r>
      <w:r w:rsidRPr="00C3021B">
        <w:t>М</w:t>
      </w:r>
      <w:r w:rsidRPr="00C3021B">
        <w:rPr>
          <w:vertAlign w:val="subscript"/>
        </w:rPr>
        <w:t>2</w:t>
      </w:r>
      <w:r w:rsidRPr="00C3021B">
        <w:t xml:space="preserve"> и М</w:t>
      </w:r>
      <w:r w:rsidRPr="00C3021B">
        <w:rPr>
          <w:vertAlign w:val="subscript"/>
        </w:rPr>
        <w:t>3</w:t>
      </w:r>
      <w:r w:rsidRPr="00C3021B">
        <w:t>, соответствующие положениям Правил № 107 ООН, и внешний индикатор состояния, определенный в настоящих Правилах</w:t>
      </w:r>
      <w:r w:rsidR="00BA561E">
        <w:rPr>
          <w:lang w:val="en-US"/>
        </w:rPr>
        <w:t> </w:t>
      </w:r>
      <w:r w:rsidRPr="00C3021B">
        <w:t xml:space="preserve">ООН, не считаются огнями. </w:t>
      </w:r>
    </w:p>
    <w:p w:rsidR="002635C7" w:rsidRPr="004C0D53" w:rsidRDefault="002635C7" w:rsidP="002635C7">
      <w:pPr>
        <w:pStyle w:val="SingleTxtGR"/>
        <w:tabs>
          <w:tab w:val="clear" w:pos="1701"/>
        </w:tabs>
      </w:pPr>
      <w:r>
        <w:tab/>
      </w:r>
      <w:r w:rsidRPr="00C3021B">
        <w:t>…»</w:t>
      </w:r>
    </w:p>
    <w:p w:rsidR="002635C7" w:rsidRPr="00C3021B" w:rsidRDefault="002635C7" w:rsidP="002635C7">
      <w:pPr>
        <w:pStyle w:val="SingleTxtGR"/>
      </w:pPr>
      <w:r w:rsidRPr="00C3021B">
        <w:rPr>
          <w:i/>
          <w:iCs/>
        </w:rPr>
        <w:t>Пункт 5.7.2.1</w:t>
      </w:r>
      <w:r w:rsidRPr="00C3021B">
        <w:t xml:space="preserve"> изменить следующим образом: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Pr="00C3021B">
        <w:t>5.7.2.1</w:t>
      </w:r>
      <w:r w:rsidRPr="00C3021B">
        <w:tab/>
        <w:t>Единые огни, определенные в подпункте а) пункта 2.16.1, видимая поверхность которых состоит из двух или более отдельных частей, устанавливают таким образом, чтобы: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835" w:hanging="1701"/>
        <w:rPr>
          <w:iCs/>
        </w:rPr>
      </w:pPr>
      <w:r>
        <w:tab/>
      </w:r>
      <w:r w:rsidRPr="00C3021B">
        <w:t>a)</w:t>
      </w:r>
      <w:r w:rsidRPr="00C3021B">
        <w:tab/>
        <w:t xml:space="preserve"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60% наименьшего прямоугольника, описанного вокруг проекции упомянутой видимой поверхности в направлении исходной оси; 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835" w:hanging="1701"/>
        <w:rPr>
          <w:iCs/>
        </w:rPr>
      </w:pPr>
      <w:r w:rsidRPr="00C3021B">
        <w:tab/>
        <w:t>b)</w:t>
      </w:r>
      <w:r w:rsidRPr="00C3021B">
        <w:tab/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</w:t>
      </w:r>
      <w:r w:rsidR="003D0E45">
        <w:rPr>
          <w:lang w:val="en-US"/>
        </w:rPr>
        <w:t> </w:t>
      </w:r>
      <w:r w:rsidRPr="00C3021B">
        <w:t>измеренное перпендикулярно исходной оси, составляло не</w:t>
      </w:r>
      <w:r w:rsidR="003D0E45">
        <w:rPr>
          <w:lang w:val="en-US"/>
        </w:rPr>
        <w:t> </w:t>
      </w:r>
      <w:r w:rsidRPr="00C3021B">
        <w:t>более</w:t>
      </w:r>
      <w:r w:rsidR="003D0E45">
        <w:rPr>
          <w:lang w:val="en-US"/>
        </w:rPr>
        <w:t> </w:t>
      </w:r>
      <w:r w:rsidRPr="00C3021B">
        <w:t>75 мм.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  <w:rPr>
          <w:iCs/>
        </w:rPr>
      </w:pPr>
      <w:r w:rsidRPr="00C3021B">
        <w:tab/>
        <w:t>Эти требования не применяются к единому светоотражающему устройству»</w:t>
      </w:r>
      <w:r>
        <w:t>.</w:t>
      </w:r>
    </w:p>
    <w:p w:rsidR="002635C7" w:rsidRPr="00C3021B" w:rsidRDefault="002635C7" w:rsidP="002635C7">
      <w:pPr>
        <w:pStyle w:val="SingleTxtGR"/>
      </w:pPr>
      <w:r w:rsidRPr="00C3021B">
        <w:rPr>
          <w:i/>
          <w:iCs/>
        </w:rPr>
        <w:t>Пункт 5.8</w:t>
      </w:r>
      <w:r w:rsidRPr="00C3021B">
        <w:t xml:space="preserve"> изменить следующим образом: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>«5.8</w:t>
      </w:r>
      <w:r w:rsidRPr="00C3021B">
        <w:tab/>
        <w:t>Максимальную высоту над уровнем грунта измеряют от самой высокой точки, а минимальную высоту − от самой низкой точки видимой поверхности в направлении исходной оси.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ab/>
        <w:t>В случае фар ближнего света минимальную высоту над уровнем грунта измеряют от нижней точки видимой поверхности в направлении исходной оси независимо от ее использования.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ab/>
        <w:t>Если (максимальная и минимальная) высота над дорогой полностью соответствует требованиям Правил ООН, то точное положение краев любой поверхности определять не требуется»</w:t>
      </w:r>
      <w:r>
        <w:t>.</w:t>
      </w:r>
    </w:p>
    <w:p w:rsidR="002635C7" w:rsidRPr="00C3021B" w:rsidRDefault="002635C7" w:rsidP="002635C7">
      <w:pPr>
        <w:pStyle w:val="SingleTxtGR"/>
        <w:pageBreakBefore/>
      </w:pPr>
      <w:r w:rsidRPr="00C3021B">
        <w:rPr>
          <w:i/>
          <w:iCs/>
        </w:rPr>
        <w:lastRenderedPageBreak/>
        <w:t>Пункты 5.10.1 и 5.10.2</w:t>
      </w:r>
      <w:r w:rsidRPr="00C3021B">
        <w:t xml:space="preserve"> изменить следующим образом: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>
        <w:t>«</w:t>
      </w:r>
      <w:r w:rsidRPr="00C3021B">
        <w:t>5.10.1</w:t>
      </w:r>
      <w:r w:rsidRPr="00C3021B">
        <w:tab/>
        <w:t xml:space="preserve">в отношении видимости красного света в направлении вперед, за исключением наиболее удаленного в направлении назад бокового габаритного огня красного цвета, видимая поверхность огня красного цвета не должна быть непосредственно видима для наблюдателя, перемещающегося в зоне 1 поперечной плоскости на расстоянии 25 м спереди от транспортного средства (см. приложение 4); </w:t>
      </w:r>
    </w:p>
    <w:p w:rsidR="002635C7" w:rsidRPr="003D0E45" w:rsidRDefault="002635C7" w:rsidP="002635C7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C3021B">
        <w:t>5.10.2</w:t>
      </w:r>
      <w:r w:rsidRPr="00C3021B">
        <w:tab/>
        <w:t>в отношении видимости белого света в направлении назад от транспортного средства, за исключением задних фар и боковой</w:t>
      </w:r>
      <w:r w:rsidRPr="00C3021B">
        <w:rPr>
          <w:b/>
          <w:bCs/>
        </w:rPr>
        <w:t xml:space="preserve"> </w:t>
      </w:r>
      <w:r w:rsidRPr="00C3021B">
        <w:t>белой маркировки с улучшенными светоотражающими характеристиками, видимая поверхность белого огня не должна быть непосредственно видима для наблюдателя, перемещающегося в зоне 2 поперечной плоскости на расстоянии 25 м сзади от транспортного средства (см.</w:t>
      </w:r>
      <w:r>
        <w:t> </w:t>
      </w:r>
      <w:r w:rsidRPr="00C3021B">
        <w:t>приложение 4)</w:t>
      </w:r>
      <w:r w:rsidR="003D0E45">
        <w:rPr>
          <w:lang w:val="en-US"/>
        </w:rPr>
        <w:t>;</w:t>
      </w:r>
      <w:r w:rsidRPr="00C3021B">
        <w:t>»</w:t>
      </w:r>
      <w:r w:rsidR="003D0E45">
        <w:rPr>
          <w:lang w:val="en-US"/>
        </w:rPr>
        <w:t>.</w:t>
      </w:r>
    </w:p>
    <w:p w:rsidR="002635C7" w:rsidRPr="00C3021B" w:rsidRDefault="002635C7" w:rsidP="002635C7">
      <w:pPr>
        <w:pStyle w:val="SingleTxtGR"/>
      </w:pPr>
      <w:r w:rsidRPr="00C3021B">
        <w:rPr>
          <w:i/>
          <w:iCs/>
        </w:rPr>
        <w:t>Включить новый пункт 5.30</w:t>
      </w:r>
      <w:r w:rsidRPr="00C3021B">
        <w:t xml:space="preserve"> следующего содержания:</w:t>
      </w:r>
    </w:p>
    <w:p w:rsidR="002635C7" w:rsidRPr="00C3021B" w:rsidRDefault="002635C7" w:rsidP="002635C7">
      <w:pPr>
        <w:pStyle w:val="SingleTxtGR"/>
      </w:pPr>
      <w:r w:rsidRPr="00C3021B">
        <w:t>«5.30</w:t>
      </w:r>
      <w:r w:rsidRPr="00C3021B">
        <w:tab/>
      </w:r>
      <w:r w:rsidRPr="00C3021B">
        <w:tab/>
        <w:t>Внешний индикатор состояния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>
        <w:tab/>
      </w:r>
      <w:r w:rsidRPr="00C3021B"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>
        <w:tab/>
      </w:r>
      <w:r w:rsidRPr="00C3021B">
        <w:t>a)</w:t>
      </w:r>
      <w:r w:rsidRPr="00C3021B">
        <w:tab/>
        <w:t xml:space="preserve">сила света в любом направлении не превышает 0,5 кд; 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835" w:hanging="1701"/>
      </w:pPr>
      <w:r>
        <w:tab/>
      </w:r>
      <w:r w:rsidRPr="00C3021B">
        <w:t>b)</w:t>
      </w:r>
      <w:r w:rsidRPr="00C3021B">
        <w:tab/>
        <w:t>цвет испускаемого света является белым, красным или автожелтым;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>
        <w:tab/>
      </w:r>
      <w:r w:rsidRPr="00C3021B">
        <w:t>c)</w:t>
      </w:r>
      <w:r w:rsidRPr="00C3021B">
        <w:tab/>
        <w:t>площадь видимой поверхности не превышает 20 см</w:t>
      </w:r>
      <w:r w:rsidRPr="00C3021B">
        <w:rPr>
          <w:vertAlign w:val="superscript"/>
        </w:rPr>
        <w:t>2</w:t>
      </w:r>
      <w:r w:rsidRPr="00C3021B">
        <w:t>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>
        <w:tab/>
      </w:r>
      <w:r w:rsidRPr="00C3021B">
        <w:t>На транспортном средстве допускается не более двух внешних индикаторов состояния системы охранной сигнализации транспортного 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Pr="00C3021B">
        <w:rPr>
          <w:vertAlign w:val="superscript"/>
        </w:rPr>
        <w:t xml:space="preserve">2 </w:t>
      </w:r>
      <w:r>
        <w:t>для каждого индикатора».</w:t>
      </w:r>
    </w:p>
    <w:p w:rsidR="002635C7" w:rsidRPr="00C3021B" w:rsidRDefault="002635C7" w:rsidP="002635C7">
      <w:pPr>
        <w:pStyle w:val="SingleTxtGR"/>
      </w:pPr>
      <w:r w:rsidRPr="00C3021B">
        <w:rPr>
          <w:i/>
          <w:iCs/>
        </w:rPr>
        <w:t>Пункт 6.2.9</w:t>
      </w:r>
      <w:r w:rsidRPr="00C3021B">
        <w:t xml:space="preserve"> изменить следующим образом: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>
        <w:t>«</w:t>
      </w:r>
      <w:r w:rsidRPr="00C3021B">
        <w:t>6.2.9</w:t>
      </w:r>
      <w:r w:rsidRPr="00C3021B">
        <w:tab/>
        <w:t xml:space="preserve">Прочие требования 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>6.2.9.1</w:t>
      </w:r>
      <w:r w:rsidRPr="00C3021B">
        <w:tab/>
        <w:t>Требования, содержащиеся в пункте 5.5.2, не применяют к фарам ближнего света.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>6.2.9.2</w:t>
      </w:r>
      <w:r w:rsidRPr="00C3021B">
        <w:tab/>
        <w:t>Фары ближнего света с источником света или модулем(ями) СИД, создающим(и) основной луч ближнего света, имеющий номинальный световой поток для каждой фары более 2 000 люмен, устанавливаются только совместно с устройством(ами) для очистки фар в соответствии с Правилами № 45 ООН.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>6.2.9.3</w:t>
      </w:r>
      <w:r w:rsidRPr="00C3021B">
        <w:tab/>
        <w:t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для каждой фары более 2</w:t>
      </w:r>
      <w:r>
        <w:t> </w:t>
      </w:r>
      <w:r w:rsidRPr="00C3021B">
        <w:t>000</w:t>
      </w:r>
      <w:r>
        <w:t> </w:t>
      </w:r>
      <w:r w:rsidRPr="00C3021B">
        <w:t>люмен.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</w:t>
      </w:r>
      <w:r>
        <w:t> </w:t>
      </w:r>
      <w:r w:rsidRPr="00C3021B">
        <w:t xml:space="preserve">ООН, на основании которых был утвержден применяемый </w:t>
      </w:r>
      <w:r w:rsidRPr="00C3021B">
        <w:lastRenderedPageBreak/>
        <w:t>источник света, без учета допусков по номинальному световому потоку, указанных в этих технических спецификациях.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>6.2.9.4</w:t>
      </w:r>
      <w:r w:rsidRPr="00C3021B">
        <w:tab/>
        <w:t>Для целей поворотного освещения могут использоваться только фары ближнего света, отвечающие требованиям правил № 98 или 112 ООН.</w:t>
      </w:r>
    </w:p>
    <w:p w:rsidR="002635C7" w:rsidRPr="00C3021B" w:rsidRDefault="002635C7" w:rsidP="002635C7">
      <w:pPr>
        <w:pStyle w:val="SingleTxtGR"/>
        <w:tabs>
          <w:tab w:val="clear" w:pos="1701"/>
        </w:tabs>
        <w:ind w:left="2268" w:hanging="1134"/>
      </w:pPr>
      <w:r w:rsidRPr="00C3021B">
        <w:tab/>
        <w:t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приводится в действие только при движении транспортного средства по прямой; это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движении)»</w:t>
      </w:r>
      <w:r>
        <w:t>.</w:t>
      </w:r>
    </w:p>
    <w:p w:rsidR="002635C7" w:rsidRPr="00C3021B" w:rsidRDefault="002635C7" w:rsidP="002635C7">
      <w:pPr>
        <w:pStyle w:val="SingleTxtGR"/>
      </w:pPr>
      <w:r w:rsidRPr="00C3021B">
        <w:rPr>
          <w:i/>
          <w:iCs/>
        </w:rPr>
        <w:t>Пункт 6.3.6.1.2.1</w:t>
      </w:r>
      <w:r w:rsidRPr="00C3021B">
        <w:t xml:space="preserve"> изменить следующим образом:</w:t>
      </w:r>
    </w:p>
    <w:p w:rsidR="002635C7" w:rsidRPr="003D0E45" w:rsidRDefault="002635C7" w:rsidP="002635C7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C3021B">
        <w:t>«6.3.6.1.2.1</w:t>
      </w:r>
      <w:r w:rsidRPr="00C3021B">
        <w:tab/>
        <w:t>когда общий номинальный световой поток источника света для каждой передней противотуманной фары не превышает 2 000 люмен:»</w:t>
      </w:r>
      <w:r w:rsidR="003D0E45">
        <w:rPr>
          <w:lang w:val="en-US"/>
        </w:rPr>
        <w:t>.</w:t>
      </w:r>
    </w:p>
    <w:p w:rsidR="002635C7" w:rsidRPr="00C3021B" w:rsidRDefault="002635C7" w:rsidP="002635C7">
      <w:pPr>
        <w:pStyle w:val="SingleTxtGR"/>
      </w:pPr>
      <w:r w:rsidRPr="00C3021B">
        <w:rPr>
          <w:i/>
          <w:iCs/>
        </w:rPr>
        <w:t>Пункт 6.3.6.1.2.2</w:t>
      </w:r>
      <w:r w:rsidRPr="00C3021B">
        <w:t xml:space="preserve"> изменить следующим образом:</w:t>
      </w:r>
    </w:p>
    <w:p w:rsidR="002635C7" w:rsidRPr="003D0E45" w:rsidRDefault="002635C7" w:rsidP="002635C7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C3021B">
        <w:t>«6.3.6.1.2.2</w:t>
      </w:r>
      <w:r w:rsidRPr="00C3021B">
        <w:tab/>
        <w:t>когда общий номинальный световой поток источника света для каждой передней противотуманной фары превышает 2 000 люмен:»</w:t>
      </w:r>
      <w:r w:rsidR="003D0E45">
        <w:rPr>
          <w:lang w:val="en-US"/>
        </w:rPr>
        <w:t>.</w:t>
      </w:r>
    </w:p>
    <w:p w:rsidR="002635C7" w:rsidRPr="00C3021B" w:rsidRDefault="002635C7" w:rsidP="002635C7">
      <w:pPr>
        <w:pStyle w:val="SingleTxtGR"/>
      </w:pPr>
      <w:r w:rsidRPr="00C3021B">
        <w:rPr>
          <w:i/>
          <w:iCs/>
        </w:rPr>
        <w:t>Пункт 6.26.9.2</w:t>
      </w:r>
      <w:r w:rsidRPr="00C3021B">
        <w:t xml:space="preserve"> изменить следующим образом:</w:t>
      </w:r>
    </w:p>
    <w:p w:rsidR="002635C7" w:rsidRDefault="002635C7" w:rsidP="00BA561E">
      <w:pPr>
        <w:pStyle w:val="SingleTxtGR"/>
        <w:tabs>
          <w:tab w:val="clear" w:pos="1701"/>
        </w:tabs>
        <w:ind w:left="2268" w:hanging="1134"/>
      </w:pPr>
      <w:r>
        <w:t>«6.26.9.2</w:t>
      </w:r>
      <w:r w:rsidRPr="00C3021B">
        <w:tab/>
        <w:t>По просьбе подателя заявки и с согласия технической службы выполнение пункта 6.26.9.1 может быть проверено при помощи чертежей или посредством моделирования либо его считают выполненным, если условия установки соответствуют пункту 6.2.2 Правил № 23 ООН, как указано в карточке сообщения в пункте 9 приложения 1».</w:t>
      </w:r>
    </w:p>
    <w:p w:rsidR="00381C24" w:rsidRPr="00BA561E" w:rsidRDefault="00BA561E" w:rsidP="00BA56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A561E" w:rsidSect="002635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28" w:rsidRPr="00A312BC" w:rsidRDefault="00D72128" w:rsidP="00A312BC"/>
  </w:endnote>
  <w:endnote w:type="continuationSeparator" w:id="0">
    <w:p w:rsidR="00D72128" w:rsidRPr="00A312BC" w:rsidRDefault="00D721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C7" w:rsidRPr="002635C7" w:rsidRDefault="002635C7">
    <w:pPr>
      <w:pStyle w:val="Footer"/>
    </w:pPr>
    <w:r w:rsidRPr="002635C7">
      <w:rPr>
        <w:b/>
        <w:sz w:val="18"/>
      </w:rPr>
      <w:fldChar w:fldCharType="begin"/>
    </w:r>
    <w:r w:rsidRPr="002635C7">
      <w:rPr>
        <w:b/>
        <w:sz w:val="18"/>
      </w:rPr>
      <w:instrText xml:space="preserve"> PAGE  \* MERGEFORMAT </w:instrText>
    </w:r>
    <w:r w:rsidRPr="002635C7">
      <w:rPr>
        <w:b/>
        <w:sz w:val="18"/>
      </w:rPr>
      <w:fldChar w:fldCharType="separate"/>
    </w:r>
    <w:r w:rsidR="00EA53AE">
      <w:rPr>
        <w:b/>
        <w:noProof/>
        <w:sz w:val="18"/>
      </w:rPr>
      <w:t>4</w:t>
    </w:r>
    <w:r w:rsidRPr="002635C7">
      <w:rPr>
        <w:b/>
        <w:sz w:val="18"/>
      </w:rPr>
      <w:fldChar w:fldCharType="end"/>
    </w:r>
    <w:r>
      <w:rPr>
        <w:b/>
        <w:sz w:val="18"/>
      </w:rPr>
      <w:tab/>
    </w:r>
    <w:r>
      <w:t>GE.19-10439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C7" w:rsidRPr="002635C7" w:rsidRDefault="002635C7" w:rsidP="002635C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GE.19-10439</w:t>
    </w:r>
    <w:r>
      <w:tab/>
    </w:r>
    <w:r w:rsidRPr="002635C7">
      <w:rPr>
        <w:b/>
        <w:sz w:val="18"/>
      </w:rPr>
      <w:fldChar w:fldCharType="begin"/>
    </w:r>
    <w:r w:rsidRPr="002635C7">
      <w:rPr>
        <w:b/>
        <w:sz w:val="18"/>
      </w:rPr>
      <w:instrText xml:space="preserve"> PAGE  \* MERGEFORMAT </w:instrText>
    </w:r>
    <w:r w:rsidRPr="002635C7">
      <w:rPr>
        <w:b/>
        <w:sz w:val="18"/>
      </w:rPr>
      <w:fldChar w:fldCharType="separate"/>
    </w:r>
    <w:r w:rsidR="00EA53AE">
      <w:rPr>
        <w:b/>
        <w:noProof/>
        <w:sz w:val="18"/>
      </w:rPr>
      <w:t>3</w:t>
    </w:r>
    <w:r w:rsidRPr="002635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635C7" w:rsidRDefault="002635C7" w:rsidP="002635C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19-10439  (R)</w:t>
    </w:r>
    <w:r>
      <w:rPr>
        <w:lang w:val="en-US"/>
      </w:rPr>
      <w:t xml:space="preserve">  220719  230719</w:t>
    </w:r>
    <w:r>
      <w:br/>
    </w:r>
    <w:r w:rsidRPr="002635C7">
      <w:rPr>
        <w:rFonts w:ascii="C39T30Lfz" w:hAnsi="C39T30Lfz"/>
        <w:kern w:val="14"/>
        <w:sz w:val="56"/>
      </w:rPr>
      <w:t></w:t>
    </w:r>
    <w:r w:rsidRPr="002635C7">
      <w:rPr>
        <w:rFonts w:ascii="C39T30Lfz" w:hAnsi="C39T30Lfz"/>
        <w:kern w:val="14"/>
        <w:sz w:val="56"/>
      </w:rPr>
      <w:t></w:t>
    </w:r>
    <w:r w:rsidRPr="002635C7">
      <w:rPr>
        <w:rFonts w:ascii="C39T30Lfz" w:hAnsi="C39T30Lfz"/>
        <w:kern w:val="14"/>
        <w:sz w:val="56"/>
      </w:rPr>
      <w:t></w:t>
    </w:r>
    <w:r w:rsidRPr="002635C7">
      <w:rPr>
        <w:rFonts w:ascii="C39T30Lfz" w:hAnsi="C39T30Lfz"/>
        <w:kern w:val="14"/>
        <w:sz w:val="56"/>
      </w:rPr>
      <w:t></w:t>
    </w:r>
    <w:r w:rsidRPr="002635C7">
      <w:rPr>
        <w:rFonts w:ascii="C39T30Lfz" w:hAnsi="C39T30Lfz"/>
        <w:kern w:val="14"/>
        <w:sz w:val="56"/>
      </w:rPr>
      <w:t></w:t>
    </w:r>
    <w:r w:rsidRPr="002635C7">
      <w:rPr>
        <w:rFonts w:ascii="C39T30Lfz" w:hAnsi="C39T30Lfz"/>
        <w:kern w:val="14"/>
        <w:sz w:val="56"/>
      </w:rPr>
      <w:t></w:t>
    </w:r>
    <w:r w:rsidRPr="002635C7">
      <w:rPr>
        <w:rFonts w:ascii="C39T30Lfz" w:hAnsi="C39T30Lfz"/>
        <w:kern w:val="14"/>
        <w:sz w:val="56"/>
      </w:rPr>
      <w:t></w:t>
    </w:r>
    <w:r w:rsidRPr="002635C7">
      <w:rPr>
        <w:rFonts w:ascii="C39T30Lfz" w:hAnsi="C39T30Lfz"/>
        <w:kern w:val="14"/>
        <w:sz w:val="56"/>
      </w:rPr>
      <w:t></w:t>
    </w:r>
    <w:r w:rsidRPr="002635C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7/Rev.11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1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28" w:rsidRPr="001075E9" w:rsidRDefault="00D721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2128" w:rsidRDefault="00D721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635C7" w:rsidRPr="008708EC" w:rsidRDefault="002635C7" w:rsidP="002635C7">
      <w:pPr>
        <w:pStyle w:val="FootnoteText"/>
      </w:pPr>
      <w:r>
        <w:tab/>
      </w:r>
      <w:r w:rsidRPr="002635C7">
        <w:rPr>
          <w:sz w:val="20"/>
        </w:rPr>
        <w:t>*</w:t>
      </w:r>
      <w:r>
        <w:tab/>
        <w:t>Прежние названия Соглашения:</w:t>
      </w:r>
    </w:p>
    <w:p w:rsidR="002635C7" w:rsidRPr="008708EC" w:rsidRDefault="002635C7" w:rsidP="002635C7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2635C7" w:rsidRPr="008708EC" w:rsidRDefault="002635C7" w:rsidP="002635C7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C7" w:rsidRPr="002635C7" w:rsidRDefault="00EA53AE">
    <w:pPr>
      <w:pStyle w:val="Header"/>
    </w:pPr>
    <w:fldSimple w:instr=" TITLE  \* MERGEFORMAT ">
      <w:r w:rsidR="00740A1E">
        <w:t>E/ECE/324/Rev.1/Add.47/Rev.11/Amend.6</w:t>
      </w:r>
    </w:fldSimple>
    <w:r w:rsidR="002635C7">
      <w:br/>
    </w:r>
    <w:fldSimple w:instr=" KEYWORDS  \* MERGEFORMAT ">
      <w:r w:rsidR="00740A1E">
        <w:t>E/ECE/TRANS/505/Rev.1/Add.47/Rev.11/Amend.6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C7" w:rsidRPr="002635C7" w:rsidRDefault="00EA53AE" w:rsidP="002635C7">
    <w:pPr>
      <w:pStyle w:val="Header"/>
      <w:jc w:val="right"/>
    </w:pPr>
    <w:fldSimple w:instr=" TITLE  \* MERGEFORMAT ">
      <w:r w:rsidR="00740A1E">
        <w:t>E/ECE/324/Rev.1/Add.47/Rev.11/Amend.6</w:t>
      </w:r>
    </w:fldSimple>
    <w:r w:rsidR="002635C7">
      <w:br/>
    </w:r>
    <w:fldSimple w:instr=" KEYWORDS  \* MERGEFORMAT ">
      <w:r w:rsidR="00740A1E">
        <w:t>E/ECE/TRANS/505/Rev.1/Add.47/Rev.11/Amend.6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28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635C7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D0E4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40A1E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8F22B3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A561E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72128"/>
    <w:rsid w:val="00D84572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A53A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6D4359-E354-40A6-B015-98661D0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2635C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2635C7"/>
    <w:rPr>
      <w:lang w:val="ru-RU" w:eastAsia="en-US"/>
    </w:rPr>
  </w:style>
  <w:style w:type="character" w:customStyle="1" w:styleId="HChGChar">
    <w:name w:val="_ H _Ch_G Char"/>
    <w:link w:val="HChG"/>
    <w:rsid w:val="002635C7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2635C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E/ECE/324/Rev.1/Add.47/Rev.11/Amend.6</vt:lpstr>
      <vt:lpstr>E/ECE/324/Rev.1/Add.47/Rev.11/Amend.6</vt:lpstr>
      <vt:lpstr>A/</vt:lpstr>
    </vt:vector>
  </TitlesOfParts>
  <Company>DCM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E/ECE/324/Rev.1/Add.47/Rev.11/Amend.6</dc:title>
  <dc:creator>Tatiana SHARKINA</dc:creator>
  <cp:keywords>E/ECE/TRANS/505/Rev.1/Add.47/Rev.11/Amend.6</cp:keywords>
  <cp:lastModifiedBy>Lucille Caillot</cp:lastModifiedBy>
  <cp:revision>2</cp:revision>
  <cp:lastPrinted>2019-07-23T08:40:00Z</cp:lastPrinted>
  <dcterms:created xsi:type="dcterms:W3CDTF">2020-01-08T09:41:00Z</dcterms:created>
  <dcterms:modified xsi:type="dcterms:W3CDTF">2020-01-08T09:41:00Z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