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4C4CFB" w14:paraId="30B852F7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37F4D4" w14:textId="77777777" w:rsidR="004C4CFB" w:rsidRPr="004C4CFB" w:rsidRDefault="004C4CFB" w:rsidP="004C4CFB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4C4CFB">
              <w:rPr>
                <w:sz w:val="40"/>
                <w:lang w:val="en-GB"/>
              </w:rPr>
              <w:t>E</w:t>
            </w:r>
            <w:r w:rsidRPr="004C4CFB">
              <w:rPr>
                <w:lang w:val="en-GB"/>
              </w:rPr>
              <w:t>/ECE/324/Rev.1/Add.45/Rev.6/Amend.4−</w:t>
            </w:r>
            <w:r w:rsidRPr="004C4CFB">
              <w:rPr>
                <w:sz w:val="40"/>
                <w:lang w:val="en-GB"/>
              </w:rPr>
              <w:t>E</w:t>
            </w:r>
            <w:r w:rsidRPr="004C4CFB">
              <w:rPr>
                <w:lang w:val="en-GB"/>
              </w:rPr>
              <w:t>/ECE/TRANS/505/Rev.1/Add.45/Rev.6/Amend.4</w:t>
            </w:r>
          </w:p>
        </w:tc>
      </w:tr>
      <w:tr w:rsidR="00421A10" w:rsidRPr="00DB58B5" w14:paraId="6199FD78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53A16D" w14:textId="77777777" w:rsidR="00421A10" w:rsidRPr="004C4CFB" w:rsidRDefault="00421A10" w:rsidP="00A27C92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564A850" w14:textId="77777777" w:rsidR="00421A10" w:rsidRPr="00DB58B5" w:rsidRDefault="004C4CFB" w:rsidP="00A27C92">
            <w:pPr>
              <w:spacing w:before="480" w:line="240" w:lineRule="exact"/>
            </w:pPr>
            <w:r>
              <w:t>24 juin 2019</w:t>
            </w:r>
          </w:p>
        </w:tc>
      </w:tr>
    </w:tbl>
    <w:p w14:paraId="6B9DE0D3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22C6DEA3" w14:textId="77777777" w:rsidR="00421A10" w:rsidRPr="00583D68" w:rsidRDefault="0029791D" w:rsidP="0029791D">
      <w:pPr>
        <w:pStyle w:val="H1G"/>
      </w:pPr>
      <w:r>
        <w:tab/>
      </w:r>
      <w:r>
        <w:tab/>
      </w:r>
      <w:r w:rsidR="004B61E6" w:rsidRPr="00F65009">
        <w:rPr>
          <w:lang w:val="fr-FR"/>
        </w:rPr>
        <w:t>Concernant l</w:t>
      </w:r>
      <w:r w:rsidR="00516089">
        <w:rPr>
          <w:lang w:val="fr-FR"/>
        </w:rPr>
        <w:t>’</w:t>
      </w:r>
      <w:r w:rsidR="004B61E6" w:rsidRPr="00F65009">
        <w:rPr>
          <w:lang w:val="fr-FR"/>
        </w:rPr>
        <w:t>adoption de Règlements techniques harmonisés de l</w:t>
      </w:r>
      <w:r w:rsidR="00516089">
        <w:rPr>
          <w:lang w:val="fr-FR"/>
        </w:rPr>
        <w:t>’</w:t>
      </w:r>
      <w:r w:rsidR="004B61E6" w:rsidRPr="00F65009">
        <w:rPr>
          <w:lang w:val="fr-FR"/>
        </w:rPr>
        <w:t>ONU applicables aux véhicules à roues et aux équipements et pièces susceptibles d</w:t>
      </w:r>
      <w:r w:rsidR="00516089">
        <w:rPr>
          <w:lang w:val="fr-FR"/>
        </w:rPr>
        <w:t>’</w:t>
      </w:r>
      <w:r w:rsidR="004B61E6" w:rsidRPr="00F65009">
        <w:rPr>
          <w:lang w:val="fr-FR"/>
        </w:rPr>
        <w:t xml:space="preserve">être montés ou utilisés sur les véhicules à roues </w:t>
      </w:r>
      <w:r w:rsidR="001B26F1">
        <w:rPr>
          <w:lang w:val="fr-FR"/>
        </w:rPr>
        <w:br/>
      </w:r>
      <w:r w:rsidR="004B61E6" w:rsidRPr="00F65009">
        <w:rPr>
          <w:lang w:val="fr-FR"/>
        </w:rPr>
        <w:t>et les conditions de reconnaissance réciproque des homologations délivrées conformément à ces Règlements</w:t>
      </w:r>
      <w:r w:rsidR="00442E31" w:rsidRPr="00F97BE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4257E0EA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F97BE2" w:rsidRPr="00F65009">
        <w:rPr>
          <w:lang w:val="fr-FR"/>
        </w:rPr>
        <w:t>3, comprenant les amendements entrés en vigueur le 14 septembre 2017)</w:t>
      </w:r>
    </w:p>
    <w:p w14:paraId="405C58B5" w14:textId="77777777" w:rsidR="00421A10" w:rsidRPr="006549FF" w:rsidRDefault="0029791D" w:rsidP="0029791D">
      <w:pPr>
        <w:jc w:val="center"/>
      </w:pPr>
      <w:r>
        <w:t>_______________</w:t>
      </w:r>
    </w:p>
    <w:p w14:paraId="31C40094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F97BE2">
        <w:t xml:space="preserve">45 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F97BE2">
        <w:t>46</w:t>
      </w:r>
    </w:p>
    <w:p w14:paraId="47570C06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F97BE2">
        <w:t>6 − Amendement 4</w:t>
      </w:r>
    </w:p>
    <w:p w14:paraId="71752F59" w14:textId="77777777" w:rsidR="00421A10" w:rsidRPr="004A7E44" w:rsidRDefault="00F97BE2" w:rsidP="0029791D">
      <w:pPr>
        <w:pStyle w:val="SingleTxtG"/>
        <w:spacing w:after="0"/>
      </w:pPr>
      <w:r w:rsidRPr="00AC35CE">
        <w:rPr>
          <w:spacing w:val="-2"/>
          <w:lang w:val="fr-FR"/>
        </w:rPr>
        <w:t>Complément 6 à la série 04 d</w:t>
      </w:r>
      <w:r w:rsidR="00516089">
        <w:rPr>
          <w:spacing w:val="-2"/>
          <w:lang w:val="fr-FR"/>
        </w:rPr>
        <w:t>’</w:t>
      </w:r>
      <w:r w:rsidRPr="00AC35CE">
        <w:rPr>
          <w:spacing w:val="-2"/>
          <w:lang w:val="fr-FR"/>
        </w:rPr>
        <w:t xml:space="preserve">amendements </w:t>
      </w:r>
      <w:r>
        <w:rPr>
          <w:spacing w:val="-2"/>
          <w:lang w:val="fr-FR"/>
        </w:rPr>
        <w:t>−</w:t>
      </w:r>
      <w:r w:rsidRPr="00AC35CE">
        <w:rPr>
          <w:spacing w:val="-2"/>
          <w:lang w:val="fr-FR"/>
        </w:rPr>
        <w:t xml:space="preserve"> Date d</w:t>
      </w:r>
      <w:r w:rsidR="00516089">
        <w:rPr>
          <w:spacing w:val="-2"/>
          <w:lang w:val="fr-FR"/>
        </w:rPr>
        <w:t>’</w:t>
      </w:r>
      <w:r w:rsidRPr="00AC35CE">
        <w:rPr>
          <w:spacing w:val="-2"/>
          <w:lang w:val="fr-FR"/>
        </w:rPr>
        <w:t xml:space="preserve">entrée en vigueur : </w:t>
      </w:r>
      <w:r w:rsidRPr="00AC35CE">
        <w:rPr>
          <w:lang w:val="fr-FR"/>
        </w:rPr>
        <w:t>28</w:t>
      </w:r>
      <w:r>
        <w:rPr>
          <w:lang w:val="fr-FR"/>
        </w:rPr>
        <w:t> mai</w:t>
      </w:r>
      <w:r w:rsidRPr="00AC35CE">
        <w:rPr>
          <w:lang w:val="fr-FR"/>
        </w:rPr>
        <w:t xml:space="preserve"> 2019</w:t>
      </w:r>
    </w:p>
    <w:p w14:paraId="37A65C1F" w14:textId="77777777" w:rsidR="00421A10" w:rsidRPr="00F97BE2" w:rsidRDefault="0029791D" w:rsidP="00F97BE2">
      <w:pPr>
        <w:pStyle w:val="H1G"/>
      </w:pPr>
      <w:r>
        <w:tab/>
      </w:r>
      <w:r>
        <w:tab/>
      </w:r>
      <w:r w:rsidR="00F97BE2" w:rsidRPr="00AC35CE">
        <w:rPr>
          <w:lang w:val="fr-FR"/>
        </w:rPr>
        <w:t>Prescriptions uniformes relatives à l</w:t>
      </w:r>
      <w:r w:rsidR="00516089">
        <w:rPr>
          <w:lang w:val="fr-FR"/>
        </w:rPr>
        <w:t>’</w:t>
      </w:r>
      <w:r w:rsidR="00F97BE2" w:rsidRPr="00AC35CE">
        <w:rPr>
          <w:lang w:val="fr-FR"/>
        </w:rPr>
        <w:t>homologation des systèmes</w:t>
      </w:r>
      <w:r w:rsidR="00F97BE2">
        <w:rPr>
          <w:lang w:val="fr-FR"/>
        </w:rPr>
        <w:br/>
      </w:r>
      <w:r w:rsidR="00F97BE2" w:rsidRPr="00AC35CE">
        <w:rPr>
          <w:lang w:val="fr-FR"/>
        </w:rPr>
        <w:t xml:space="preserve">de vision indirecte et des véhicules à moteur en ce qui concerne </w:t>
      </w:r>
      <w:r w:rsidR="00F97BE2">
        <w:rPr>
          <w:lang w:val="fr-FR"/>
        </w:rPr>
        <w:br/>
      </w:r>
      <w:r w:rsidR="00F97BE2" w:rsidRPr="00AC35CE">
        <w:rPr>
          <w:lang w:val="fr-FR"/>
        </w:rPr>
        <w:t>le montage de ces systèmes</w:t>
      </w:r>
    </w:p>
    <w:p w14:paraId="0428F598" w14:textId="77777777" w:rsidR="00516089" w:rsidRDefault="00442E31" w:rsidP="00F97BE2">
      <w:pPr>
        <w:pStyle w:val="SingleTxtG"/>
        <w:ind w:firstLine="567"/>
        <w:rPr>
          <w:spacing w:val="-6"/>
          <w:lang w:val="fr-FR" w:eastAsia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3B0D37" wp14:editId="3E76C6DB">
                <wp:simplePos x="0" y="0"/>
                <wp:positionH relativeFrom="margin">
                  <wp:posOffset>0</wp:posOffset>
                </wp:positionH>
                <wp:positionV relativeFrom="margin">
                  <wp:posOffset>6146138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3A2EC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789E26ED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0080A87" wp14:editId="6F88A126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484137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B0D3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83.9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Bobc/s3wAAAAkBAAAPAAAAAAAAAAAAAAAAAHgEAABkcnMvZG93bnJldi54&#10;bWxQSwUGAAAAAAQABADzAAAAhAUAAAAA&#10;" stroked="f">
                <v:textbox inset="0,0,0,0">
                  <w:txbxContent>
                    <w:p w14:paraId="5953A2EC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789E26ED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0080A87" wp14:editId="6F88A126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484137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97BE2" w:rsidRPr="00912648">
        <w:rPr>
          <w:spacing w:val="-4"/>
          <w:lang w:val="fr-FR" w:eastAsia="en-GB"/>
        </w:rPr>
        <w:t>Le présent document est communiqué uniquement à titre d</w:t>
      </w:r>
      <w:r w:rsidR="00516089">
        <w:rPr>
          <w:spacing w:val="-4"/>
          <w:lang w:val="fr-FR" w:eastAsia="en-GB"/>
        </w:rPr>
        <w:t>’</w:t>
      </w:r>
      <w:r w:rsidR="00F97BE2" w:rsidRPr="00912648">
        <w:rPr>
          <w:spacing w:val="-4"/>
          <w:lang w:val="fr-FR" w:eastAsia="en-GB"/>
        </w:rPr>
        <w:t>information.</w:t>
      </w:r>
      <w:r w:rsidR="00F97BE2" w:rsidRPr="00F65009">
        <w:rPr>
          <w:spacing w:val="-4"/>
          <w:lang w:val="fr-FR" w:eastAsia="en-GB"/>
        </w:rPr>
        <w:t xml:space="preserve"> </w:t>
      </w:r>
      <w:r w:rsidR="00F97BE2" w:rsidRPr="00912648">
        <w:rPr>
          <w:spacing w:val="-4"/>
          <w:lang w:val="fr-FR" w:eastAsia="en-GB"/>
        </w:rPr>
        <w:t>Le texte authentique, juridiquement contraignant, est celui du document</w:t>
      </w:r>
      <w:r w:rsidR="00F97BE2" w:rsidRPr="00D8718E">
        <w:rPr>
          <w:spacing w:val="-4"/>
          <w:lang w:val="fr-FR" w:eastAsia="en-GB"/>
        </w:rPr>
        <w:t xml:space="preserve"> </w:t>
      </w:r>
      <w:r w:rsidR="00F97BE2" w:rsidRPr="00AC35CE">
        <w:rPr>
          <w:spacing w:val="-6"/>
          <w:lang w:val="fr-FR" w:eastAsia="en-GB"/>
        </w:rPr>
        <w:t>ECE/TRANS/WP.29/2018/123.</w:t>
      </w:r>
    </w:p>
    <w:p w14:paraId="32628403" w14:textId="77777777" w:rsidR="00516089" w:rsidRPr="00E2735F" w:rsidRDefault="00516089" w:rsidP="00516089">
      <w:pPr>
        <w:pStyle w:val="SingleTxtG"/>
        <w:rPr>
          <w:rFonts w:eastAsia="Times New Roman"/>
        </w:rPr>
      </w:pPr>
      <w:r>
        <w:rPr>
          <w:lang w:val="fr-FR" w:eastAsia="en-GB"/>
        </w:rPr>
        <w:br w:type="page"/>
      </w:r>
      <w:r w:rsidRPr="00E2735F">
        <w:rPr>
          <w:i/>
        </w:rPr>
        <w:lastRenderedPageBreak/>
        <w:t>P</w:t>
      </w:r>
      <w:r w:rsidRPr="00E2735F">
        <w:rPr>
          <w:rFonts w:eastAsia="Times New Roman"/>
          <w:i/>
          <w:lang w:eastAsia="ar-SA"/>
        </w:rPr>
        <w:t>aragraphe 16.1.1.3</w:t>
      </w:r>
      <w:r w:rsidRPr="00516089">
        <w:rPr>
          <w:rFonts w:eastAsia="Times New Roman"/>
          <w:lang w:eastAsia="ar-SA"/>
        </w:rPr>
        <w:t>,</w:t>
      </w:r>
      <w:r w:rsidRPr="00E2735F">
        <w:rPr>
          <w:rFonts w:eastAsia="Times New Roman"/>
          <w:i/>
          <w:lang w:eastAsia="ar-SA"/>
        </w:rPr>
        <w:t xml:space="preserve"> </w:t>
      </w:r>
      <w:r w:rsidRPr="00E2735F">
        <w:rPr>
          <w:rFonts w:eastAsia="MS Mincho"/>
          <w:iCs/>
        </w:rPr>
        <w:t>lire</w:t>
      </w:r>
      <w:r>
        <w:rPr>
          <w:rFonts w:eastAsia="MS Mincho"/>
          <w:iCs/>
        </w:rPr>
        <w:t> </w:t>
      </w:r>
      <w:r w:rsidRPr="00E2735F">
        <w:rPr>
          <w:rFonts w:eastAsia="Times New Roman"/>
          <w:lang w:eastAsia="ar-SA"/>
        </w:rPr>
        <w:t>:</w:t>
      </w:r>
    </w:p>
    <w:p w14:paraId="086F3EFC" w14:textId="77777777" w:rsidR="00516089" w:rsidRPr="00E2735F" w:rsidRDefault="00516089" w:rsidP="00516089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Times New Roman"/>
        </w:rPr>
      </w:pPr>
      <w:r>
        <w:rPr>
          <w:rFonts w:eastAsia="Times New Roman"/>
        </w:rPr>
        <w:t>« </w:t>
      </w:r>
      <w:r w:rsidRPr="00E2735F">
        <w:rPr>
          <w:rFonts w:eastAsia="Times New Roman"/>
        </w:rPr>
        <w:t>16.1.1.3</w:t>
      </w:r>
      <w:r w:rsidRPr="00E2735F">
        <w:rPr>
          <w:rFonts w:eastAsia="Times New Roman"/>
        </w:rPr>
        <w:tab/>
        <w:t>Prescriptions concernant les surimpressions dans le champ de vision minimal requis</w:t>
      </w:r>
    </w:p>
    <w:p w14:paraId="2ECFFF7F" w14:textId="77777777" w:rsidR="00516089" w:rsidRPr="00E2735F" w:rsidRDefault="00516089" w:rsidP="00516089">
      <w:pPr>
        <w:kinsoku/>
        <w:overflowPunct/>
        <w:autoSpaceDE/>
        <w:autoSpaceDN/>
        <w:adjustRightInd/>
        <w:snapToGrid/>
        <w:spacing w:after="120"/>
        <w:ind w:left="2268" w:right="1134"/>
        <w:jc w:val="both"/>
        <w:rPr>
          <w:rFonts w:eastAsia="Times New Roman"/>
        </w:rPr>
      </w:pPr>
      <w:r w:rsidRPr="00E2735F">
        <w:rPr>
          <w:rFonts w:eastAsia="Times New Roman"/>
        </w:rPr>
        <w:tab/>
        <w:t>Les surimpressions ne doivent afficher que des informations de vision vers l</w:t>
      </w:r>
      <w:r>
        <w:rPr>
          <w:rFonts w:eastAsia="Times New Roman"/>
        </w:rPr>
        <w:t>’</w:t>
      </w:r>
      <w:r w:rsidRPr="00E2735F">
        <w:rPr>
          <w:rFonts w:eastAsia="Times New Roman"/>
        </w:rPr>
        <w:t>arrière relatives à la sécurité.</w:t>
      </w:r>
    </w:p>
    <w:p w14:paraId="7C897C95" w14:textId="77777777" w:rsidR="00516089" w:rsidRPr="00E2735F" w:rsidRDefault="00516089" w:rsidP="00516089">
      <w:pPr>
        <w:kinsoku/>
        <w:overflowPunct/>
        <w:autoSpaceDE/>
        <w:autoSpaceDN/>
        <w:adjustRightInd/>
        <w:snapToGrid/>
        <w:spacing w:after="120"/>
        <w:ind w:left="2268" w:right="1134"/>
        <w:jc w:val="both"/>
        <w:rPr>
          <w:rFonts w:eastAsia="Times New Roman"/>
        </w:rPr>
      </w:pPr>
      <w:r w:rsidRPr="00E2735F">
        <w:rPr>
          <w:rFonts w:eastAsia="Times New Roman"/>
        </w:rPr>
        <w:tab/>
        <w:t>Toutes les surimpressions</w:t>
      </w:r>
      <w:r>
        <w:rPr>
          <w:rFonts w:eastAsia="Times New Roman"/>
        </w:rPr>
        <w:t xml:space="preserve"> doivent … la moins favorable. </w:t>
      </w:r>
      <w:r w:rsidRPr="00E2735F">
        <w:rPr>
          <w:rFonts w:eastAsia="Times New Roman"/>
        </w:rPr>
        <w:t>»</w:t>
      </w:r>
      <w:r>
        <w:rPr>
          <w:rFonts w:eastAsia="Times New Roman"/>
        </w:rPr>
        <w:t>.</w:t>
      </w:r>
    </w:p>
    <w:p w14:paraId="417D4AFA" w14:textId="77777777" w:rsidR="00516089" w:rsidRPr="00516089" w:rsidRDefault="00516089" w:rsidP="00516089">
      <w:pPr>
        <w:pStyle w:val="SingleTxtG"/>
      </w:pPr>
      <w:r w:rsidRPr="00E2735F">
        <w:rPr>
          <w:i/>
        </w:rPr>
        <w:t>Annexe 3</w:t>
      </w:r>
    </w:p>
    <w:p w14:paraId="7EB2338E" w14:textId="77777777" w:rsidR="00516089" w:rsidRPr="00E2735F" w:rsidRDefault="00516089" w:rsidP="00516089">
      <w:pPr>
        <w:pStyle w:val="SingleTxtG"/>
        <w:rPr>
          <w:i/>
        </w:rPr>
      </w:pPr>
      <w:r>
        <w:rPr>
          <w:i/>
        </w:rPr>
        <w:t>P</w:t>
      </w:r>
      <w:r w:rsidRPr="00E2735F">
        <w:rPr>
          <w:i/>
        </w:rPr>
        <w:t>oint 9</w:t>
      </w:r>
      <w:r w:rsidRPr="00E2735F">
        <w:t xml:space="preserve">, </w:t>
      </w:r>
      <w:r>
        <w:t>lire</w:t>
      </w:r>
      <w:r w:rsidRPr="00E2735F">
        <w:t xml:space="preserve"> (remplacer la lettre</w:t>
      </w:r>
      <w:r>
        <w:t xml:space="preserve"> « </w:t>
      </w:r>
      <w:r w:rsidRPr="00E2735F">
        <w:t>S</w:t>
      </w:r>
      <w:r>
        <w:t> » par la classe « </w:t>
      </w:r>
      <w:r w:rsidRPr="00E2735F">
        <w:t>VII</w:t>
      </w:r>
      <w:r>
        <w:t> </w:t>
      </w:r>
      <w:r w:rsidRPr="00E2735F">
        <w:t>» et conserver le renvoi à la note</w:t>
      </w:r>
      <w:r w:rsidRPr="00E2735F">
        <w:rPr>
          <w:sz w:val="18"/>
          <w:szCs w:val="18"/>
          <w:vertAlign w:val="superscript"/>
        </w:rPr>
        <w:t>2</w:t>
      </w:r>
      <w:r w:rsidRPr="00E2735F">
        <w:t>)</w:t>
      </w:r>
      <w:r>
        <w:t> </w:t>
      </w:r>
      <w:r w:rsidRPr="00E2735F">
        <w:t>:</w:t>
      </w:r>
    </w:p>
    <w:p w14:paraId="1570CD84" w14:textId="77777777" w:rsidR="00516089" w:rsidRPr="00E2735F" w:rsidRDefault="00516089" w:rsidP="002E2E27">
      <w:pPr>
        <w:pStyle w:val="SingleTxtG"/>
        <w:ind w:left="2268" w:hanging="1134"/>
      </w:pPr>
      <w:r>
        <w:t>« </w:t>
      </w:r>
      <w:r w:rsidRPr="00E2735F">
        <w:t>9.</w:t>
      </w:r>
      <w:r w:rsidRPr="00E2735F">
        <w:tab/>
        <w:t>Description sommaire</w:t>
      </w:r>
    </w:p>
    <w:p w14:paraId="23890F68" w14:textId="77777777" w:rsidR="00516089" w:rsidRPr="00E2735F" w:rsidRDefault="00516089" w:rsidP="002E2E27">
      <w:pPr>
        <w:kinsoku/>
        <w:overflowPunct/>
        <w:autoSpaceDE/>
        <w:autoSpaceDN/>
        <w:adjustRightInd/>
        <w:snapToGrid/>
        <w:spacing w:after="120"/>
        <w:ind w:left="2268" w:right="1134"/>
        <w:jc w:val="both"/>
      </w:pPr>
      <w:r w:rsidRPr="00E2735F">
        <w:tab/>
        <w:t>Identification du système : rétroviseur, système à caméra et moniteur, autre système de vision indirecte de la classe I, II, III, IV, V, VI, VII</w:t>
      </w:r>
      <w:r w:rsidRPr="00E2735F">
        <w:rPr>
          <w:sz w:val="18"/>
          <w:szCs w:val="18"/>
          <w:vertAlign w:val="superscript"/>
        </w:rPr>
        <w:t>2</w:t>
      </w:r>
    </w:p>
    <w:p w14:paraId="5C20C313" w14:textId="77777777" w:rsidR="005F0207" w:rsidRDefault="00516089" w:rsidP="002E2E27">
      <w:pPr>
        <w:kinsoku/>
        <w:overflowPunct/>
        <w:autoSpaceDE/>
        <w:autoSpaceDN/>
        <w:adjustRightInd/>
        <w:snapToGrid/>
        <w:spacing w:after="120"/>
        <w:ind w:left="2268" w:right="1134"/>
        <w:jc w:val="both"/>
        <w:rPr>
          <w:lang w:val="en-CA"/>
        </w:rPr>
      </w:pPr>
      <w:r w:rsidRPr="00247ADF">
        <w:tab/>
      </w:r>
      <w:r w:rsidRPr="00E2735F">
        <w:rPr>
          <w:lang w:val="en-CA"/>
        </w:rPr>
        <w:t>Symbole…</w:t>
      </w:r>
      <w:r>
        <w:rPr>
          <w:lang w:val="en-CA"/>
        </w:rPr>
        <w:t> </w:t>
      </w:r>
      <w:r w:rsidRPr="00E2735F">
        <w:rPr>
          <w:lang w:val="en-CA"/>
        </w:rPr>
        <w:t>».</w:t>
      </w:r>
    </w:p>
    <w:p w14:paraId="6FE895E1" w14:textId="77777777" w:rsidR="00516089" w:rsidRPr="002E2E27" w:rsidRDefault="002E2E27" w:rsidP="002E2E2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16089" w:rsidRPr="002E2E27" w:rsidSect="004C4CF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B45DC" w14:textId="77777777" w:rsidR="00EC49A8" w:rsidRDefault="00EC49A8"/>
  </w:endnote>
  <w:endnote w:type="continuationSeparator" w:id="0">
    <w:p w14:paraId="7173BFFC" w14:textId="77777777" w:rsidR="00EC49A8" w:rsidRDefault="00EC49A8">
      <w:pPr>
        <w:pStyle w:val="Footer"/>
      </w:pPr>
    </w:p>
  </w:endnote>
  <w:endnote w:type="continuationNotice" w:id="1">
    <w:p w14:paraId="0A00F882" w14:textId="77777777" w:rsidR="00EC49A8" w:rsidRPr="00C451B9" w:rsidRDefault="00EC49A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D15C6" w14:textId="77777777" w:rsidR="004C4CFB" w:rsidRPr="004C4CFB" w:rsidRDefault="004C4CFB" w:rsidP="004C4CFB">
    <w:pPr>
      <w:pStyle w:val="Footer"/>
      <w:tabs>
        <w:tab w:val="right" w:pos="9638"/>
      </w:tabs>
    </w:pPr>
    <w:r w:rsidRPr="004C4CFB">
      <w:rPr>
        <w:b/>
        <w:sz w:val="18"/>
      </w:rPr>
      <w:fldChar w:fldCharType="begin"/>
    </w:r>
    <w:r w:rsidRPr="004C4CFB">
      <w:rPr>
        <w:b/>
        <w:sz w:val="18"/>
      </w:rPr>
      <w:instrText xml:space="preserve"> PAGE  \* MERGEFORMAT </w:instrText>
    </w:r>
    <w:r w:rsidRPr="004C4CFB">
      <w:rPr>
        <w:b/>
        <w:sz w:val="18"/>
      </w:rPr>
      <w:fldChar w:fldCharType="separate"/>
    </w:r>
    <w:r w:rsidRPr="004C4CFB">
      <w:rPr>
        <w:b/>
        <w:noProof/>
        <w:sz w:val="18"/>
      </w:rPr>
      <w:t>2</w:t>
    </w:r>
    <w:r w:rsidRPr="004C4CFB">
      <w:rPr>
        <w:b/>
        <w:sz w:val="18"/>
      </w:rPr>
      <w:fldChar w:fldCharType="end"/>
    </w:r>
    <w:r>
      <w:rPr>
        <w:b/>
        <w:sz w:val="18"/>
      </w:rPr>
      <w:tab/>
    </w:r>
    <w:r>
      <w:t>GE.19-10437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819CC" w14:textId="77777777" w:rsidR="004C4CFB" w:rsidRPr="004C4CFB" w:rsidRDefault="004C4CFB" w:rsidP="004C4CFB">
    <w:pPr>
      <w:pStyle w:val="Footer"/>
      <w:tabs>
        <w:tab w:val="right" w:pos="9638"/>
      </w:tabs>
      <w:rPr>
        <w:b/>
        <w:sz w:val="18"/>
      </w:rPr>
    </w:pPr>
    <w:r>
      <w:t>GE.19-10437</w:t>
    </w:r>
    <w:r>
      <w:tab/>
    </w:r>
    <w:r w:rsidRPr="004C4CFB">
      <w:rPr>
        <w:b/>
        <w:sz w:val="18"/>
      </w:rPr>
      <w:fldChar w:fldCharType="begin"/>
    </w:r>
    <w:r w:rsidRPr="004C4CFB">
      <w:rPr>
        <w:b/>
        <w:sz w:val="18"/>
      </w:rPr>
      <w:instrText xml:space="preserve"> PAGE  \* MERGEFORMAT </w:instrText>
    </w:r>
    <w:r w:rsidRPr="004C4CFB">
      <w:rPr>
        <w:b/>
        <w:sz w:val="18"/>
      </w:rPr>
      <w:fldChar w:fldCharType="separate"/>
    </w:r>
    <w:r w:rsidRPr="004C4CFB">
      <w:rPr>
        <w:b/>
        <w:noProof/>
        <w:sz w:val="18"/>
      </w:rPr>
      <w:t>3</w:t>
    </w:r>
    <w:r w:rsidRPr="004C4CF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E155D" w14:textId="77777777" w:rsidR="00467F2C" w:rsidRPr="004C4CFB" w:rsidRDefault="004C4CFB" w:rsidP="004C4CFB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7796B701" wp14:editId="6BF7A86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19-10437  (F)    130120    140120</w:t>
    </w:r>
    <w:r>
      <w:rPr>
        <w:sz w:val="20"/>
      </w:rPr>
      <w:br/>
    </w:r>
    <w:r w:rsidRPr="004C4CFB">
      <w:rPr>
        <w:rFonts w:ascii="C39T30Lfz" w:hAnsi="C39T30Lfz"/>
        <w:sz w:val="56"/>
      </w:rPr>
      <w:t></w:t>
    </w:r>
    <w:r w:rsidRPr="004C4CFB">
      <w:rPr>
        <w:rFonts w:ascii="C39T30Lfz" w:hAnsi="C39T30Lfz"/>
        <w:sz w:val="56"/>
      </w:rPr>
      <w:t></w:t>
    </w:r>
    <w:r w:rsidRPr="004C4CFB">
      <w:rPr>
        <w:rFonts w:ascii="C39T30Lfz" w:hAnsi="C39T30Lfz"/>
        <w:sz w:val="56"/>
      </w:rPr>
      <w:t></w:t>
    </w:r>
    <w:r w:rsidRPr="004C4CFB">
      <w:rPr>
        <w:rFonts w:ascii="C39T30Lfz" w:hAnsi="C39T30Lfz"/>
        <w:sz w:val="56"/>
      </w:rPr>
      <w:t></w:t>
    </w:r>
    <w:r w:rsidRPr="004C4CFB">
      <w:rPr>
        <w:rFonts w:ascii="C39T30Lfz" w:hAnsi="C39T30Lfz"/>
        <w:sz w:val="56"/>
      </w:rPr>
      <w:t></w:t>
    </w:r>
    <w:r w:rsidRPr="004C4CFB">
      <w:rPr>
        <w:rFonts w:ascii="C39T30Lfz" w:hAnsi="C39T30Lfz"/>
        <w:sz w:val="56"/>
      </w:rPr>
      <w:t></w:t>
    </w:r>
    <w:r w:rsidRPr="004C4CFB">
      <w:rPr>
        <w:rFonts w:ascii="C39T30Lfz" w:hAnsi="C39T30Lfz"/>
        <w:sz w:val="56"/>
      </w:rPr>
      <w:t></w:t>
    </w:r>
    <w:r w:rsidRPr="004C4CFB">
      <w:rPr>
        <w:rFonts w:ascii="C39T30Lfz" w:hAnsi="C39T30Lfz"/>
        <w:sz w:val="56"/>
      </w:rPr>
      <w:t></w:t>
    </w:r>
    <w:r w:rsidRPr="004C4CFB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0292A47" wp14:editId="3647BB9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45/Rev.6/Amend.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5/Rev.6/Amend.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78B29" w14:textId="77777777" w:rsidR="00EC49A8" w:rsidRPr="00D27D5E" w:rsidRDefault="00EC49A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13B4BC" w14:textId="77777777" w:rsidR="00EC49A8" w:rsidRPr="00D171D4" w:rsidRDefault="00EC49A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1650BCDD" w14:textId="77777777" w:rsidR="00EC49A8" w:rsidRPr="00C451B9" w:rsidRDefault="00EC49A8" w:rsidP="00C451B9">
      <w:pPr>
        <w:spacing w:line="240" w:lineRule="auto"/>
        <w:rPr>
          <w:sz w:val="2"/>
          <w:szCs w:val="2"/>
        </w:rPr>
      </w:pPr>
    </w:p>
  </w:footnote>
  <w:footnote w:id="2">
    <w:p w14:paraId="78F44281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4DA846F9" w14:textId="77777777" w:rsidR="00591072" w:rsidRPr="00591072" w:rsidRDefault="00591072" w:rsidP="00591072">
      <w:pPr>
        <w:pStyle w:val="FootnoteText"/>
      </w:pPr>
      <w:r w:rsidRPr="004C4CFB">
        <w:tab/>
      </w:r>
      <w:r w:rsidRPr="004C4CFB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4BB79EE4" w14:textId="77777777" w:rsidR="00442E31" w:rsidRPr="00442E31" w:rsidRDefault="00591072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148C2" w14:textId="4BD5083F" w:rsidR="004C4CFB" w:rsidRPr="004C4CFB" w:rsidRDefault="004C4CFB">
    <w:pPr>
      <w:pStyle w:val="Header"/>
      <w:rPr>
        <w:lang w:val="en-GB"/>
      </w:rPr>
    </w:pPr>
    <w:r>
      <w:fldChar w:fldCharType="begin"/>
    </w:r>
    <w:r w:rsidRPr="004C4CFB">
      <w:rPr>
        <w:lang w:val="en-GB"/>
      </w:rPr>
      <w:instrText xml:space="preserve"> TITLE  \* MERGEFORMAT </w:instrText>
    </w:r>
    <w:r>
      <w:fldChar w:fldCharType="separate"/>
    </w:r>
    <w:r w:rsidR="000A6A8B">
      <w:rPr>
        <w:lang w:val="en-GB"/>
      </w:rPr>
      <w:t>E/ECE/324/Rev.1/Add.45/Rev.6/Amend.4</w:t>
    </w:r>
    <w:r>
      <w:fldChar w:fldCharType="end"/>
    </w:r>
    <w:r w:rsidRPr="004C4CFB">
      <w:rPr>
        <w:lang w:val="en-GB"/>
      </w:rPr>
      <w:br/>
    </w:r>
    <w:r>
      <w:fldChar w:fldCharType="begin"/>
    </w:r>
    <w:r w:rsidRPr="004C4CFB">
      <w:rPr>
        <w:lang w:val="en-GB"/>
      </w:rPr>
      <w:instrText xml:space="preserve"> KEYWORDS  \* MERGEFORMAT </w:instrText>
    </w:r>
    <w:r>
      <w:fldChar w:fldCharType="separate"/>
    </w:r>
    <w:r w:rsidR="000A6A8B">
      <w:rPr>
        <w:lang w:val="en-GB"/>
      </w:rPr>
      <w:t>E/ECE/TRANS/505/Rev.1/Add.45/Rev.6/Amend.4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A86DC" w14:textId="3A874A02" w:rsidR="004C4CFB" w:rsidRPr="004C4CFB" w:rsidRDefault="004C4CFB" w:rsidP="004C4CFB">
    <w:pPr>
      <w:pStyle w:val="Header"/>
      <w:jc w:val="right"/>
      <w:rPr>
        <w:lang w:val="en-GB"/>
      </w:rPr>
    </w:pPr>
    <w:r>
      <w:fldChar w:fldCharType="begin"/>
    </w:r>
    <w:r w:rsidRPr="004C4CFB">
      <w:rPr>
        <w:lang w:val="en-GB"/>
      </w:rPr>
      <w:instrText xml:space="preserve"> TITLE  \* MERGEFORMAT </w:instrText>
    </w:r>
    <w:r>
      <w:fldChar w:fldCharType="separate"/>
    </w:r>
    <w:r w:rsidR="000A6A8B">
      <w:rPr>
        <w:lang w:val="en-GB"/>
      </w:rPr>
      <w:t>E/ECE/324/Rev.1/Add.45/Rev.6/Amend.4</w:t>
    </w:r>
    <w:r>
      <w:fldChar w:fldCharType="end"/>
    </w:r>
    <w:r w:rsidRPr="004C4CFB">
      <w:rPr>
        <w:lang w:val="en-GB"/>
      </w:rPr>
      <w:br/>
    </w:r>
    <w:r>
      <w:fldChar w:fldCharType="begin"/>
    </w:r>
    <w:r w:rsidRPr="004C4CFB">
      <w:rPr>
        <w:lang w:val="en-GB"/>
      </w:rPr>
      <w:instrText xml:space="preserve"> KEYWORDS  \* MERGEFORMAT </w:instrText>
    </w:r>
    <w:r>
      <w:fldChar w:fldCharType="separate"/>
    </w:r>
    <w:r w:rsidR="000A6A8B">
      <w:rPr>
        <w:lang w:val="en-GB"/>
      </w:rPr>
      <w:t>E/ECE/TRANS/505/Rev.1/Add.45/Rev.6/Amend.4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A8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A8B"/>
    <w:rsid w:val="000A6B7E"/>
    <w:rsid w:val="000B20D3"/>
    <w:rsid w:val="000C6CDB"/>
    <w:rsid w:val="000D5C25"/>
    <w:rsid w:val="000E3327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B26F1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C04EB"/>
    <w:rsid w:val="002D25CA"/>
    <w:rsid w:val="002D3DA4"/>
    <w:rsid w:val="002E2E27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B61E6"/>
    <w:rsid w:val="004C4CFB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6089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82D14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3AAC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C49A8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475B6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97BE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E71D4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79B3347"/>
  <w15:docId w15:val="{8747346B-89D2-455D-BD42-3F511019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,PP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,PP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E/ECE/324/Rev.1/Add.45/Rev.6/Amend.4</vt:lpstr>
      <vt:lpstr>E/ECE/324/Rev.1/Add.45/Rev.6/Amend.4</vt:lpstr>
    </vt:vector>
  </TitlesOfParts>
  <Company>CSD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E/ECE/324/Rev.1/Add.45/Rev.6/Amend.4</dc:title>
  <dc:creator>Corinne ROBERT</dc:creator>
  <cp:keywords>E/ECE/TRANS/505/Rev.1/Add.45/Rev.6/Amend.4</cp:keywords>
  <cp:lastModifiedBy>Secretariat</cp:lastModifiedBy>
  <cp:revision>2</cp:revision>
  <cp:lastPrinted>2020-01-14T14:02:00Z</cp:lastPrinted>
  <dcterms:created xsi:type="dcterms:W3CDTF">2020-07-03T07:46:00Z</dcterms:created>
  <dcterms:modified xsi:type="dcterms:W3CDTF">2020-07-03T07:46:00Z</dcterms:modified>
</cp:coreProperties>
</file>