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CF59BD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9BD" w:rsidRPr="00CF59BD" w:rsidRDefault="00CF59BD" w:rsidP="00CF59BD">
            <w:pPr>
              <w:jc w:val="right"/>
              <w:rPr>
                <w:lang w:val="en-US"/>
              </w:rPr>
            </w:pPr>
            <w:r w:rsidRPr="00CF59BD">
              <w:rPr>
                <w:sz w:val="40"/>
                <w:lang w:val="en-US"/>
              </w:rPr>
              <w:t>E</w:t>
            </w:r>
            <w:r w:rsidRPr="00CF59BD">
              <w:rPr>
                <w:lang w:val="en-US"/>
              </w:rPr>
              <w:t>/ECE/324/Rev.1/Add.23/Rev.2/Amend.4−</w:t>
            </w:r>
            <w:r w:rsidRPr="00CF59BD">
              <w:rPr>
                <w:sz w:val="40"/>
                <w:lang w:val="en-US"/>
              </w:rPr>
              <w:t>E</w:t>
            </w:r>
            <w:r w:rsidRPr="00CF59BD">
              <w:rPr>
                <w:lang w:val="en-US"/>
              </w:rPr>
              <w:t>/ECE/TRANS/505/Rev.1/Add.23/Rev.2/Amend.4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CF59BD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CF59BD" w:rsidP="00A27C92">
            <w:pPr>
              <w:spacing w:before="480" w:line="240" w:lineRule="exact"/>
            </w:pPr>
            <w:r>
              <w:t>24 juin 2019</w:t>
            </w:r>
          </w:p>
        </w:tc>
      </w:tr>
    </w:tbl>
    <w:p w:rsidR="00421A10" w:rsidRPr="006549FF" w:rsidRDefault="0029791D" w:rsidP="00A45F57">
      <w:pPr>
        <w:pStyle w:val="HChG"/>
        <w:spacing w:before="240" w:after="0"/>
      </w:pPr>
      <w:r>
        <w:tab/>
      </w:r>
      <w:r>
        <w:tab/>
      </w:r>
      <w:r w:rsidR="00421A10" w:rsidRPr="006549FF">
        <w:t>Accord</w:t>
      </w:r>
    </w:p>
    <w:p w:rsidR="00813AA0" w:rsidRDefault="0029791D" w:rsidP="00A45F57">
      <w:pPr>
        <w:pStyle w:val="H1G"/>
        <w:spacing w:before="240" w:after="160"/>
      </w:pPr>
      <w:r>
        <w:tab/>
      </w:r>
      <w:r>
        <w:tab/>
      </w:r>
      <w:r w:rsidR="00CF59BD" w:rsidRPr="00CD7918">
        <w:t>Concernant l</w:t>
      </w:r>
      <w:r w:rsidR="00CF59BD">
        <w:rPr>
          <w:b w:val="0"/>
        </w:rPr>
        <w:t>’</w:t>
      </w:r>
      <w:r w:rsidR="00CF59BD" w:rsidRPr="00CD7918">
        <w:t>adoption de Règlements techniques harmonisés de l</w:t>
      </w:r>
      <w:r w:rsidR="00CF59BD">
        <w:rPr>
          <w:b w:val="0"/>
        </w:rPr>
        <w:t>’</w:t>
      </w:r>
      <w:r w:rsidR="00CF59BD" w:rsidRPr="00CD7918">
        <w:t>ONU applicables aux véhicules à roues et aux équipements et pièces susceptibles d</w:t>
      </w:r>
      <w:r w:rsidR="00CF59BD">
        <w:rPr>
          <w:b w:val="0"/>
        </w:rPr>
        <w:t>’</w:t>
      </w:r>
      <w:r w:rsidR="00CF59BD" w:rsidRPr="00CD7918">
        <w:t xml:space="preserve">être montés ou utilisés sur les véhicules à roues </w:t>
      </w:r>
      <w:r w:rsidR="00813AA0">
        <w:br/>
      </w:r>
      <w:r w:rsidR="00CF59BD" w:rsidRPr="00CD7918">
        <w:t>et les conditions de reconnaissance réciproque des homologations délivrées conformément à ces Règlements</w:t>
      </w:r>
      <w:r w:rsidR="004E2790">
        <w:t xml:space="preserve"> ONU</w:t>
      </w:r>
      <w:r w:rsidR="00CF59BD" w:rsidRPr="00813AA0">
        <w:rPr>
          <w:b w:val="0"/>
          <w:bCs/>
          <w:sz w:val="20"/>
        </w:rPr>
        <w:footnoteReference w:customMarkFollows="1" w:id="2"/>
        <w:t>*</w:t>
      </w:r>
      <w:r w:rsidR="00CF59BD" w:rsidRPr="006549FF">
        <w:t xml:space="preserve"> </w:t>
      </w:r>
    </w:p>
    <w:p w:rsidR="00421A10" w:rsidRPr="00A12483" w:rsidRDefault="00813AA0" w:rsidP="004C6610">
      <w:pPr>
        <w:pStyle w:val="SingleTxtG"/>
        <w:spacing w:after="80"/>
        <w:rPr>
          <w:b/>
          <w:sz w:val="24"/>
          <w:szCs w:val="24"/>
        </w:rPr>
      </w:pPr>
      <w:r w:rsidRPr="00CD7918">
        <w:t>(Révision 3, comprenant les amendements entrés en vigueur le 14 septembre 2017)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4C6610">
      <w:pPr>
        <w:pStyle w:val="HChG"/>
        <w:spacing w:before="300"/>
      </w:pPr>
      <w:r>
        <w:tab/>
      </w:r>
      <w:r>
        <w:tab/>
      </w:r>
      <w:r w:rsidR="009D759C" w:rsidRPr="00CD7918">
        <w:rPr>
          <w:szCs w:val="24"/>
        </w:rPr>
        <w:t xml:space="preserve">Additif 23 </w:t>
      </w:r>
      <w:r w:rsidR="009D759C">
        <w:rPr>
          <w:szCs w:val="24"/>
        </w:rPr>
        <w:t>−</w:t>
      </w:r>
      <w:r w:rsidR="009D759C" w:rsidRPr="00CD7918">
        <w:rPr>
          <w:szCs w:val="24"/>
        </w:rPr>
        <w:t xml:space="preserve"> Règlement ONU n</w:t>
      </w:r>
      <w:r w:rsidR="009D759C" w:rsidRPr="00CD7918">
        <w:rPr>
          <w:szCs w:val="24"/>
          <w:vertAlign w:val="superscript"/>
        </w:rPr>
        <w:t>o</w:t>
      </w:r>
      <w:r w:rsidR="00790069">
        <w:rPr>
          <w:szCs w:val="24"/>
        </w:rPr>
        <w:t> </w:t>
      </w:r>
      <w:r w:rsidR="009D759C" w:rsidRPr="00CD7918">
        <w:rPr>
          <w:szCs w:val="24"/>
        </w:rPr>
        <w:t>24</w:t>
      </w:r>
    </w:p>
    <w:p w:rsidR="00421A10" w:rsidRPr="006549FF" w:rsidRDefault="0029791D" w:rsidP="00701443">
      <w:pPr>
        <w:pStyle w:val="H1G"/>
        <w:spacing w:before="240" w:after="200"/>
      </w:pPr>
      <w:r>
        <w:tab/>
      </w:r>
      <w:r>
        <w:tab/>
      </w:r>
      <w:r w:rsidR="00421A10" w:rsidRPr="006549FF">
        <w:t xml:space="preserve">Révision </w:t>
      </w:r>
      <w:r w:rsidR="00790069">
        <w:t>2 − Amendement 4</w:t>
      </w:r>
    </w:p>
    <w:p w:rsidR="00421A10" w:rsidRPr="0029791D" w:rsidRDefault="00790069" w:rsidP="0029791D">
      <w:pPr>
        <w:pStyle w:val="SingleTxtG"/>
      </w:pPr>
      <w:r w:rsidRPr="00CD7918">
        <w:rPr>
          <w:spacing w:val="-2"/>
          <w:szCs w:val="24"/>
        </w:rPr>
        <w:t>Complément 4 à la série 03 d</w:t>
      </w:r>
      <w:r>
        <w:rPr>
          <w:spacing w:val="-2"/>
          <w:szCs w:val="24"/>
        </w:rPr>
        <w:t>’</w:t>
      </w:r>
      <w:r w:rsidRPr="00CD7918">
        <w:rPr>
          <w:spacing w:val="-2"/>
          <w:szCs w:val="24"/>
        </w:rPr>
        <w:t xml:space="preserve">amendements </w:t>
      </w:r>
      <w:r>
        <w:rPr>
          <w:spacing w:val="-2"/>
          <w:szCs w:val="24"/>
        </w:rPr>
        <w:t>−</w:t>
      </w:r>
      <w:r w:rsidRPr="00CD7918">
        <w:rPr>
          <w:spacing w:val="-2"/>
          <w:szCs w:val="24"/>
        </w:rPr>
        <w:t xml:space="preserve"> Date d</w:t>
      </w:r>
      <w:r>
        <w:rPr>
          <w:spacing w:val="-2"/>
          <w:szCs w:val="24"/>
        </w:rPr>
        <w:t>’</w:t>
      </w:r>
      <w:r w:rsidRPr="00CD7918">
        <w:rPr>
          <w:spacing w:val="-2"/>
          <w:szCs w:val="24"/>
        </w:rPr>
        <w:t>en</w:t>
      </w:r>
      <w:r>
        <w:rPr>
          <w:spacing w:val="-2"/>
          <w:szCs w:val="24"/>
        </w:rPr>
        <w:t>trée en vigueur</w:t>
      </w:r>
      <w:r>
        <w:rPr>
          <w:spacing w:val="-2"/>
          <w:szCs w:val="24"/>
        </w:rPr>
        <w:t> </w:t>
      </w:r>
      <w:r w:rsidRPr="00CD7918">
        <w:rPr>
          <w:spacing w:val="-2"/>
          <w:szCs w:val="24"/>
        </w:rPr>
        <w:t xml:space="preserve">: </w:t>
      </w:r>
      <w:r w:rsidRPr="00CD7918">
        <w:rPr>
          <w:szCs w:val="24"/>
        </w:rPr>
        <w:t xml:space="preserve">28 </w:t>
      </w:r>
      <w:r>
        <w:rPr>
          <w:szCs w:val="24"/>
        </w:rPr>
        <w:t>mai</w:t>
      </w:r>
      <w:r w:rsidRPr="00CD7918">
        <w:rPr>
          <w:szCs w:val="24"/>
        </w:rPr>
        <w:t xml:space="preserve"> 2019</w:t>
      </w:r>
    </w:p>
    <w:p w:rsidR="00421A10" w:rsidRDefault="0029791D" w:rsidP="00701443">
      <w:pPr>
        <w:pStyle w:val="H1G"/>
        <w:spacing w:before="240" w:after="120"/>
      </w:pPr>
      <w:r>
        <w:tab/>
      </w:r>
      <w:r>
        <w:tab/>
      </w:r>
      <w:r w:rsidR="00421A10" w:rsidRPr="007619D3">
        <w:t xml:space="preserve">Prescriptions uniformes relatives </w:t>
      </w:r>
      <w:proofErr w:type="spellStart"/>
      <w:r w:rsidR="00790069">
        <w:t>à</w:t>
      </w:r>
      <w:proofErr w:type="spellEnd"/>
      <w:r w:rsidR="00790069">
        <w:t> :</w:t>
      </w:r>
    </w:p>
    <w:p w:rsidR="00790069" w:rsidRPr="00453791" w:rsidRDefault="00790069" w:rsidP="00C21D16">
      <w:pPr>
        <w:pStyle w:val="H1G"/>
        <w:spacing w:before="0" w:after="60" w:line="240" w:lineRule="exact"/>
        <w:ind w:left="1701" w:hanging="567"/>
        <w:rPr>
          <w:szCs w:val="24"/>
        </w:rPr>
      </w:pPr>
      <w:r w:rsidRPr="00453791">
        <w:rPr>
          <w:szCs w:val="24"/>
        </w:rPr>
        <w:t>I.</w:t>
      </w:r>
      <w:r w:rsidRPr="00453791">
        <w:rPr>
          <w:szCs w:val="24"/>
        </w:rPr>
        <w:tab/>
      </w:r>
      <w:r w:rsidR="004C6610">
        <w:rPr>
          <w:szCs w:val="24"/>
        </w:rPr>
        <w:t>L</w:t>
      </w:r>
      <w:r>
        <w:rPr>
          <w:szCs w:val="24"/>
        </w:rPr>
        <w:t>’</w:t>
      </w:r>
      <w:r w:rsidRPr="00453791">
        <w:rPr>
          <w:szCs w:val="24"/>
        </w:rPr>
        <w:t>homologation des moteurs à allumage par compression (APC) en ce qui concerne les émissions de polluants visibles</w:t>
      </w:r>
    </w:p>
    <w:p w:rsidR="00790069" w:rsidRPr="00453791" w:rsidRDefault="00790069" w:rsidP="00C21D16">
      <w:pPr>
        <w:pStyle w:val="H1G"/>
        <w:spacing w:before="0" w:after="60" w:line="240" w:lineRule="exact"/>
        <w:ind w:left="1701" w:hanging="567"/>
        <w:rPr>
          <w:szCs w:val="24"/>
        </w:rPr>
      </w:pPr>
      <w:r w:rsidRPr="00453791">
        <w:rPr>
          <w:szCs w:val="24"/>
        </w:rPr>
        <w:t>II.</w:t>
      </w:r>
      <w:r w:rsidRPr="00453791">
        <w:rPr>
          <w:szCs w:val="24"/>
        </w:rPr>
        <w:tab/>
      </w:r>
      <w:r w:rsidR="004C6610">
        <w:rPr>
          <w:szCs w:val="24"/>
        </w:rPr>
        <w:t>L</w:t>
      </w:r>
      <w:r>
        <w:rPr>
          <w:szCs w:val="24"/>
        </w:rPr>
        <w:t>’</w:t>
      </w:r>
      <w:r w:rsidRPr="00453791">
        <w:rPr>
          <w:szCs w:val="24"/>
        </w:rPr>
        <w:t>homologation des véhicules automobiles en ce qui concerne l</w:t>
      </w:r>
      <w:r>
        <w:rPr>
          <w:szCs w:val="24"/>
        </w:rPr>
        <w:t>’</w:t>
      </w:r>
      <w:r w:rsidRPr="00453791">
        <w:rPr>
          <w:szCs w:val="24"/>
        </w:rPr>
        <w:t>installation d</w:t>
      </w:r>
      <w:r>
        <w:rPr>
          <w:szCs w:val="24"/>
        </w:rPr>
        <w:t>’</w:t>
      </w:r>
      <w:r w:rsidRPr="00453791">
        <w:rPr>
          <w:szCs w:val="24"/>
        </w:rPr>
        <w:t>un moteur APC d</w:t>
      </w:r>
      <w:r>
        <w:rPr>
          <w:szCs w:val="24"/>
        </w:rPr>
        <w:t>’</w:t>
      </w:r>
      <w:r w:rsidRPr="00453791">
        <w:rPr>
          <w:szCs w:val="24"/>
        </w:rPr>
        <w:t>un type homologué</w:t>
      </w:r>
    </w:p>
    <w:p w:rsidR="004B5B53" w:rsidRDefault="00790069" w:rsidP="00C21D16">
      <w:pPr>
        <w:pStyle w:val="H1G"/>
        <w:spacing w:before="0" w:after="60" w:line="240" w:lineRule="exact"/>
        <w:ind w:left="1701" w:hanging="567"/>
        <w:rPr>
          <w:szCs w:val="24"/>
        </w:rPr>
      </w:pPr>
      <w:r w:rsidRPr="00453791">
        <w:rPr>
          <w:szCs w:val="24"/>
        </w:rPr>
        <w:t>III.</w:t>
      </w:r>
      <w:r w:rsidRPr="00453791">
        <w:rPr>
          <w:szCs w:val="24"/>
        </w:rPr>
        <w:tab/>
      </w:r>
      <w:r w:rsidR="004C6610">
        <w:rPr>
          <w:szCs w:val="24"/>
        </w:rPr>
        <w:t>L</w:t>
      </w:r>
      <w:r>
        <w:rPr>
          <w:szCs w:val="24"/>
        </w:rPr>
        <w:t>’</w:t>
      </w:r>
      <w:r w:rsidRPr="00453791">
        <w:rPr>
          <w:szCs w:val="24"/>
        </w:rPr>
        <w:t>homologation des véhicules automobiles équipés d</w:t>
      </w:r>
      <w:r>
        <w:rPr>
          <w:szCs w:val="24"/>
        </w:rPr>
        <w:t>’</w:t>
      </w:r>
      <w:r w:rsidRPr="00453791">
        <w:rPr>
          <w:szCs w:val="24"/>
        </w:rPr>
        <w:t xml:space="preserve">un moteur APC en ce qui concerne les émissions de polluants visibles </w:t>
      </w:r>
      <w:r w:rsidR="004B5B53">
        <w:rPr>
          <w:szCs w:val="24"/>
        </w:rPr>
        <w:br/>
      </w:r>
      <w:r w:rsidRPr="00453791">
        <w:rPr>
          <w:szCs w:val="24"/>
        </w:rPr>
        <w:t>du moteur</w:t>
      </w:r>
    </w:p>
    <w:p w:rsidR="00790069" w:rsidRPr="004B5B53" w:rsidRDefault="00790069" w:rsidP="00C21D16">
      <w:pPr>
        <w:pStyle w:val="H1G"/>
        <w:spacing w:before="0" w:after="60" w:line="240" w:lineRule="exact"/>
        <w:ind w:left="1701" w:hanging="567"/>
        <w:rPr>
          <w:szCs w:val="24"/>
        </w:rPr>
      </w:pPr>
      <w:r w:rsidRPr="00453791">
        <w:rPr>
          <w:szCs w:val="24"/>
        </w:rPr>
        <w:t>IV.</w:t>
      </w:r>
      <w:r w:rsidRPr="00453791">
        <w:rPr>
          <w:szCs w:val="24"/>
        </w:rPr>
        <w:tab/>
      </w:r>
      <w:r w:rsidR="002F7672">
        <w:rPr>
          <w:szCs w:val="24"/>
        </w:rPr>
        <w:t>La</w:t>
      </w:r>
      <w:r w:rsidRPr="00453791">
        <w:rPr>
          <w:szCs w:val="24"/>
        </w:rPr>
        <w:t xml:space="preserve"> mesure de la puissance des moteurs APC</w:t>
      </w:r>
    </w:p>
    <w:p w:rsidR="00057780" w:rsidRDefault="009A492A" w:rsidP="00E573D0">
      <w:pPr>
        <w:pStyle w:val="SingleTxtG"/>
        <w:spacing w:after="80"/>
        <w:rPr>
          <w:spacing w:val="-2"/>
          <w:lang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85F320" wp14:editId="26CCF6CE">
                <wp:simplePos x="0" y="0"/>
                <wp:positionH relativeFrom="margin">
                  <wp:posOffset>-12954</wp:posOffset>
                </wp:positionH>
                <wp:positionV relativeFrom="margin">
                  <wp:posOffset>6512941</wp:posOffset>
                </wp:positionV>
                <wp:extent cx="6119495" cy="1133856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4B5B53">
                            <w:pPr>
                              <w:spacing w:after="6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E573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E573D0">
                            <w:pPr>
                              <w:spacing w:line="240" w:lineRule="auto"/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pt;margin-top:512.85pt;width:481.85pt;height:89.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" stroked="f">
                <v:textbox inset="0,0,0,0">
                  <w:txbxContent>
                    <w:p w:rsidR="00442E31" w:rsidRPr="0029791D" w:rsidRDefault="00442E31" w:rsidP="004B5B53">
                      <w:pPr>
                        <w:spacing w:after="6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E573D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E573D0">
                      <w:pPr>
                        <w:spacing w:line="240" w:lineRule="auto"/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B5B53" w:rsidRPr="00C47BC6">
        <w:rPr>
          <w:spacing w:val="-2"/>
          <w:lang w:eastAsia="en-GB"/>
        </w:rPr>
        <w:t xml:space="preserve">Le présent document est communiqué uniquement à titre d’information. Le texte authentique, juridiquement contraignant, est celui du document </w:t>
      </w:r>
      <w:bookmarkStart w:id="1" w:name="_Hlk23342962"/>
      <w:r w:rsidR="004B5B53" w:rsidRPr="00C47BC6">
        <w:rPr>
          <w:spacing w:val="-2"/>
          <w:lang w:eastAsia="en-GB"/>
        </w:rPr>
        <w:t>ECE/TRANS/WP.29/2018/143</w:t>
      </w:r>
      <w:bookmarkEnd w:id="1"/>
      <w:r w:rsidR="004B5B53" w:rsidRPr="00C47BC6">
        <w:rPr>
          <w:spacing w:val="-2"/>
          <w:lang w:eastAsia="en-GB"/>
        </w:rPr>
        <w:t>.</w:t>
      </w:r>
    </w:p>
    <w:p w:rsidR="00057780" w:rsidRPr="00057780" w:rsidRDefault="00057780" w:rsidP="00057780">
      <w:pPr>
        <w:pStyle w:val="SingleTxtG"/>
        <w:rPr>
          <w:i/>
          <w:iCs/>
        </w:rPr>
      </w:pPr>
      <w:r>
        <w:rPr>
          <w:spacing w:val="-2"/>
          <w:lang w:eastAsia="en-GB"/>
        </w:rPr>
        <w:br w:type="page"/>
      </w:r>
      <w:r w:rsidRPr="00057780">
        <w:rPr>
          <w:i/>
          <w:iCs/>
        </w:rPr>
        <w:lastRenderedPageBreak/>
        <w:t>Annexe 4</w:t>
      </w:r>
    </w:p>
    <w:p w:rsidR="00057780" w:rsidRPr="00CD7918" w:rsidRDefault="00057780" w:rsidP="00057780">
      <w:pPr>
        <w:pStyle w:val="SingleTxtG"/>
        <w:keepNext/>
      </w:pPr>
      <w:r w:rsidRPr="00057780">
        <w:rPr>
          <w:i/>
          <w:iCs/>
        </w:rPr>
        <w:t>Paragraphe 3.2</w:t>
      </w:r>
      <w:r w:rsidRPr="00CD7918">
        <w:t>, lire :</w:t>
      </w:r>
    </w:p>
    <w:p w:rsidR="00057780" w:rsidRPr="00CD7918" w:rsidRDefault="00057780" w:rsidP="00057780">
      <w:pPr>
        <w:pStyle w:val="SingleTxtG"/>
        <w:ind w:left="2268" w:hanging="1134"/>
      </w:pPr>
      <w:r w:rsidRPr="00CD7918">
        <w:t>« 3.2</w:t>
      </w:r>
      <w:r w:rsidRPr="00CD7918">
        <w:tab/>
      </w:r>
      <w:r w:rsidRPr="00CD7918">
        <w:tab/>
        <w:t>Carburant</w:t>
      </w:r>
    </w:p>
    <w:p w:rsidR="00057780" w:rsidRPr="00CD7918" w:rsidRDefault="00057780" w:rsidP="00086D1F">
      <w:pPr>
        <w:pStyle w:val="SingleTxtG"/>
        <w:ind w:left="2268"/>
      </w:pPr>
      <w:r w:rsidRPr="00CD7918">
        <w:t xml:space="preserve">Le </w:t>
      </w:r>
      <w:r w:rsidRPr="00CD7918">
        <w:rPr>
          <w:bCs/>
        </w:rPr>
        <w:t>carburant utilisé est celui du commerce.</w:t>
      </w:r>
      <w:r w:rsidRPr="00CD7918">
        <w:t xml:space="preserve"> </w:t>
      </w:r>
      <w:r w:rsidRPr="00CD7918">
        <w:rPr>
          <w:bCs/>
        </w:rPr>
        <w:t>En cas de contestation, le</w:t>
      </w:r>
      <w:r w:rsidRPr="00CD7918">
        <w:rPr>
          <w:b/>
        </w:rPr>
        <w:t xml:space="preserve"> </w:t>
      </w:r>
      <w:r w:rsidRPr="00CD7918">
        <w:t>carburant doit être le carburant de référence dont les spécifications sont données à l</w:t>
      </w:r>
      <w:r>
        <w:t>’</w:t>
      </w:r>
      <w:r w:rsidRPr="00CD7918">
        <w:t>annexe 6 du présent Règlement. ».</w:t>
      </w:r>
    </w:p>
    <w:p w:rsidR="00057780" w:rsidRPr="00CD7918" w:rsidRDefault="00057780" w:rsidP="00086D1F">
      <w:pPr>
        <w:pStyle w:val="SingleTxtG"/>
        <w:keepNext/>
      </w:pPr>
      <w:r w:rsidRPr="00CD7918">
        <w:rPr>
          <w:i/>
        </w:rPr>
        <w:t>Ajouter un nouveau paragraphe 3.3.3</w:t>
      </w:r>
      <w:r w:rsidRPr="00CD7918">
        <w:t>, libellé comme suit :</w:t>
      </w:r>
    </w:p>
    <w:p w:rsidR="00057780" w:rsidRPr="00CD7918" w:rsidRDefault="00057780" w:rsidP="00086D1F">
      <w:pPr>
        <w:pStyle w:val="SingleTxtG"/>
        <w:ind w:left="2268" w:hanging="1134"/>
        <w:rPr>
          <w:b/>
        </w:rPr>
      </w:pPr>
      <w:r w:rsidRPr="00CD7918">
        <w:t>« 3.3.3</w:t>
      </w:r>
      <w:r w:rsidRPr="00CD7918">
        <w:tab/>
      </w:r>
      <w:r w:rsidRPr="00CD7918">
        <w:tab/>
        <w:t>Lorsqu</w:t>
      </w:r>
      <w:r>
        <w:t>’</w:t>
      </w:r>
      <w:r w:rsidRPr="00CD7918">
        <w:t>un moteur à turbocompresseur est équipé d</w:t>
      </w:r>
      <w:r>
        <w:t>’</w:t>
      </w:r>
      <w:r w:rsidRPr="00CD7918">
        <w:t>un système qui permet de compenser les conditions ambiantes (température et altitude), à la demande du constructeur, le facteur de correction α</w:t>
      </w:r>
      <w:r w:rsidRPr="00CD7918">
        <w:rPr>
          <w:vertAlign w:val="subscript"/>
        </w:rPr>
        <w:t>a</w:t>
      </w:r>
      <w:r w:rsidRPr="00CD7918">
        <w:t xml:space="preserve"> ou α</w:t>
      </w:r>
      <w:r w:rsidRPr="00CD7918">
        <w:rPr>
          <w:vertAlign w:val="subscript"/>
        </w:rPr>
        <w:t>d</w:t>
      </w:r>
      <w:r w:rsidRPr="00CD7918">
        <w:t xml:space="preserve"> doit être réglé à la valeur de 1. ».</w:t>
      </w:r>
    </w:p>
    <w:p w:rsidR="00057780" w:rsidRPr="00CD7918" w:rsidRDefault="00057780" w:rsidP="00086D1F">
      <w:pPr>
        <w:pStyle w:val="SingleTxtG"/>
        <w:keepNext/>
        <w:rPr>
          <w:i/>
        </w:rPr>
      </w:pPr>
      <w:r w:rsidRPr="00CD7918">
        <w:rPr>
          <w:i/>
        </w:rPr>
        <w:t>Annexe 10</w:t>
      </w:r>
    </w:p>
    <w:p w:rsidR="00057780" w:rsidRPr="00CD7918" w:rsidRDefault="00057780" w:rsidP="00086D1F">
      <w:pPr>
        <w:pStyle w:val="SingleTxtG"/>
        <w:keepNext/>
      </w:pPr>
      <w:r w:rsidRPr="00CD7918">
        <w:rPr>
          <w:i/>
        </w:rPr>
        <w:t>Ajouter un nouveau paragraphe 6.4.3</w:t>
      </w:r>
      <w:r w:rsidRPr="00CD7918">
        <w:t>, libellé comme suit :</w:t>
      </w:r>
    </w:p>
    <w:p w:rsidR="005F0207" w:rsidRDefault="00057780" w:rsidP="00086D1F">
      <w:pPr>
        <w:pStyle w:val="SingleTxtG"/>
        <w:ind w:left="2268" w:hanging="1134"/>
      </w:pPr>
      <w:r w:rsidRPr="00CD7918">
        <w:t>« 6.4.3</w:t>
      </w:r>
      <w:r w:rsidRPr="00CD7918">
        <w:tab/>
        <w:t>Lorsqu</w:t>
      </w:r>
      <w:r>
        <w:t>’</w:t>
      </w:r>
      <w:r w:rsidRPr="00CD7918">
        <w:t>un moteur à turbocompresseur est équipé d</w:t>
      </w:r>
      <w:r>
        <w:t>’</w:t>
      </w:r>
      <w:r w:rsidRPr="00CD7918">
        <w:t>un système qui permet de compenser les conditions ambiantes (température et altitude), à la demande du constructeur, le facteur de correction α</w:t>
      </w:r>
      <w:r w:rsidRPr="00CD7918">
        <w:rPr>
          <w:vertAlign w:val="subscript"/>
        </w:rPr>
        <w:t>a</w:t>
      </w:r>
      <w:r w:rsidRPr="00CD7918">
        <w:t xml:space="preserve"> ou α</w:t>
      </w:r>
      <w:r w:rsidRPr="00CD7918">
        <w:rPr>
          <w:vertAlign w:val="subscript"/>
        </w:rPr>
        <w:t>d</w:t>
      </w:r>
      <w:r w:rsidRPr="00CD7918">
        <w:t xml:space="preserve"> doit être réglé à la valeur de 1. ».</w:t>
      </w:r>
    </w:p>
    <w:p w:rsidR="00086D1F" w:rsidRPr="00086D1F" w:rsidRDefault="00086D1F" w:rsidP="00086D1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86D1F" w:rsidRPr="00086D1F" w:rsidSect="00CF59B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B7D" w:rsidRDefault="00CA3B7D"/>
  </w:endnote>
  <w:endnote w:type="continuationSeparator" w:id="0">
    <w:p w:rsidR="00CA3B7D" w:rsidRDefault="00CA3B7D">
      <w:pPr>
        <w:pStyle w:val="Pieddepage"/>
      </w:pPr>
    </w:p>
  </w:endnote>
  <w:endnote w:type="continuationNotice" w:id="1">
    <w:p w:rsidR="00CA3B7D" w:rsidRPr="00C451B9" w:rsidRDefault="00CA3B7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9BD" w:rsidRPr="00CF59BD" w:rsidRDefault="00CF59BD" w:rsidP="00CF59BD">
    <w:pPr>
      <w:pStyle w:val="Pieddepage"/>
      <w:tabs>
        <w:tab w:val="right" w:pos="9638"/>
      </w:tabs>
    </w:pPr>
    <w:r w:rsidRPr="00CF59BD">
      <w:rPr>
        <w:b/>
        <w:sz w:val="18"/>
      </w:rPr>
      <w:fldChar w:fldCharType="begin"/>
    </w:r>
    <w:r w:rsidRPr="00CF59BD">
      <w:rPr>
        <w:b/>
        <w:sz w:val="18"/>
      </w:rPr>
      <w:instrText xml:space="preserve"> PAGE  \* MERGEFORMAT </w:instrText>
    </w:r>
    <w:r w:rsidRPr="00CF59BD">
      <w:rPr>
        <w:b/>
        <w:sz w:val="18"/>
      </w:rPr>
      <w:fldChar w:fldCharType="separate"/>
    </w:r>
    <w:r w:rsidRPr="00CF59BD">
      <w:rPr>
        <w:b/>
        <w:noProof/>
        <w:sz w:val="18"/>
      </w:rPr>
      <w:t>2</w:t>
    </w:r>
    <w:r w:rsidRPr="00CF59BD">
      <w:rPr>
        <w:b/>
        <w:sz w:val="18"/>
      </w:rPr>
      <w:fldChar w:fldCharType="end"/>
    </w:r>
    <w:r>
      <w:rPr>
        <w:b/>
        <w:sz w:val="18"/>
      </w:rPr>
      <w:tab/>
    </w:r>
    <w:r>
      <w:t>GE.19-10424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9BD" w:rsidRPr="00CF59BD" w:rsidRDefault="00CF59BD" w:rsidP="00CF59BD">
    <w:pPr>
      <w:pStyle w:val="Pieddepage"/>
      <w:tabs>
        <w:tab w:val="right" w:pos="9638"/>
      </w:tabs>
      <w:rPr>
        <w:b/>
        <w:sz w:val="18"/>
      </w:rPr>
    </w:pPr>
    <w:r>
      <w:t>GE.19-10424</w:t>
    </w:r>
    <w:r>
      <w:tab/>
    </w:r>
    <w:r w:rsidRPr="00CF59BD">
      <w:rPr>
        <w:b/>
        <w:sz w:val="18"/>
      </w:rPr>
      <w:fldChar w:fldCharType="begin"/>
    </w:r>
    <w:r w:rsidRPr="00CF59BD">
      <w:rPr>
        <w:b/>
        <w:sz w:val="18"/>
      </w:rPr>
      <w:instrText xml:space="preserve"> PAGE  \* MERGEFORMAT </w:instrText>
    </w:r>
    <w:r w:rsidRPr="00CF59BD">
      <w:rPr>
        <w:b/>
        <w:sz w:val="18"/>
      </w:rPr>
      <w:fldChar w:fldCharType="separate"/>
    </w:r>
    <w:r w:rsidRPr="00CF59BD">
      <w:rPr>
        <w:b/>
        <w:noProof/>
        <w:sz w:val="18"/>
      </w:rPr>
      <w:t>3</w:t>
    </w:r>
    <w:r w:rsidRPr="00CF59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CF59BD" w:rsidRDefault="00CF59BD" w:rsidP="00CF59BD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19-10424  (F)</w:t>
    </w:r>
    <w:r w:rsidR="00C21D16">
      <w:rPr>
        <w:sz w:val="20"/>
      </w:rPr>
      <w:t xml:space="preserve">    030120    060120</w:t>
    </w:r>
    <w:r>
      <w:rPr>
        <w:sz w:val="20"/>
      </w:rPr>
      <w:br/>
    </w:r>
    <w:r w:rsidRPr="00CF59BD">
      <w:rPr>
        <w:rFonts w:ascii="C39T30Lfz" w:hAnsi="C39T30Lfz"/>
        <w:sz w:val="56"/>
      </w:rPr>
      <w:t></w:t>
    </w:r>
    <w:r w:rsidRPr="00CF59BD">
      <w:rPr>
        <w:rFonts w:ascii="C39T30Lfz" w:hAnsi="C39T30Lfz"/>
        <w:sz w:val="56"/>
      </w:rPr>
      <w:t></w:t>
    </w:r>
    <w:r w:rsidRPr="00CF59BD">
      <w:rPr>
        <w:rFonts w:ascii="C39T30Lfz" w:hAnsi="C39T30Lfz"/>
        <w:sz w:val="56"/>
      </w:rPr>
      <w:t></w:t>
    </w:r>
    <w:r w:rsidRPr="00CF59BD">
      <w:rPr>
        <w:rFonts w:ascii="C39T30Lfz" w:hAnsi="C39T30Lfz"/>
        <w:sz w:val="56"/>
      </w:rPr>
      <w:t></w:t>
    </w:r>
    <w:r w:rsidRPr="00CF59BD">
      <w:rPr>
        <w:rFonts w:ascii="C39T30Lfz" w:hAnsi="C39T30Lfz"/>
        <w:sz w:val="56"/>
      </w:rPr>
      <w:t></w:t>
    </w:r>
    <w:r w:rsidRPr="00CF59BD">
      <w:rPr>
        <w:rFonts w:ascii="C39T30Lfz" w:hAnsi="C39T30Lfz"/>
        <w:sz w:val="56"/>
      </w:rPr>
      <w:t></w:t>
    </w:r>
    <w:r w:rsidRPr="00CF59BD">
      <w:rPr>
        <w:rFonts w:ascii="C39T30Lfz" w:hAnsi="C39T30Lfz"/>
        <w:sz w:val="56"/>
      </w:rPr>
      <w:t></w:t>
    </w:r>
    <w:r w:rsidRPr="00CF59BD">
      <w:rPr>
        <w:rFonts w:ascii="C39T30Lfz" w:hAnsi="C39T30Lfz"/>
        <w:sz w:val="56"/>
      </w:rPr>
      <w:t></w:t>
    </w:r>
    <w:r w:rsidRPr="00CF59B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23/Rev.2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23/Rev.2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B7D" w:rsidRPr="00D27D5E" w:rsidRDefault="00CA3B7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A3B7D" w:rsidRPr="00D171D4" w:rsidRDefault="00CA3B7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CA3B7D" w:rsidRPr="00C451B9" w:rsidRDefault="00CA3B7D" w:rsidP="00C451B9">
      <w:pPr>
        <w:spacing w:line="240" w:lineRule="auto"/>
        <w:rPr>
          <w:sz w:val="2"/>
          <w:szCs w:val="2"/>
        </w:rPr>
      </w:pPr>
    </w:p>
  </w:footnote>
  <w:footnote w:id="2">
    <w:p w:rsidR="00CF59BD" w:rsidRPr="0021774A" w:rsidRDefault="00CF59BD" w:rsidP="00CF59BD">
      <w:pPr>
        <w:pStyle w:val="Notedebasdepage"/>
      </w:pPr>
      <w:r>
        <w:tab/>
      </w:r>
      <w:r w:rsidRPr="00324EB2">
        <w:rPr>
          <w:sz w:val="20"/>
        </w:rPr>
        <w:t>*</w:t>
      </w:r>
      <w:r w:rsidRPr="0021774A">
        <w:rPr>
          <w:sz w:val="20"/>
        </w:rPr>
        <w:tab/>
      </w:r>
      <w:r w:rsidRPr="0021774A">
        <w:t>Anciens titres de l’Accord</w:t>
      </w:r>
      <w:r w:rsidR="00BE009C">
        <w:t> </w:t>
      </w:r>
      <w:bookmarkStart w:id="0" w:name="_GoBack"/>
      <w:bookmarkEnd w:id="0"/>
      <w:r w:rsidRPr="0021774A">
        <w:t>:</w:t>
      </w:r>
    </w:p>
    <w:p w:rsidR="00CF59BD" w:rsidRPr="0021774A" w:rsidRDefault="00CF59BD" w:rsidP="00CF59BD">
      <w:pPr>
        <w:pStyle w:val="Notedebasdepage"/>
        <w:rPr>
          <w:sz w:val="20"/>
        </w:rPr>
      </w:pPr>
      <w:r w:rsidRPr="0021774A">
        <w:tab/>
      </w:r>
      <w:r w:rsidRPr="0021774A">
        <w:tab/>
      </w:r>
      <w:r w:rsidRPr="0021774A">
        <w:rPr>
          <w:spacing w:val="-4"/>
        </w:rPr>
        <w:t>Accord concernant l’adoption de conditions uniformes d’homologation et la reconnaissance réciproque de l’homologation des équipements et pièces de véhicules à moteur, en date, à Genève, du 20 mars 1958 (version originale) ;</w:t>
      </w:r>
    </w:p>
    <w:p w:rsidR="00CF59BD" w:rsidRPr="0021774A" w:rsidRDefault="00CF59BD" w:rsidP="00CF59BD">
      <w:pPr>
        <w:pStyle w:val="Notedebasdepage"/>
      </w:pPr>
      <w:r w:rsidRPr="0021774A">
        <w:tab/>
      </w:r>
      <w:r w:rsidRPr="0021774A">
        <w:tab/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prescriptions, en date, à Genève, du 5 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9BD" w:rsidRPr="00CF59BD" w:rsidRDefault="00CF59BD">
    <w:pPr>
      <w:pStyle w:val="En-tte"/>
      <w:rPr>
        <w:lang w:val="en-US"/>
      </w:rPr>
    </w:pPr>
    <w:r>
      <w:fldChar w:fldCharType="begin"/>
    </w:r>
    <w:r w:rsidRPr="00CF59BD">
      <w:rPr>
        <w:lang w:val="en-US"/>
      </w:rPr>
      <w:instrText xml:space="preserve"> TITLE  \* MERGEFORMAT </w:instrText>
    </w:r>
    <w:r>
      <w:fldChar w:fldCharType="separate"/>
    </w:r>
    <w:r w:rsidR="004E2790">
      <w:rPr>
        <w:lang w:val="en-US"/>
      </w:rPr>
      <w:t>E/ECE/324/Rev.1/Add.23/Rev.2/Amend.4</w:t>
    </w:r>
    <w:r>
      <w:fldChar w:fldCharType="end"/>
    </w:r>
    <w:r w:rsidRPr="00CF59BD">
      <w:rPr>
        <w:lang w:val="en-US"/>
      </w:rPr>
      <w:br/>
    </w:r>
    <w:r>
      <w:fldChar w:fldCharType="begin"/>
    </w:r>
    <w:r w:rsidRPr="00CF59BD">
      <w:rPr>
        <w:lang w:val="en-US"/>
      </w:rPr>
      <w:instrText xml:space="preserve"> KEYWORDS  \* MERGEFORMAT </w:instrText>
    </w:r>
    <w:r>
      <w:fldChar w:fldCharType="separate"/>
    </w:r>
    <w:r w:rsidR="004E2790">
      <w:rPr>
        <w:lang w:val="en-US"/>
      </w:rPr>
      <w:t>E/ECE/TRANS/505/Rev.1/Add.23/Rev.2/Amend.4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9BD" w:rsidRPr="00CF59BD" w:rsidRDefault="00CF59BD" w:rsidP="00CF59BD">
    <w:pPr>
      <w:pStyle w:val="En-tte"/>
      <w:jc w:val="right"/>
      <w:rPr>
        <w:lang w:val="en-US"/>
      </w:rPr>
    </w:pPr>
    <w:r>
      <w:fldChar w:fldCharType="begin"/>
    </w:r>
    <w:r w:rsidRPr="00CF59BD">
      <w:rPr>
        <w:lang w:val="en-US"/>
      </w:rPr>
      <w:instrText xml:space="preserve"> TITLE  \* MERGEFORMAT </w:instrText>
    </w:r>
    <w:r>
      <w:fldChar w:fldCharType="separate"/>
    </w:r>
    <w:r w:rsidR="004E2790">
      <w:rPr>
        <w:lang w:val="en-US"/>
      </w:rPr>
      <w:t>E/ECE/324/Rev.1/Add.23/Rev.2/Amend.4</w:t>
    </w:r>
    <w:r>
      <w:fldChar w:fldCharType="end"/>
    </w:r>
    <w:r w:rsidRPr="00CF59BD">
      <w:rPr>
        <w:lang w:val="en-US"/>
      </w:rPr>
      <w:br/>
    </w:r>
    <w:r>
      <w:fldChar w:fldCharType="begin"/>
    </w:r>
    <w:r w:rsidRPr="00CF59BD">
      <w:rPr>
        <w:lang w:val="en-US"/>
      </w:rPr>
      <w:instrText xml:space="preserve"> KEYWORDS  \* MERGEFORMAT </w:instrText>
    </w:r>
    <w:r>
      <w:fldChar w:fldCharType="separate"/>
    </w:r>
    <w:r w:rsidR="004E2790">
      <w:rPr>
        <w:lang w:val="en-US"/>
      </w:rPr>
      <w:t>E/ECE/TRANS/505/Rev.1/Add.23/Rev.2/Amend.4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3B7D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57780"/>
    <w:rsid w:val="000641CE"/>
    <w:rsid w:val="00067310"/>
    <w:rsid w:val="00077E35"/>
    <w:rsid w:val="0008669E"/>
    <w:rsid w:val="00086D1F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2F7672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B5B53"/>
    <w:rsid w:val="004C54C0"/>
    <w:rsid w:val="004C56B2"/>
    <w:rsid w:val="004C6610"/>
    <w:rsid w:val="004C6F4A"/>
    <w:rsid w:val="004D00B2"/>
    <w:rsid w:val="004E2790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1443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069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3AA0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492A"/>
    <w:rsid w:val="009A6C26"/>
    <w:rsid w:val="009B17AD"/>
    <w:rsid w:val="009B3F8C"/>
    <w:rsid w:val="009B45E0"/>
    <w:rsid w:val="009B540F"/>
    <w:rsid w:val="009D3A8C"/>
    <w:rsid w:val="009D759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5F57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B6BB9"/>
    <w:rsid w:val="00BC3F20"/>
    <w:rsid w:val="00BC76F0"/>
    <w:rsid w:val="00BD13E6"/>
    <w:rsid w:val="00BD28B2"/>
    <w:rsid w:val="00BD5A8D"/>
    <w:rsid w:val="00BD7343"/>
    <w:rsid w:val="00BE009C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1D16"/>
    <w:rsid w:val="00C261F8"/>
    <w:rsid w:val="00C27662"/>
    <w:rsid w:val="00C32914"/>
    <w:rsid w:val="00C33100"/>
    <w:rsid w:val="00C42EDB"/>
    <w:rsid w:val="00C451B9"/>
    <w:rsid w:val="00C47BC6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A3B7D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F59BD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573D0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936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ocId w14:val="7E2D388A"/>
  <w15:docId w15:val="{16795D2B-3DEF-4A08-83DD-A619C8EE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790069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2AE71-2488-497D-88C5-FFFBBBBA5754}"/>
</file>

<file path=customXml/itemProps2.xml><?xml version="1.0" encoding="utf-8"?>
<ds:datastoreItem xmlns:ds="http://schemas.openxmlformats.org/officeDocument/2006/customXml" ds:itemID="{2B7DD3E4-40D9-4792-8896-02C03FE9ABC4}"/>
</file>

<file path=customXml/itemProps3.xml><?xml version="1.0" encoding="utf-8"?>
<ds:datastoreItem xmlns:ds="http://schemas.openxmlformats.org/officeDocument/2006/customXml" ds:itemID="{4A010F37-9A39-4A10-BE8C-EAE910F34470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285</Words>
  <Characters>1856</Characters>
  <Application>Microsoft Office Word</Application>
  <DocSecurity>0</DocSecurity>
  <Lines>185</Lines>
  <Paragraphs>125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E/ECE/324/Rev.1/Add.23/Rev.2/Amend.4</vt:lpstr>
    </vt:vector>
  </TitlesOfParts>
  <Company>CSD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E/ECE/324/Rev.1/Add.23/Rev.2/Amend.4</dc:title>
  <dc:creator>Nathalie VITTOZ</dc:creator>
  <cp:keywords>E/ECE/TRANS/505/Rev.1/Add.23/Rev.2/Amend.4</cp:keywords>
  <cp:lastModifiedBy>Nathalie Vittoz</cp:lastModifiedBy>
  <cp:revision>2</cp:revision>
  <cp:lastPrinted>2020-01-06T08:25:00Z</cp:lastPrinted>
  <dcterms:created xsi:type="dcterms:W3CDTF">2020-01-06T08:32:00Z</dcterms:created>
  <dcterms:modified xsi:type="dcterms:W3CDTF">2020-01-06T08:32:00Z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