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F7E1A" w14:paraId="36468753" w14:textId="77777777" w:rsidTr="00A27C92">
        <w:trPr>
          <w:trHeight w:hRule="exact" w:val="851"/>
        </w:trPr>
        <w:tc>
          <w:tcPr>
            <w:tcW w:w="9639" w:type="dxa"/>
            <w:gridSpan w:val="2"/>
            <w:tcBorders>
              <w:bottom w:val="single" w:sz="4" w:space="0" w:color="auto"/>
            </w:tcBorders>
            <w:shd w:val="clear" w:color="auto" w:fill="auto"/>
            <w:vAlign w:val="bottom"/>
          </w:tcPr>
          <w:p w14:paraId="50144FCF" w14:textId="77777777" w:rsidR="007F7E1A" w:rsidRPr="007F7E1A" w:rsidRDefault="007F7E1A" w:rsidP="007F7E1A">
            <w:pPr>
              <w:jc w:val="right"/>
              <w:rPr>
                <w:lang w:val="en-US"/>
              </w:rPr>
            </w:pPr>
            <w:bookmarkStart w:id="0" w:name="_GoBack"/>
            <w:bookmarkEnd w:id="0"/>
            <w:r w:rsidRPr="007F7E1A">
              <w:rPr>
                <w:sz w:val="40"/>
                <w:lang w:val="en-US"/>
              </w:rPr>
              <w:t>E</w:t>
            </w:r>
            <w:r w:rsidRPr="007F7E1A">
              <w:rPr>
                <w:lang w:val="en-US"/>
              </w:rPr>
              <w:t>/ECE/324/Rev.2/Add.100/Rev.3/Amend.7−</w:t>
            </w:r>
            <w:r w:rsidRPr="007F7E1A">
              <w:rPr>
                <w:sz w:val="40"/>
                <w:lang w:val="en-US"/>
              </w:rPr>
              <w:t>E</w:t>
            </w:r>
            <w:r w:rsidRPr="007F7E1A">
              <w:rPr>
                <w:lang w:val="en-US"/>
              </w:rPr>
              <w:t>/ECE/TRANS/505/Rev.2/Add.100/Rev.3/Amend.7</w:t>
            </w:r>
          </w:p>
        </w:tc>
      </w:tr>
      <w:tr w:rsidR="00421A10" w:rsidRPr="00DB58B5" w14:paraId="064318CE" w14:textId="77777777" w:rsidTr="00A27C92">
        <w:trPr>
          <w:trHeight w:hRule="exact" w:val="2835"/>
        </w:trPr>
        <w:tc>
          <w:tcPr>
            <w:tcW w:w="6804" w:type="dxa"/>
            <w:tcBorders>
              <w:top w:val="single" w:sz="4" w:space="0" w:color="auto"/>
              <w:bottom w:val="single" w:sz="12" w:space="0" w:color="auto"/>
            </w:tcBorders>
            <w:shd w:val="clear" w:color="auto" w:fill="auto"/>
          </w:tcPr>
          <w:p w14:paraId="4AC24DCC" w14:textId="77777777" w:rsidR="00421A10" w:rsidRPr="007F7E1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B2F725D" w14:textId="77777777" w:rsidR="00421A10" w:rsidRPr="00DB58B5" w:rsidRDefault="007F7E1A" w:rsidP="00A27C92">
            <w:pPr>
              <w:spacing w:before="480" w:line="240" w:lineRule="exact"/>
            </w:pPr>
            <w:r>
              <w:t>24 juin 2019</w:t>
            </w:r>
          </w:p>
        </w:tc>
      </w:tr>
    </w:tbl>
    <w:p w14:paraId="571B4118" w14:textId="77777777" w:rsidR="00421A10" w:rsidRPr="006549FF" w:rsidRDefault="0029791D" w:rsidP="007F7E1A">
      <w:pPr>
        <w:pStyle w:val="HChG"/>
        <w:spacing w:before="240"/>
      </w:pPr>
      <w:r>
        <w:tab/>
      </w:r>
      <w:r>
        <w:tab/>
      </w:r>
      <w:r w:rsidR="00421A10" w:rsidRPr="006549FF">
        <w:t>Accord</w:t>
      </w:r>
    </w:p>
    <w:p w14:paraId="4B9D20A4" w14:textId="77777777" w:rsidR="00421A10" w:rsidRPr="00583D68" w:rsidRDefault="0029791D" w:rsidP="007F7E1A">
      <w:pPr>
        <w:pStyle w:val="H1G"/>
        <w:spacing w:before="240"/>
      </w:pPr>
      <w:r>
        <w:tab/>
      </w:r>
      <w:r>
        <w:tab/>
      </w:r>
      <w:r w:rsidR="00421A10" w:rsidRPr="00583D68">
        <w:t xml:space="preserve">Concernant l’adoption </w:t>
      </w:r>
      <w:r w:rsidR="007F7E1A">
        <w:rPr>
          <w:bCs/>
          <w:lang w:val="fr-FR"/>
        </w:rPr>
        <w:t xml:space="preserve">de Règlements techniques harmonisés de l’ONU applicables aux véhicules à roues et aux équipements et pièces susceptibles d’être montés ou utilisés sur les véhicules à roues </w:t>
      </w:r>
      <w:r w:rsidR="007F7E1A">
        <w:rPr>
          <w:bCs/>
          <w:lang w:val="fr-FR"/>
        </w:rPr>
        <w:br/>
        <w:t>et les conditions de reconnaissance réciproque des homologations délivrées conformément à ces Règlements</w:t>
      </w:r>
      <w:r w:rsidR="00442E31" w:rsidRPr="001832CD">
        <w:rPr>
          <w:rStyle w:val="FootnoteReference"/>
          <w:b w:val="0"/>
          <w:sz w:val="20"/>
          <w:vertAlign w:val="baseline"/>
        </w:rPr>
        <w:footnoteReference w:customMarkFollows="1" w:id="2"/>
        <w:t>*</w:t>
      </w:r>
    </w:p>
    <w:p w14:paraId="65FA1522" w14:textId="77777777" w:rsidR="00421A10" w:rsidRPr="00A12483" w:rsidRDefault="00421A10" w:rsidP="0029791D">
      <w:pPr>
        <w:pStyle w:val="SingleTxtG"/>
        <w:jc w:val="left"/>
        <w:rPr>
          <w:b/>
          <w:sz w:val="24"/>
          <w:szCs w:val="24"/>
        </w:rPr>
      </w:pPr>
      <w:r w:rsidRPr="006549FF">
        <w:t>(</w:t>
      </w:r>
      <w:r w:rsidR="007F7E1A">
        <w:rPr>
          <w:lang w:val="fr-FR"/>
        </w:rPr>
        <w:t>Révision 3, comprenant les amendements entrés en vigueur le 14 septembre 2017)</w:t>
      </w:r>
    </w:p>
    <w:p w14:paraId="4609A639" w14:textId="77777777" w:rsidR="00421A10" w:rsidRPr="006549FF" w:rsidRDefault="0029791D" w:rsidP="0029791D">
      <w:pPr>
        <w:jc w:val="center"/>
      </w:pPr>
      <w:r>
        <w:t>_______________</w:t>
      </w:r>
    </w:p>
    <w:p w14:paraId="7B3AAF9F" w14:textId="77777777" w:rsidR="00421A10" w:rsidRPr="006549FF" w:rsidRDefault="0029791D" w:rsidP="007F7E1A">
      <w:pPr>
        <w:pStyle w:val="HChG"/>
        <w:spacing w:before="240"/>
      </w:pPr>
      <w:r>
        <w:tab/>
      </w:r>
      <w:r>
        <w:tab/>
      </w:r>
      <w:r w:rsidR="00421A10" w:rsidRPr="006549FF">
        <w:t xml:space="preserve">Additif </w:t>
      </w:r>
      <w:r w:rsidR="007F7E1A">
        <w:t>100 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7F7E1A">
        <w:t>101</w:t>
      </w:r>
    </w:p>
    <w:p w14:paraId="15705B94" w14:textId="77777777" w:rsidR="00421A10" w:rsidRPr="006549FF" w:rsidRDefault="0029791D" w:rsidP="007F7E1A">
      <w:pPr>
        <w:pStyle w:val="H1G"/>
        <w:spacing w:before="240"/>
      </w:pPr>
      <w:r>
        <w:tab/>
      </w:r>
      <w:r>
        <w:tab/>
      </w:r>
      <w:r w:rsidR="00421A10" w:rsidRPr="006549FF">
        <w:t xml:space="preserve">Révision </w:t>
      </w:r>
      <w:r w:rsidR="007F7E1A">
        <w:rPr>
          <w:bCs/>
          <w:lang w:val="fr-FR"/>
        </w:rPr>
        <w:t>3 − Amendement 7</w:t>
      </w:r>
    </w:p>
    <w:p w14:paraId="1275F723" w14:textId="77777777" w:rsidR="00421A10" w:rsidRPr="004A7E44" w:rsidRDefault="007F7E1A" w:rsidP="0029791D">
      <w:pPr>
        <w:pStyle w:val="SingleTxtG"/>
        <w:spacing w:after="0"/>
      </w:pPr>
      <w:r>
        <w:rPr>
          <w:lang w:val="fr-FR"/>
        </w:rPr>
        <w:t>Complément 8 à la série 01 d’amendements − Date d’entrée en vigueur : 28 mai 2019</w:t>
      </w:r>
    </w:p>
    <w:p w14:paraId="5296C04C" w14:textId="77777777" w:rsidR="00421A10" w:rsidRPr="007F7E1A" w:rsidRDefault="0029791D" w:rsidP="007F7E1A">
      <w:pPr>
        <w:pStyle w:val="H1G"/>
        <w:spacing w:before="240"/>
        <w:rPr>
          <w:spacing w:val="-2"/>
        </w:rPr>
      </w:pPr>
      <w:r>
        <w:tab/>
      </w:r>
      <w:r>
        <w:tab/>
      </w:r>
      <w:r w:rsidR="00421A10" w:rsidRPr="007F7E1A">
        <w:rPr>
          <w:spacing w:val="-2"/>
        </w:rPr>
        <w:t xml:space="preserve">Prescriptions uniformes relatives </w:t>
      </w:r>
      <w:r w:rsidR="007F7E1A" w:rsidRPr="007F7E1A">
        <w:rPr>
          <w:bCs/>
          <w:spacing w:val="-2"/>
          <w:lang w:val="fr-FR"/>
        </w:rPr>
        <w:t>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007F7E1A" w:rsidRPr="007F7E1A">
        <w:rPr>
          <w:bCs/>
          <w:spacing w:val="-2"/>
          <w:vertAlign w:val="subscript"/>
          <w:lang w:val="fr-FR"/>
        </w:rPr>
        <w:t>1</w:t>
      </w:r>
      <w:r w:rsidR="007F7E1A" w:rsidRPr="007F7E1A">
        <w:rPr>
          <w:bCs/>
          <w:spacing w:val="-2"/>
          <w:lang w:val="fr-FR"/>
        </w:rPr>
        <w:t xml:space="preserve"> et N</w:t>
      </w:r>
      <w:r w:rsidR="007F7E1A" w:rsidRPr="007F7E1A">
        <w:rPr>
          <w:bCs/>
          <w:spacing w:val="-2"/>
          <w:vertAlign w:val="subscript"/>
          <w:lang w:val="fr-FR"/>
        </w:rPr>
        <w:t>1</w:t>
      </w:r>
      <w:r w:rsidR="007F7E1A" w:rsidRPr="007F7E1A">
        <w:rPr>
          <w:bCs/>
          <w:spacing w:val="-2"/>
          <w:lang w:val="fr-FR"/>
        </w:rPr>
        <w:t xml:space="preserve"> mus uniquement par une chaîne de traction électrique en ce qui concerne la mesure de la consommation d’énergie électrique et de l’autonomie</w:t>
      </w:r>
    </w:p>
    <w:p w14:paraId="7C5C017E" w14:textId="77777777" w:rsidR="007F7E1A" w:rsidRDefault="007F7E1A" w:rsidP="007F7E1A">
      <w:pPr>
        <w:pStyle w:val="SingleTxtG"/>
        <w:rPr>
          <w:lang w:val="fr-FR"/>
        </w:rPr>
      </w:pPr>
      <w:r>
        <w:rPr>
          <w:noProof/>
          <w:lang w:eastAsia="fr-CH"/>
        </w:rPr>
        <mc:AlternateContent>
          <mc:Choice Requires="wps">
            <w:drawing>
              <wp:anchor distT="0" distB="0" distL="114300" distR="114300" simplePos="0" relativeHeight="251659264" behindDoc="0" locked="0" layoutInCell="1" allowOverlap="1" wp14:anchorId="40DF4E9D" wp14:editId="51D7A8F0">
                <wp:simplePos x="0" y="0"/>
                <wp:positionH relativeFrom="margin">
                  <wp:posOffset>3810</wp:posOffset>
                </wp:positionH>
                <wp:positionV relativeFrom="margin">
                  <wp:posOffset>6520180</wp:posOffset>
                </wp:positionV>
                <wp:extent cx="6138545" cy="11137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113790"/>
                        </a:xfrm>
                        <a:prstGeom prst="rect">
                          <a:avLst/>
                        </a:prstGeom>
                        <a:solidFill>
                          <a:srgbClr val="FFFFFF"/>
                        </a:solidFill>
                        <a:ln w="9525">
                          <a:noFill/>
                          <a:miter lim="800000"/>
                          <a:headEnd/>
                          <a:tailEnd/>
                        </a:ln>
                      </wps:spPr>
                      <wps:txbx>
                        <w:txbxContent>
                          <w:p w14:paraId="6D854B36" w14:textId="77777777" w:rsidR="00442E31" w:rsidRPr="0029791D" w:rsidRDefault="00442E31" w:rsidP="00C9521D">
                            <w:pPr>
                              <w:ind w:left="1134" w:right="1134"/>
                              <w:jc w:val="center"/>
                            </w:pPr>
                            <w:r>
                              <w:t>_______________</w:t>
                            </w:r>
                          </w:p>
                          <w:p w14:paraId="2DA33DCB" w14:textId="77777777" w:rsidR="00442E31" w:rsidRDefault="00442E31" w:rsidP="00C9521D">
                            <w:pPr>
                              <w:jc w:val="center"/>
                              <w:rPr>
                                <w:b/>
                                <w:bCs/>
                                <w:sz w:val="22"/>
                              </w:rPr>
                            </w:pPr>
                            <w:r>
                              <w:rPr>
                                <w:noProof/>
                                <w:lang w:eastAsia="fr-CH"/>
                              </w:rPr>
                              <w:drawing>
                                <wp:inline distT="0" distB="0" distL="0" distR="0" wp14:anchorId="0916EAF9" wp14:editId="4F41193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A86733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4E9D" id="_x0000_t202" coordsize="21600,21600" o:spt="202" path="m,l,21600r21600,l21600,xe">
                <v:stroke joinstyle="miter"/>
                <v:path gradientshapeok="t" o:connecttype="rect"/>
              </v:shapetype>
              <v:shape id="Zone de texte 4" o:spid="_x0000_s1026" type="#_x0000_t202" style="position:absolute;left:0;text-align:left;margin-left:.3pt;margin-top:513.4pt;width:483.35pt;height:8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JGIwIAAB0EAAAOAAAAZHJzL2Uyb0RvYy54bWysU02P2yAQvVfqf0DcG8fZZJu14qy22aaq&#10;tP2Qtr30hgHHqMBQILHTX98BJ9nV9lbVBzSYmceb94bV7WA0OUgfFNialpMpJdJyEMruavr92/bN&#10;kpIQmRVMg5U1PcpAb9evX616V8kZdKCF9ARBbKh6V9MuRlcVReCdNCxMwEmLhy14wyJu/a4QnvWI&#10;bnQxm06vix68cB64DAH/3o+HdJ3x21by+KVtg4xE1xS5xbz6vDZpLdYrVu08c53iJxrsH1gYpixe&#10;eoG6Z5GRvVd/QRnFPQRo44SDKaBtFZe5B+ymnL7o5rFjTuZeUJzgLjKF/wfLPx++eqJETeeUWGbQ&#10;oh9oFBGSRDlESeZJot6FCjMfHebG4R0MaHVuN7gH4D8DsbDpmN3JO++h7yQTSLFMlcWz0hEnJJCm&#10;/wQC72L7CBloaL1J+qEiBNHRquPFHuRBOP68Lq+Wi/mCEo5nZVlevb3JBhasOpc7H+IHCYakoKYe&#10;/c/w7PAQYqLDqnNKui2AVmKrtM4bv2s22pMDw1nZ5i938CJNW9LX9GYxW2RkC6k+j5FREWdZK1PT&#10;5TR943QlOd5bkVMiU3qMkYm2J32SJKM4cWgGTEyiNSCOqJSHcWbxjWHQgf9NSY/zWtPwa8+8pER/&#10;tKh2Gu5z4M9Bcw6Y5Vha00jJGG7i+Aj2zqtdh8ijnxbu0JFWZa2eWJx44gxmCU/vJQ35833OenrV&#10;6z8AAAD//wMAUEsDBBQABgAIAAAAIQDQ/NeW3QAAAAoBAAAPAAAAZHJzL2Rvd25yZXYueG1sTI/B&#10;TsMwEETvSPyDtUhcELUxUoAQp4IWbvTQUvXsxksSEa+j2GnSv2c5wXFnRrNviuXsO3HCIbaBDNwt&#10;FAikKriWagP7z/fbRxAxWXK2C4QGzhhhWV5eFDZ3YaItnnapFlxCMbcGmpT6XMpYNehtXIQeib2v&#10;MHib+Bxq6QY7cbnvpFYqk962xB8a2+Oqwep7N3oD2XoYpy2tbtb7tw+76Wt9eD0fjLm+ml+eQSSc&#10;018YfvEZHUpmOoaRXBQdd3COVaUzXsD+U/ZwD+LIklZagywL+X9C+QMAAP//AwBQSwECLQAUAAYA&#10;CAAAACEAtoM4kv4AAADhAQAAEwAAAAAAAAAAAAAAAAAAAAAAW0NvbnRlbnRfVHlwZXNdLnhtbFBL&#10;AQItABQABgAIAAAAIQA4/SH/1gAAAJQBAAALAAAAAAAAAAAAAAAAAC8BAABfcmVscy8ucmVsc1BL&#10;AQItABQABgAIAAAAIQCm8BJGIwIAAB0EAAAOAAAAAAAAAAAAAAAAAC4CAABkcnMvZTJvRG9jLnht&#10;bFBLAQItABQABgAIAAAAIQDQ/NeW3QAAAAoBAAAPAAAAAAAAAAAAAAAAAH0EAABkcnMvZG93bnJl&#10;di54bWxQSwUGAAAAAAQABADzAAAAhwUAAAAA&#10;" stroked="f">
                <v:textbox inset="0,0,0,0">
                  <w:txbxContent>
                    <w:p w14:paraId="6D854B36" w14:textId="77777777" w:rsidR="00442E31" w:rsidRPr="0029791D" w:rsidRDefault="00442E31" w:rsidP="00C9521D">
                      <w:pPr>
                        <w:ind w:left="1134" w:right="1134"/>
                        <w:jc w:val="center"/>
                      </w:pPr>
                      <w:r>
                        <w:t>_______________</w:t>
                      </w:r>
                    </w:p>
                    <w:p w14:paraId="2DA33DCB" w14:textId="77777777" w:rsidR="00442E31" w:rsidRDefault="00442E31" w:rsidP="00C9521D">
                      <w:pPr>
                        <w:jc w:val="center"/>
                        <w:rPr>
                          <w:b/>
                          <w:bCs/>
                          <w:sz w:val="22"/>
                        </w:rPr>
                      </w:pPr>
                      <w:r>
                        <w:rPr>
                          <w:noProof/>
                          <w:lang w:eastAsia="fr-CH"/>
                        </w:rPr>
                        <w:drawing>
                          <wp:inline distT="0" distB="0" distL="0" distR="0" wp14:anchorId="0916EAF9" wp14:editId="4F41193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A86733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7F7E1A">
        <w:rPr>
          <w:spacing w:val="-2"/>
          <w:lang w:val="fr-FR"/>
        </w:rPr>
        <w:t>Le présent document est communiqué uniquement à titre d’information. Le texte authentique, juridiquement contraignant, est celui du document</w:t>
      </w:r>
      <w:r w:rsidR="001832CD">
        <w:rPr>
          <w:spacing w:val="-2"/>
          <w:lang w:val="fr-FR"/>
        </w:rPr>
        <w:t> </w:t>
      </w:r>
      <w:r w:rsidRPr="007F7E1A">
        <w:rPr>
          <w:spacing w:val="-2"/>
          <w:lang w:val="fr-FR"/>
        </w:rPr>
        <w:t>:</w:t>
      </w:r>
      <w:r>
        <w:rPr>
          <w:spacing w:val="-2"/>
          <w:lang w:val="fr-FR"/>
        </w:rPr>
        <w:t xml:space="preserve"> </w:t>
      </w:r>
      <w:r w:rsidRPr="007F7E1A">
        <w:rPr>
          <w:spacing w:val="-2"/>
          <w:lang w:val="fr-FR"/>
        </w:rPr>
        <w:t>ECE/TRANS/WP.29/2018/150</w:t>
      </w:r>
      <w:r>
        <w:rPr>
          <w:lang w:val="fr-FR"/>
        </w:rPr>
        <w:t>.</w:t>
      </w:r>
    </w:p>
    <w:p w14:paraId="70B22F77" w14:textId="77777777" w:rsidR="007F7E1A" w:rsidRPr="00A106CC" w:rsidRDefault="007F7E1A" w:rsidP="007F7E1A">
      <w:pPr>
        <w:pStyle w:val="SingleTxtG"/>
        <w:rPr>
          <w:i/>
          <w:iCs/>
          <w:lang w:val="fr-FR"/>
        </w:rPr>
      </w:pPr>
      <w:r>
        <w:rPr>
          <w:lang w:val="fr-FR"/>
        </w:rPr>
        <w:br w:type="page"/>
      </w:r>
      <w:r w:rsidRPr="007F7E1A">
        <w:rPr>
          <w:i/>
          <w:lang w:val="fr-FR"/>
        </w:rPr>
        <w:lastRenderedPageBreak/>
        <w:t>Annexe</w:t>
      </w:r>
      <w:r w:rsidRPr="00FD7D77">
        <w:rPr>
          <w:i/>
          <w:iCs/>
          <w:lang w:val="fr-FR"/>
        </w:rPr>
        <w:t xml:space="preserve"> 8</w:t>
      </w:r>
    </w:p>
    <w:p w14:paraId="7ED3C942" w14:textId="77777777" w:rsidR="007F7E1A" w:rsidRPr="00A106CC" w:rsidRDefault="007F7E1A" w:rsidP="007F7E1A">
      <w:pPr>
        <w:pStyle w:val="SingleTxtG"/>
        <w:rPr>
          <w:lang w:val="fr-FR"/>
        </w:rPr>
      </w:pPr>
      <w:r w:rsidRPr="007F7E1A">
        <w:rPr>
          <w:i/>
          <w:lang w:val="fr-FR"/>
        </w:rPr>
        <w:t>Paragraphe</w:t>
      </w:r>
      <w:r w:rsidRPr="00FD7D77">
        <w:rPr>
          <w:i/>
          <w:iCs/>
          <w:lang w:val="fr-FR"/>
        </w:rPr>
        <w:t xml:space="preserve"> 3.1</w:t>
      </w:r>
      <w:r>
        <w:rPr>
          <w:lang w:val="fr-FR"/>
        </w:rPr>
        <w:t>, lire :</w:t>
      </w:r>
    </w:p>
    <w:p w14:paraId="1DDCF1DF" w14:textId="77777777" w:rsidR="007F7E1A" w:rsidRPr="00A106CC" w:rsidRDefault="007F7E1A" w:rsidP="007F7E1A">
      <w:pPr>
        <w:pStyle w:val="SingleTxtG"/>
        <w:ind w:left="2268" w:hanging="1134"/>
        <w:rPr>
          <w:lang w:val="fr-FR"/>
        </w:rPr>
      </w:pPr>
      <w:r>
        <w:rPr>
          <w:lang w:val="fr-FR"/>
        </w:rPr>
        <w:t>« 3.1</w:t>
      </w:r>
      <w:r>
        <w:rPr>
          <w:lang w:val="fr-FR"/>
        </w:rPr>
        <w:tab/>
        <w:t>Deux essais sont effectués dans les conditions suivantes :</w:t>
      </w:r>
    </w:p>
    <w:p w14:paraId="4037CC75" w14:textId="77777777" w:rsidR="007F7E1A" w:rsidRPr="00A106CC" w:rsidRDefault="007F7E1A" w:rsidP="007F7E1A">
      <w:pPr>
        <w:pStyle w:val="SingleTxtG"/>
        <w:ind w:left="2268"/>
        <w:rPr>
          <w:lang w:val="fr-FR"/>
        </w:rPr>
      </w:pPr>
      <w:r>
        <w:rPr>
          <w:lang w:val="fr-FR"/>
        </w:rPr>
        <w:t>Condition A :</w:t>
      </w:r>
      <w:r w:rsidR="001832CD">
        <w:rPr>
          <w:lang w:val="fr-FR"/>
        </w:rPr>
        <w:t xml:space="preserve"> </w:t>
      </w:r>
      <w:r>
        <w:rPr>
          <w:lang w:val="fr-FR"/>
        </w:rPr>
        <w:t>L’essai est débuté avec un dispositif de stockage de l’énergie électrique ou autre complètement chargé.</w:t>
      </w:r>
    </w:p>
    <w:p w14:paraId="37AB732E" w14:textId="77777777" w:rsidR="007F7E1A" w:rsidRPr="00A106CC" w:rsidRDefault="007F7E1A" w:rsidP="007F7E1A">
      <w:pPr>
        <w:pStyle w:val="SingleTxtG"/>
        <w:ind w:left="2268"/>
        <w:rPr>
          <w:lang w:val="fr-FR"/>
        </w:rPr>
      </w:pPr>
      <w:r>
        <w:rPr>
          <w:lang w:val="fr-FR"/>
        </w:rPr>
        <w:t>Condition B :</w:t>
      </w:r>
      <w:r w:rsidR="001832CD">
        <w:rPr>
          <w:lang w:val="fr-FR"/>
        </w:rPr>
        <w:t xml:space="preserve"> </w:t>
      </w:r>
      <w:r>
        <w:rPr>
          <w:lang w:val="fr-FR"/>
        </w:rPr>
        <w:t>L’essai est débuté avec un dispositif de stockage de l’énergie électrique ou autre au niveau de charge minimal (décharge maximale de la capacité).</w:t>
      </w:r>
    </w:p>
    <w:p w14:paraId="476E7AE9" w14:textId="77777777" w:rsidR="007F7E1A" w:rsidRPr="00A106CC" w:rsidRDefault="007F7E1A" w:rsidP="007F7E1A">
      <w:pPr>
        <w:pStyle w:val="SingleTxtG"/>
        <w:ind w:left="2268"/>
        <w:rPr>
          <w:lang w:val="fr-FR"/>
        </w:rPr>
      </w:pPr>
      <w:r>
        <w:rPr>
          <w:lang w:val="fr-FR"/>
        </w:rPr>
        <w:t>Le profil du niveau de charge du dispositif de stockage de l’énergie électrique ou autre durant les différentes phases de l’essai du type I est indiqué à l’appendice 1 de la présente annexe. »</w:t>
      </w:r>
    </w:p>
    <w:p w14:paraId="746E1642" w14:textId="77777777" w:rsidR="007F7E1A" w:rsidRPr="00A106CC" w:rsidRDefault="007F7E1A" w:rsidP="007F7E1A">
      <w:pPr>
        <w:pStyle w:val="SingleTxtG"/>
        <w:rPr>
          <w:i/>
          <w:lang w:val="fr-FR"/>
        </w:rPr>
      </w:pPr>
      <w:r w:rsidRPr="00FD7D77">
        <w:rPr>
          <w:i/>
          <w:iCs/>
          <w:lang w:val="fr-FR"/>
        </w:rPr>
        <w:t>Paragraphe 4.1,</w:t>
      </w:r>
      <w:r>
        <w:rPr>
          <w:lang w:val="fr-FR"/>
        </w:rPr>
        <w:t xml:space="preserve"> lire :</w:t>
      </w:r>
    </w:p>
    <w:p w14:paraId="3E58C51B" w14:textId="77777777" w:rsidR="007F7E1A" w:rsidRPr="00A106CC" w:rsidRDefault="007F7E1A" w:rsidP="007F7E1A">
      <w:pPr>
        <w:pStyle w:val="SingleTxtG"/>
        <w:ind w:left="2268" w:hanging="1134"/>
        <w:rPr>
          <w:lang w:val="fr-FR"/>
        </w:rPr>
      </w:pPr>
      <w:r>
        <w:rPr>
          <w:lang w:val="fr-FR"/>
        </w:rPr>
        <w:t>« 4.1</w:t>
      </w:r>
      <w:r>
        <w:rPr>
          <w:lang w:val="fr-FR"/>
        </w:rPr>
        <w:tab/>
        <w:t>Deux essais sont effectués dans les conditions suivantes</w:t>
      </w:r>
      <w:r w:rsidR="001832CD">
        <w:rPr>
          <w:lang w:val="fr-FR"/>
        </w:rPr>
        <w:t> </w:t>
      </w:r>
      <w:r>
        <w:rPr>
          <w:lang w:val="fr-FR"/>
        </w:rPr>
        <w:t>:</w:t>
      </w:r>
    </w:p>
    <w:p w14:paraId="6E8E82A2" w14:textId="77777777" w:rsidR="007F7E1A" w:rsidRPr="00A106CC" w:rsidRDefault="007F7E1A" w:rsidP="007F7E1A">
      <w:pPr>
        <w:pStyle w:val="SingleTxtG"/>
        <w:ind w:left="2268" w:hanging="1134"/>
        <w:rPr>
          <w:lang w:val="fr-FR"/>
        </w:rPr>
      </w:pPr>
      <w:r>
        <w:rPr>
          <w:lang w:val="fr-FR"/>
        </w:rPr>
        <w:t>4.1.1</w:t>
      </w:r>
      <w:r>
        <w:rPr>
          <w:lang w:val="fr-FR"/>
        </w:rPr>
        <w:tab/>
        <w:t>Condition A : L’essai est débuté avec un dispositif de stockage de l’énergie électrique ou autre complètement chargé.</w:t>
      </w:r>
    </w:p>
    <w:p w14:paraId="6C367B48" w14:textId="77777777" w:rsidR="007F7E1A" w:rsidRPr="003E7490" w:rsidRDefault="007F7E1A" w:rsidP="007F7E1A">
      <w:pPr>
        <w:pStyle w:val="SingleTxtG"/>
        <w:ind w:left="2268" w:hanging="1134"/>
        <w:rPr>
          <w:lang w:val="fr-FR"/>
        </w:rPr>
      </w:pPr>
      <w:r>
        <w:rPr>
          <w:lang w:val="fr-FR"/>
        </w:rPr>
        <w:t>4.1.2</w:t>
      </w:r>
      <w:r>
        <w:rPr>
          <w:lang w:val="fr-FR"/>
        </w:rPr>
        <w:tab/>
        <w:t>Condition B : L’essai est débuté avec un dispositif de stockage de l’énergie électrique ou autre au niveau de charge minimal (décharge maximale de la capacité) et effectué dans un mode de fonctionnement propre à maintenir le véhicule dans son état de charge, qui correspond à des conditions de fonctionnement dans lesquelles l’énergie stockée dans le dispositif de stockage d’énergie peut fluctuer mais est maintenue en moyenne à un niveau de charge stable pendant que le véhicule roule.</w:t>
      </w:r>
    </w:p>
    <w:p w14:paraId="012471DF" w14:textId="77777777" w:rsidR="007F7E1A" w:rsidRPr="003E7490" w:rsidRDefault="007F7E1A" w:rsidP="007F7E1A">
      <w:pPr>
        <w:pStyle w:val="SingleTxtG"/>
        <w:ind w:left="2268" w:hanging="1134"/>
        <w:rPr>
          <w:lang w:val="fr-FR"/>
        </w:rPr>
      </w:pPr>
      <w:r w:rsidRPr="003E7490">
        <w:rPr>
          <w:lang w:val="fr-FR"/>
        </w:rPr>
        <w:t>4.1.3</w:t>
      </w:r>
      <w:r w:rsidRPr="003E7490">
        <w:rPr>
          <w:lang w:val="fr-FR"/>
        </w:rPr>
        <w:tab/>
        <w:t>En accord avec l’autorité d’homologation de type et sur justification du constructeur, les modes de fonctionnement suivants ne doivent pas être utilisés aux fins d’essai</w:t>
      </w:r>
      <w:r>
        <w:rPr>
          <w:lang w:val="fr-FR"/>
        </w:rPr>
        <w:t> </w:t>
      </w:r>
      <w:r w:rsidRPr="003E7490">
        <w:rPr>
          <w:lang w:val="fr-FR"/>
        </w:rPr>
        <w:t>:</w:t>
      </w:r>
    </w:p>
    <w:p w14:paraId="6E311D19" w14:textId="77777777" w:rsidR="007F7E1A" w:rsidRPr="003E7490" w:rsidRDefault="007F7E1A" w:rsidP="007F7E1A">
      <w:pPr>
        <w:pStyle w:val="SingleTxtG"/>
        <w:ind w:left="2835" w:hanging="567"/>
        <w:rPr>
          <w:lang w:val="fr-FR"/>
        </w:rPr>
      </w:pPr>
      <w:r w:rsidRPr="003E7490">
        <w:rPr>
          <w:lang w:val="fr-FR"/>
        </w:rPr>
        <w:t>a)</w:t>
      </w:r>
      <w:r w:rsidRPr="003E7490">
        <w:rPr>
          <w:lang w:val="fr-FR"/>
        </w:rPr>
        <w:tab/>
        <w:t xml:space="preserve">Les modes de </w:t>
      </w:r>
      <w:r w:rsidRPr="007F7E1A">
        <w:rPr>
          <w:bCs/>
          <w:lang w:val="fr-FR"/>
        </w:rPr>
        <w:t>fonctionnement</w:t>
      </w:r>
      <w:r w:rsidRPr="003E7490">
        <w:rPr>
          <w:lang w:val="fr-FR"/>
        </w:rPr>
        <w:t>, comme le “mode charge” qui ne sont pas limités à la propulsion du véhicule mais qui, en outre, permettent de recharger le dispositif de stockage d’énergie afin de faciliter localement la conduite sans émissions (par exemple, dans des conditions urbaines)</w:t>
      </w:r>
      <w:r>
        <w:rPr>
          <w:lang w:val="fr-FR"/>
        </w:rPr>
        <w:t> </w:t>
      </w:r>
      <w:r w:rsidRPr="003E7490">
        <w:rPr>
          <w:lang w:val="fr-FR"/>
        </w:rPr>
        <w:t>;</w:t>
      </w:r>
    </w:p>
    <w:p w14:paraId="6D3644E9" w14:textId="77777777" w:rsidR="007F7E1A" w:rsidRPr="003E7490" w:rsidRDefault="007F7E1A" w:rsidP="007F7E1A">
      <w:pPr>
        <w:pStyle w:val="SingleTxtG"/>
        <w:ind w:left="2835" w:hanging="567"/>
        <w:rPr>
          <w:lang w:val="fr-FR"/>
        </w:rPr>
      </w:pPr>
      <w:r w:rsidRPr="003E7490">
        <w:rPr>
          <w:lang w:val="fr-FR"/>
        </w:rPr>
        <w:t>b)</w:t>
      </w:r>
      <w:r w:rsidRPr="003E7490">
        <w:rPr>
          <w:lang w:val="fr-FR"/>
        </w:rPr>
        <w:tab/>
        <w:t>Les modes de fonctionnement destinés à l’entretien du véhicule, comme le “mode maintenance”</w:t>
      </w:r>
      <w:r>
        <w:rPr>
          <w:lang w:val="fr-FR"/>
        </w:rPr>
        <w:t> </w:t>
      </w:r>
      <w:r w:rsidRPr="003E7490">
        <w:rPr>
          <w:lang w:val="fr-FR"/>
        </w:rPr>
        <w:t>;</w:t>
      </w:r>
    </w:p>
    <w:p w14:paraId="55FE9B8D" w14:textId="77777777" w:rsidR="007F7E1A" w:rsidRPr="003E7490" w:rsidRDefault="007F7E1A" w:rsidP="007F7E1A">
      <w:pPr>
        <w:pStyle w:val="SingleTxtG"/>
        <w:ind w:left="2835" w:hanging="567"/>
        <w:rPr>
          <w:lang w:val="fr-FR"/>
        </w:rPr>
      </w:pPr>
      <w:r w:rsidRPr="003E7490">
        <w:rPr>
          <w:lang w:val="fr-FR"/>
        </w:rPr>
        <w:t>c)</w:t>
      </w:r>
      <w:r w:rsidRPr="003E7490">
        <w:rPr>
          <w:lang w:val="fr-FR"/>
        </w:rPr>
        <w:tab/>
        <w:t>Les modes de fonctionnement destinés à des usages spéciaux limités et non à l’usage quotidien, comme le “mode montagne”.</w:t>
      </w:r>
    </w:p>
    <w:p w14:paraId="23A24245" w14:textId="77777777" w:rsidR="007F7E1A" w:rsidRPr="00A106CC" w:rsidRDefault="007F7E1A" w:rsidP="007F7E1A">
      <w:pPr>
        <w:pStyle w:val="SingleTxtG"/>
        <w:ind w:left="2268" w:hanging="1134"/>
        <w:rPr>
          <w:lang w:val="fr-FR"/>
        </w:rPr>
      </w:pPr>
      <w:r>
        <w:rPr>
          <w:lang w:val="fr-FR"/>
        </w:rPr>
        <w:t>4.1.4</w:t>
      </w:r>
      <w:r>
        <w:rPr>
          <w:lang w:val="fr-FR"/>
        </w:rPr>
        <w:tab/>
        <w:t>Le mode de fonctionnement doit être sélectionné conformément aux dispositions des paragraphes 4.1.4.1 à 4.1.4.2.2 inclus.</w:t>
      </w:r>
    </w:p>
    <w:p w14:paraId="22D526F0" w14:textId="77777777" w:rsidR="007F7E1A" w:rsidRPr="00A106CC" w:rsidRDefault="007F7E1A" w:rsidP="007F7E1A">
      <w:pPr>
        <w:pStyle w:val="SingleTxtG"/>
        <w:ind w:left="2268" w:hanging="1134"/>
        <w:rPr>
          <w:lang w:val="fr-FR"/>
        </w:rPr>
      </w:pPr>
      <w:r>
        <w:rPr>
          <w:lang w:val="fr-FR"/>
        </w:rPr>
        <w:t>4.1.4.1</w:t>
      </w:r>
      <w:r>
        <w:rPr>
          <w:lang w:val="fr-FR"/>
        </w:rPr>
        <w:tab/>
        <w:t>Sélection du mode de fonctionnement pour la condition A</w:t>
      </w:r>
    </w:p>
    <w:p w14:paraId="66437ECE" w14:textId="77777777" w:rsidR="007F7E1A" w:rsidRPr="00A106CC" w:rsidRDefault="007F7E1A" w:rsidP="007F7E1A">
      <w:pPr>
        <w:pStyle w:val="SingleTxtG"/>
        <w:ind w:left="2268" w:hanging="1134"/>
        <w:rPr>
          <w:lang w:val="fr-FR"/>
        </w:rPr>
      </w:pPr>
      <w:r>
        <w:rPr>
          <w:lang w:val="fr-FR"/>
        </w:rPr>
        <w:t>4.1.4.1.1</w:t>
      </w:r>
      <w:r>
        <w:rPr>
          <w:lang w:val="fr-FR"/>
        </w:rPr>
        <w:tab/>
        <w:t xml:space="preserve">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w:t>
      </w:r>
      <w:proofErr w:type="gramStart"/>
      <w:r>
        <w:rPr>
          <w:lang w:val="fr-FR"/>
        </w:rPr>
        <w:t>doit</w:t>
      </w:r>
      <w:proofErr w:type="gramEnd"/>
      <w:r>
        <w:rPr>
          <w:lang w:val="fr-FR"/>
        </w:rPr>
        <w:t xml:space="preserve"> être sélectionné.</w:t>
      </w:r>
    </w:p>
    <w:p w14:paraId="466498D3" w14:textId="77777777" w:rsidR="007F7E1A" w:rsidRPr="00A106CC" w:rsidRDefault="007F7E1A" w:rsidP="007F7E1A">
      <w:pPr>
        <w:pStyle w:val="SingleTxtG"/>
        <w:ind w:left="2268" w:hanging="1134"/>
        <w:rPr>
          <w:szCs w:val="24"/>
          <w:lang w:val="fr-FR"/>
        </w:rPr>
      </w:pPr>
      <w:r>
        <w:rPr>
          <w:lang w:val="fr-FR"/>
        </w:rPr>
        <w:t>4.1.4.1.2</w:t>
      </w:r>
      <w:r>
        <w:rPr>
          <w:lang w:val="fr-FR"/>
        </w:rPr>
        <w:tab/>
        <w:t>Si, dans la condition A, il n’existe pas de mode de fonctionnement particulier qui soit sélectionné par défaut au démarrage du véhicule, le mode dans lequel la consommation d’énergie électrique est la plus forte doit être sélectionné.</w:t>
      </w:r>
    </w:p>
    <w:p w14:paraId="1C47B763" w14:textId="77777777" w:rsidR="007F7E1A" w:rsidRPr="00A106CC" w:rsidRDefault="007F7E1A" w:rsidP="007F7E1A">
      <w:pPr>
        <w:pStyle w:val="SingleTxtG"/>
        <w:ind w:left="2268" w:hanging="1134"/>
        <w:rPr>
          <w:lang w:val="fr-FR"/>
        </w:rPr>
      </w:pPr>
      <w:r>
        <w:rPr>
          <w:lang w:val="fr-FR"/>
        </w:rPr>
        <w:t>4.1.4.2</w:t>
      </w:r>
      <w:r>
        <w:rPr>
          <w:lang w:val="fr-FR"/>
        </w:rPr>
        <w:tab/>
        <w:t>Sélection du mode de fonctionnement pour la condition B</w:t>
      </w:r>
    </w:p>
    <w:p w14:paraId="0653178D" w14:textId="77777777" w:rsidR="007F7E1A" w:rsidRPr="00A106CC" w:rsidRDefault="007F7E1A" w:rsidP="007F7E1A">
      <w:pPr>
        <w:pStyle w:val="SingleTxtG"/>
        <w:ind w:left="2268" w:hanging="1134"/>
        <w:rPr>
          <w:lang w:val="fr-FR"/>
        </w:rPr>
      </w:pPr>
      <w:r>
        <w:rPr>
          <w:lang w:val="fr-FR"/>
        </w:rPr>
        <w:t>4.1.4.2.1</w:t>
      </w:r>
      <w:r>
        <w:rPr>
          <w:lang w:val="fr-FR"/>
        </w:rPr>
        <w:tab/>
        <w:t xml:space="preserve">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w:t>
      </w:r>
      <w:r>
        <w:rPr>
          <w:lang w:val="fr-FR"/>
        </w:rPr>
        <w:lastRenderedPageBreak/>
        <w:t>conducteur ni redéfini, ce mode de fonctionnement particulier doit être sélectionné.</w:t>
      </w:r>
    </w:p>
    <w:p w14:paraId="3CBB33BF" w14:textId="77777777" w:rsidR="007F7E1A" w:rsidRPr="00A106CC" w:rsidRDefault="007F7E1A" w:rsidP="007F7E1A">
      <w:pPr>
        <w:pStyle w:val="SingleTxtG"/>
        <w:ind w:left="2268" w:hanging="1134"/>
        <w:rPr>
          <w:szCs w:val="24"/>
          <w:lang w:val="fr-FR"/>
        </w:rPr>
      </w:pPr>
      <w:r>
        <w:rPr>
          <w:lang w:val="fr-FR"/>
        </w:rPr>
        <w:t>4.1.4.2.2</w:t>
      </w:r>
      <w:r>
        <w:rPr>
          <w:lang w:val="fr-FR"/>
        </w:rPr>
        <w:tab/>
        <w:t>Si, dans la condition B, il n’existe pas de mode de fonctionnement particulier qui soit sélectionné par défaut au démarrage du véhicule, le mode dans lequel la consommation de carburant est la plus forte doit être sélectionné. »</w:t>
      </w:r>
      <w:r w:rsidR="001832CD">
        <w:rPr>
          <w:lang w:val="fr-FR"/>
        </w:rPr>
        <w:t>.</w:t>
      </w:r>
    </w:p>
    <w:p w14:paraId="74BCF0B6" w14:textId="77777777" w:rsidR="007F7E1A" w:rsidRPr="00A106CC" w:rsidRDefault="007F7E1A" w:rsidP="007F7E1A">
      <w:pPr>
        <w:pStyle w:val="SingleTxtG"/>
        <w:rPr>
          <w:i/>
          <w:lang w:val="fr-FR"/>
        </w:rPr>
      </w:pPr>
      <w:r w:rsidRPr="007F7E1A">
        <w:rPr>
          <w:i/>
          <w:lang w:val="fr-FR"/>
        </w:rPr>
        <w:t>Annexe</w:t>
      </w:r>
      <w:r>
        <w:rPr>
          <w:i/>
          <w:iCs/>
          <w:lang w:val="fr-FR"/>
        </w:rPr>
        <w:t xml:space="preserve"> 10</w:t>
      </w:r>
    </w:p>
    <w:p w14:paraId="0F6B7D84" w14:textId="77777777" w:rsidR="007F7E1A" w:rsidRPr="00A106CC" w:rsidRDefault="007F7E1A" w:rsidP="007F7E1A">
      <w:pPr>
        <w:pStyle w:val="SingleTxtG"/>
        <w:rPr>
          <w:i/>
          <w:lang w:val="fr-FR"/>
        </w:rPr>
      </w:pPr>
      <w:r>
        <w:rPr>
          <w:i/>
          <w:iCs/>
          <w:lang w:val="fr-FR"/>
        </w:rPr>
        <w:t xml:space="preserve">Ajouter un nouveau </w:t>
      </w:r>
      <w:r w:rsidRPr="007F7E1A">
        <w:rPr>
          <w:i/>
          <w:lang w:val="fr-FR"/>
        </w:rPr>
        <w:t>paragraphe</w:t>
      </w:r>
      <w:r>
        <w:rPr>
          <w:i/>
          <w:iCs/>
          <w:lang w:val="fr-FR"/>
        </w:rPr>
        <w:t xml:space="preserve"> 1.2, </w:t>
      </w:r>
      <w:r w:rsidRPr="00FD7D77">
        <w:rPr>
          <w:lang w:val="fr-FR"/>
        </w:rPr>
        <w:t>libellé comme suit</w:t>
      </w:r>
      <w:r>
        <w:rPr>
          <w:lang w:val="fr-FR"/>
        </w:rPr>
        <w:t> </w:t>
      </w:r>
      <w:r w:rsidRPr="00FD7D77">
        <w:rPr>
          <w:lang w:val="fr-FR"/>
        </w:rPr>
        <w:t>:</w:t>
      </w:r>
    </w:p>
    <w:p w14:paraId="29BAED1F" w14:textId="77777777" w:rsidR="007F7E1A" w:rsidRPr="00A106CC" w:rsidRDefault="007F7E1A" w:rsidP="007F7E1A">
      <w:pPr>
        <w:pStyle w:val="SingleTxtG"/>
        <w:ind w:left="2268" w:hanging="1134"/>
        <w:rPr>
          <w:bCs/>
          <w:lang w:val="fr-FR"/>
        </w:rPr>
      </w:pPr>
      <w:r>
        <w:rPr>
          <w:lang w:val="fr-FR"/>
        </w:rPr>
        <w:t>« 1.2</w:t>
      </w:r>
      <w:r>
        <w:rPr>
          <w:lang w:val="fr-FR"/>
        </w:rPr>
        <w:tab/>
        <w:t>Variante de procédure</w:t>
      </w:r>
    </w:p>
    <w:p w14:paraId="032792A3" w14:textId="77777777" w:rsidR="007F7E1A" w:rsidRPr="00A106CC" w:rsidRDefault="007F7E1A" w:rsidP="007F7E1A">
      <w:pPr>
        <w:pStyle w:val="SingleTxtG"/>
        <w:ind w:left="2268"/>
        <w:rPr>
          <w:bCs/>
          <w:lang w:val="fr-FR"/>
        </w:rPr>
      </w:pPr>
      <w:r>
        <w:rPr>
          <w:lang w:val="fr-FR"/>
        </w:rPr>
        <w:t>Au lieu de suivre la procédure définie dans la présente annexe, le constructeur peut utiliser les résultats obtenus avec la procédure WLTP, telle que décrite à l’appendice 1 de l’annexe 6 du RTM ONU n</w:t>
      </w:r>
      <w:r w:rsidRPr="007F7E1A">
        <w:rPr>
          <w:vertAlign w:val="superscript"/>
          <w:lang w:val="fr-FR"/>
        </w:rPr>
        <w:t>o</w:t>
      </w:r>
      <w:r>
        <w:rPr>
          <w:lang w:val="fr-FR"/>
        </w:rPr>
        <w:t> 15, amendement</w:t>
      </w:r>
      <w:r w:rsidR="001832CD">
        <w:rPr>
          <w:lang w:val="fr-FR"/>
        </w:rPr>
        <w:t> </w:t>
      </w:r>
      <w:r>
        <w:rPr>
          <w:lang w:val="fr-FR"/>
        </w:rPr>
        <w:t>4.</w:t>
      </w:r>
    </w:p>
    <w:p w14:paraId="2031188F" w14:textId="77777777" w:rsidR="007F7E1A" w:rsidRPr="00A106CC" w:rsidRDefault="007F7E1A" w:rsidP="007F7E1A">
      <w:pPr>
        <w:pStyle w:val="SingleTxtG"/>
        <w:ind w:left="2268"/>
        <w:rPr>
          <w:bCs/>
          <w:lang w:val="fr-FR"/>
        </w:rPr>
      </w:pPr>
      <w:r>
        <w:rPr>
          <w:lang w:val="fr-FR"/>
        </w:rPr>
        <w:t>Dans ce cas, les dispositions suivantes sont applicables</w:t>
      </w:r>
      <w:r w:rsidR="001832CD">
        <w:rPr>
          <w:lang w:val="fr-FR"/>
        </w:rPr>
        <w:t> </w:t>
      </w:r>
      <w:r>
        <w:rPr>
          <w:lang w:val="fr-FR"/>
        </w:rPr>
        <w:t>:</w:t>
      </w:r>
    </w:p>
    <w:p w14:paraId="1687F946" w14:textId="77777777" w:rsidR="007F7E1A" w:rsidRPr="00A106CC" w:rsidRDefault="007F7E1A" w:rsidP="007F7E1A">
      <w:pPr>
        <w:pStyle w:val="SingleTxtG"/>
        <w:ind w:left="2835" w:hanging="567"/>
        <w:rPr>
          <w:bCs/>
          <w:lang w:val="fr-FR"/>
        </w:rPr>
      </w:pPr>
      <w:r>
        <w:rPr>
          <w:lang w:val="fr-FR"/>
        </w:rPr>
        <w:t>a)</w:t>
      </w:r>
      <w:r>
        <w:rPr>
          <w:lang w:val="fr-FR"/>
        </w:rPr>
        <w:tab/>
        <w:t>À la demande du constructeur et avec l’accord de l’autorité d’homologation, la phase extra haute peut être exclue pour déterminer le coefficient de régénération Ki pour les véhicules de la classe 2 et de la classe 3 ;</w:t>
      </w:r>
    </w:p>
    <w:p w14:paraId="7972BC4E" w14:textId="77777777" w:rsidR="007F7E1A" w:rsidRPr="00A106CC" w:rsidRDefault="007F7E1A" w:rsidP="007F7E1A">
      <w:pPr>
        <w:pStyle w:val="SingleTxtG"/>
        <w:ind w:left="2835" w:hanging="567"/>
        <w:rPr>
          <w:bCs/>
          <w:lang w:val="fr-FR"/>
        </w:rPr>
      </w:pPr>
      <w:r>
        <w:rPr>
          <w:lang w:val="fr-FR"/>
        </w:rPr>
        <w:t>b)</w:t>
      </w:r>
      <w:r>
        <w:rPr>
          <w:lang w:val="fr-FR"/>
        </w:rPr>
        <w:tab/>
        <w:t>Le critère décrit au paragraphe 2.2 de la présente annexe est remplacé par un nouveau critère fonction de la masse d’essai WLTP</w:t>
      </w:r>
      <w:r w:rsidR="001832CD">
        <w:rPr>
          <w:lang w:val="fr-FR"/>
        </w:rPr>
        <w:t> </w:t>
      </w:r>
      <w:r>
        <w:rPr>
          <w:lang w:val="fr-FR"/>
        </w:rPr>
        <w:t>: la masse d’essai de chaque véhicule de la famille doit être inférieure ou égale à la masse d’essai du véhicule utilisé pour l’essai de contrôle de Ki plus 250 kg ;</w:t>
      </w:r>
    </w:p>
    <w:p w14:paraId="41AF0049" w14:textId="77777777" w:rsidR="007F7E1A" w:rsidRDefault="007F7E1A" w:rsidP="007F7E1A">
      <w:pPr>
        <w:pStyle w:val="SingleTxtG"/>
        <w:ind w:left="2835" w:hanging="567"/>
      </w:pPr>
      <w:r>
        <w:rPr>
          <w:lang w:val="fr-FR"/>
        </w:rPr>
        <w:t>c)</w:t>
      </w:r>
      <w:r>
        <w:rPr>
          <w:lang w:val="fr-FR"/>
        </w:rPr>
        <w:tab/>
        <w:t>Le Ki additif ou multiplicatif est valable et doit être appliqué en conséquence. ».</w:t>
      </w:r>
    </w:p>
    <w:p w14:paraId="71AAC569" w14:textId="77777777" w:rsidR="005F0207" w:rsidRPr="007F7E1A" w:rsidRDefault="007F7E1A" w:rsidP="007F7E1A">
      <w:pPr>
        <w:pStyle w:val="SingleTxtG"/>
        <w:spacing w:before="240" w:after="0"/>
        <w:jc w:val="center"/>
        <w:rPr>
          <w:u w:val="single"/>
        </w:rPr>
      </w:pPr>
      <w:r>
        <w:rPr>
          <w:u w:val="single"/>
        </w:rPr>
        <w:tab/>
      </w:r>
      <w:r>
        <w:rPr>
          <w:u w:val="single"/>
        </w:rPr>
        <w:tab/>
      </w:r>
      <w:r>
        <w:rPr>
          <w:u w:val="single"/>
        </w:rPr>
        <w:tab/>
      </w:r>
    </w:p>
    <w:sectPr w:rsidR="005F0207" w:rsidRPr="007F7E1A" w:rsidSect="007F7E1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AA15" w14:textId="77777777" w:rsidR="00837A9F" w:rsidRDefault="00837A9F"/>
  </w:endnote>
  <w:endnote w:type="continuationSeparator" w:id="0">
    <w:p w14:paraId="0EF50FA1" w14:textId="77777777" w:rsidR="00837A9F" w:rsidRDefault="00837A9F">
      <w:pPr>
        <w:pStyle w:val="Footer"/>
      </w:pPr>
    </w:p>
  </w:endnote>
  <w:endnote w:type="continuationNotice" w:id="1">
    <w:p w14:paraId="49914CB7" w14:textId="77777777" w:rsidR="00837A9F" w:rsidRPr="00C451B9" w:rsidRDefault="00837A9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9634" w14:textId="77777777" w:rsidR="007F7E1A" w:rsidRPr="007F7E1A" w:rsidRDefault="007F7E1A" w:rsidP="007F7E1A">
    <w:pPr>
      <w:pStyle w:val="Footer"/>
      <w:tabs>
        <w:tab w:val="right" w:pos="9638"/>
      </w:tabs>
    </w:pPr>
    <w:r w:rsidRPr="007F7E1A">
      <w:rPr>
        <w:b/>
        <w:sz w:val="18"/>
      </w:rPr>
      <w:fldChar w:fldCharType="begin"/>
    </w:r>
    <w:r w:rsidRPr="007F7E1A">
      <w:rPr>
        <w:b/>
        <w:sz w:val="18"/>
      </w:rPr>
      <w:instrText xml:space="preserve"> PAGE  \* MERGEFORMAT </w:instrText>
    </w:r>
    <w:r w:rsidRPr="007F7E1A">
      <w:rPr>
        <w:b/>
        <w:sz w:val="18"/>
      </w:rPr>
      <w:fldChar w:fldCharType="separate"/>
    </w:r>
    <w:r w:rsidRPr="007F7E1A">
      <w:rPr>
        <w:b/>
        <w:noProof/>
        <w:sz w:val="18"/>
      </w:rPr>
      <w:t>2</w:t>
    </w:r>
    <w:r w:rsidRPr="007F7E1A">
      <w:rPr>
        <w:b/>
        <w:sz w:val="18"/>
      </w:rPr>
      <w:fldChar w:fldCharType="end"/>
    </w:r>
    <w:r>
      <w:rPr>
        <w:b/>
        <w:sz w:val="18"/>
      </w:rPr>
      <w:tab/>
    </w:r>
    <w:r>
      <w:t>GE.19-10456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210D" w14:textId="77777777" w:rsidR="007F7E1A" w:rsidRPr="007F7E1A" w:rsidRDefault="007F7E1A" w:rsidP="007F7E1A">
    <w:pPr>
      <w:pStyle w:val="Footer"/>
      <w:tabs>
        <w:tab w:val="right" w:pos="9638"/>
      </w:tabs>
      <w:rPr>
        <w:b/>
        <w:sz w:val="18"/>
      </w:rPr>
    </w:pPr>
    <w:r>
      <w:t>GE.19-10456</w:t>
    </w:r>
    <w:r>
      <w:tab/>
    </w:r>
    <w:r w:rsidRPr="007F7E1A">
      <w:rPr>
        <w:b/>
        <w:sz w:val="18"/>
      </w:rPr>
      <w:fldChar w:fldCharType="begin"/>
    </w:r>
    <w:r w:rsidRPr="007F7E1A">
      <w:rPr>
        <w:b/>
        <w:sz w:val="18"/>
      </w:rPr>
      <w:instrText xml:space="preserve"> PAGE  \* MERGEFORMAT </w:instrText>
    </w:r>
    <w:r w:rsidRPr="007F7E1A">
      <w:rPr>
        <w:b/>
        <w:sz w:val="18"/>
      </w:rPr>
      <w:fldChar w:fldCharType="separate"/>
    </w:r>
    <w:r w:rsidRPr="007F7E1A">
      <w:rPr>
        <w:b/>
        <w:noProof/>
        <w:sz w:val="18"/>
      </w:rPr>
      <w:t>3</w:t>
    </w:r>
    <w:r w:rsidRPr="007F7E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1B48" w14:textId="77777777" w:rsidR="00467F2C" w:rsidRPr="007F7E1A" w:rsidRDefault="007F7E1A" w:rsidP="007F7E1A">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A0C0A7F" wp14:editId="0AFB68E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10456  (</w:t>
    </w:r>
    <w:proofErr w:type="gramEnd"/>
    <w:r>
      <w:rPr>
        <w:sz w:val="20"/>
      </w:rPr>
      <w:t>F)    221119    261119</w:t>
    </w:r>
    <w:r>
      <w:rPr>
        <w:sz w:val="20"/>
      </w:rPr>
      <w:br/>
    </w:r>
    <w:r w:rsidRPr="007F7E1A">
      <w:rPr>
        <w:rFonts w:ascii="C39T30Lfz" w:hAnsi="C39T30Lfz"/>
        <w:sz w:val="56"/>
      </w:rPr>
      <w:t></w:t>
    </w:r>
    <w:r w:rsidRPr="007F7E1A">
      <w:rPr>
        <w:rFonts w:ascii="C39T30Lfz" w:hAnsi="C39T30Lfz"/>
        <w:sz w:val="56"/>
      </w:rPr>
      <w:t></w:t>
    </w:r>
    <w:r w:rsidRPr="007F7E1A">
      <w:rPr>
        <w:rFonts w:ascii="C39T30Lfz" w:hAnsi="C39T30Lfz"/>
        <w:sz w:val="56"/>
      </w:rPr>
      <w:t></w:t>
    </w:r>
    <w:r w:rsidRPr="007F7E1A">
      <w:rPr>
        <w:rFonts w:ascii="C39T30Lfz" w:hAnsi="C39T30Lfz"/>
        <w:sz w:val="56"/>
      </w:rPr>
      <w:t></w:t>
    </w:r>
    <w:r w:rsidRPr="007F7E1A">
      <w:rPr>
        <w:rFonts w:ascii="C39T30Lfz" w:hAnsi="C39T30Lfz"/>
        <w:sz w:val="56"/>
      </w:rPr>
      <w:t></w:t>
    </w:r>
    <w:r w:rsidRPr="007F7E1A">
      <w:rPr>
        <w:rFonts w:ascii="C39T30Lfz" w:hAnsi="C39T30Lfz"/>
        <w:sz w:val="56"/>
      </w:rPr>
      <w:t></w:t>
    </w:r>
    <w:r w:rsidRPr="007F7E1A">
      <w:rPr>
        <w:rFonts w:ascii="C39T30Lfz" w:hAnsi="C39T30Lfz"/>
        <w:sz w:val="56"/>
      </w:rPr>
      <w:t></w:t>
    </w:r>
    <w:r w:rsidRPr="007F7E1A">
      <w:rPr>
        <w:rFonts w:ascii="C39T30Lfz" w:hAnsi="C39T30Lfz"/>
        <w:sz w:val="56"/>
      </w:rPr>
      <w:t></w:t>
    </w:r>
    <w:r w:rsidRPr="007F7E1A">
      <w:rPr>
        <w:rFonts w:ascii="C39T30Lfz" w:hAnsi="C39T30Lfz"/>
        <w:sz w:val="56"/>
      </w:rPr>
      <w:t></w:t>
    </w:r>
    <w:r>
      <w:rPr>
        <w:noProof/>
        <w:sz w:val="20"/>
      </w:rPr>
      <w:drawing>
        <wp:anchor distT="0" distB="0" distL="114300" distR="114300" simplePos="0" relativeHeight="251658240" behindDoc="0" locked="0" layoutInCell="1" allowOverlap="1" wp14:anchorId="01858D23" wp14:editId="7B842EDC">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0/Rev.3/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0/Rev.3/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D91A" w14:textId="77777777" w:rsidR="00837A9F" w:rsidRPr="00D27D5E" w:rsidRDefault="00837A9F" w:rsidP="00D27D5E">
      <w:pPr>
        <w:tabs>
          <w:tab w:val="right" w:pos="2155"/>
        </w:tabs>
        <w:spacing w:after="80"/>
        <w:ind w:left="680"/>
        <w:rPr>
          <w:u w:val="single"/>
        </w:rPr>
      </w:pPr>
      <w:r>
        <w:rPr>
          <w:u w:val="single"/>
        </w:rPr>
        <w:tab/>
      </w:r>
    </w:p>
  </w:footnote>
  <w:footnote w:type="continuationSeparator" w:id="0">
    <w:p w14:paraId="4B708843" w14:textId="77777777" w:rsidR="00837A9F" w:rsidRPr="00D171D4" w:rsidRDefault="00837A9F" w:rsidP="00D171D4">
      <w:pPr>
        <w:tabs>
          <w:tab w:val="right" w:pos="2155"/>
        </w:tabs>
        <w:spacing w:after="80"/>
        <w:ind w:left="680"/>
        <w:rPr>
          <w:u w:val="single"/>
        </w:rPr>
      </w:pPr>
      <w:r w:rsidRPr="00D171D4">
        <w:rPr>
          <w:u w:val="single"/>
        </w:rPr>
        <w:tab/>
      </w:r>
    </w:p>
  </w:footnote>
  <w:footnote w:type="continuationNotice" w:id="1">
    <w:p w14:paraId="1E5025C9" w14:textId="77777777" w:rsidR="00837A9F" w:rsidRPr="00C451B9" w:rsidRDefault="00837A9F" w:rsidP="00C451B9">
      <w:pPr>
        <w:spacing w:line="240" w:lineRule="auto"/>
        <w:rPr>
          <w:sz w:val="2"/>
          <w:szCs w:val="2"/>
        </w:rPr>
      </w:pPr>
    </w:p>
  </w:footnote>
  <w:footnote w:id="2">
    <w:p w14:paraId="1906A224"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2E86F39B" w14:textId="77777777" w:rsidR="00591072" w:rsidRPr="00591072" w:rsidRDefault="00591072" w:rsidP="00591072">
      <w:pPr>
        <w:pStyle w:val="FootnoteText"/>
      </w:pPr>
      <w:r w:rsidRPr="007F7E1A">
        <w:tab/>
      </w:r>
      <w:r w:rsidRPr="007F7E1A">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A3C4173" w14:textId="77777777" w:rsidR="00442E31" w:rsidRPr="00442E31" w:rsidRDefault="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07D4" w14:textId="673066D3" w:rsidR="007F7E1A" w:rsidRPr="007F7E1A" w:rsidRDefault="007F7E1A">
    <w:pPr>
      <w:pStyle w:val="Header"/>
      <w:rPr>
        <w:lang w:val="en-US"/>
      </w:rPr>
    </w:pPr>
    <w:r>
      <w:fldChar w:fldCharType="begin"/>
    </w:r>
    <w:r w:rsidRPr="007F7E1A">
      <w:rPr>
        <w:lang w:val="en-US"/>
      </w:rPr>
      <w:instrText xml:space="preserve"> TITLE  \* MERGEFORMAT </w:instrText>
    </w:r>
    <w:r>
      <w:fldChar w:fldCharType="separate"/>
    </w:r>
    <w:r w:rsidR="006E7658">
      <w:rPr>
        <w:lang w:val="en-US"/>
      </w:rPr>
      <w:t>E/ECE/324/Rev.2/Add.100/Rev.3/Amend.7</w:t>
    </w:r>
    <w:r>
      <w:fldChar w:fldCharType="end"/>
    </w:r>
    <w:r w:rsidRPr="007F7E1A">
      <w:rPr>
        <w:lang w:val="en-US"/>
      </w:rPr>
      <w:br/>
    </w:r>
    <w:r>
      <w:fldChar w:fldCharType="begin"/>
    </w:r>
    <w:r w:rsidRPr="007F7E1A">
      <w:rPr>
        <w:lang w:val="en-US"/>
      </w:rPr>
      <w:instrText xml:space="preserve"> KEYWORDS  \* MERGEFORMAT </w:instrText>
    </w:r>
    <w:r>
      <w:fldChar w:fldCharType="separate"/>
    </w:r>
    <w:r w:rsidR="006E7658">
      <w:rPr>
        <w:lang w:val="en-US"/>
      </w:rPr>
      <w:t>E/ECE/TRANS/505/Rev.2/Add.100/Rev.3/Amend.7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3A68" w14:textId="60E963AC" w:rsidR="007F7E1A" w:rsidRPr="007F7E1A" w:rsidRDefault="007F7E1A" w:rsidP="007F7E1A">
    <w:pPr>
      <w:pStyle w:val="Header"/>
      <w:jc w:val="right"/>
      <w:rPr>
        <w:lang w:val="en-US"/>
      </w:rPr>
    </w:pPr>
    <w:r>
      <w:fldChar w:fldCharType="begin"/>
    </w:r>
    <w:r w:rsidRPr="007F7E1A">
      <w:rPr>
        <w:lang w:val="en-US"/>
      </w:rPr>
      <w:instrText xml:space="preserve"> TITLE  \* MERGEFORMAT </w:instrText>
    </w:r>
    <w:r>
      <w:fldChar w:fldCharType="separate"/>
    </w:r>
    <w:r w:rsidR="006E7658">
      <w:rPr>
        <w:lang w:val="en-US"/>
      </w:rPr>
      <w:t>E/ECE/324/Rev.2/Add.100/Rev.3/Amend.7</w:t>
    </w:r>
    <w:r>
      <w:fldChar w:fldCharType="end"/>
    </w:r>
    <w:r w:rsidRPr="007F7E1A">
      <w:rPr>
        <w:lang w:val="en-US"/>
      </w:rPr>
      <w:br/>
    </w:r>
    <w:r>
      <w:fldChar w:fldCharType="begin"/>
    </w:r>
    <w:r w:rsidRPr="007F7E1A">
      <w:rPr>
        <w:lang w:val="en-US"/>
      </w:rPr>
      <w:instrText xml:space="preserve"> KEYWORDS  \* MERGEFORMAT </w:instrText>
    </w:r>
    <w:r>
      <w:fldChar w:fldCharType="separate"/>
    </w:r>
    <w:r w:rsidR="006E7658">
      <w:rPr>
        <w:lang w:val="en-US"/>
      </w:rPr>
      <w:t>E/ECE/TRANS/505/Rev.2/Add.100/Rev.3/Amend.7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9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832CD"/>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CDC"/>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16AE"/>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E7658"/>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4348"/>
    <w:rsid w:val="007F55CB"/>
    <w:rsid w:val="007F768E"/>
    <w:rsid w:val="007F7E1A"/>
    <w:rsid w:val="008021D4"/>
    <w:rsid w:val="008149F9"/>
    <w:rsid w:val="00820484"/>
    <w:rsid w:val="008245B7"/>
    <w:rsid w:val="0082755E"/>
    <w:rsid w:val="00831A18"/>
    <w:rsid w:val="00837345"/>
    <w:rsid w:val="00837A9F"/>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703243"/>
  <w15:docId w15:val="{3DE07806-D1B5-4308-9787-684AB511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E/ECE/324/Rev.2/Add.100/Rev.3/Amend.7</vt:lpstr>
      <vt:lpstr>E/ECE/324/Rev.2/Add.100/Rev.3/Amend.7</vt:lpstr>
    </vt:vector>
  </TitlesOfParts>
  <Company>CSD</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E/ECE/324/Rev.2/Add.100/Rev.3/Amend.7</dc:title>
  <dc:creator>Julien OKRZESIK</dc:creator>
  <cp:keywords>E/ECE/TRANS/505/Rev.2/Add.100/Rev.3/Amend.7</cp:keywords>
  <cp:lastModifiedBy>Marie-Claude Collet</cp:lastModifiedBy>
  <cp:revision>3</cp:revision>
  <cp:lastPrinted>2019-12-05T14:22:00Z</cp:lastPrinted>
  <dcterms:created xsi:type="dcterms:W3CDTF">2019-12-05T14:22:00Z</dcterms:created>
  <dcterms:modified xsi:type="dcterms:W3CDTF">2019-12-05T14:23:00Z</dcterms:modified>
</cp:coreProperties>
</file>