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D44FA" w14:paraId="53605656" w14:textId="77777777" w:rsidTr="00A27C92">
        <w:trPr>
          <w:trHeight w:hRule="exact" w:val="851"/>
        </w:trPr>
        <w:tc>
          <w:tcPr>
            <w:tcW w:w="9639" w:type="dxa"/>
            <w:gridSpan w:val="2"/>
            <w:tcBorders>
              <w:bottom w:val="single" w:sz="4" w:space="0" w:color="auto"/>
            </w:tcBorders>
            <w:shd w:val="clear" w:color="auto" w:fill="auto"/>
            <w:vAlign w:val="bottom"/>
          </w:tcPr>
          <w:p w14:paraId="01FFF4D6" w14:textId="77777777" w:rsidR="00DD44FA" w:rsidRPr="00DD44FA" w:rsidRDefault="00DD44FA" w:rsidP="00DD44FA">
            <w:pPr>
              <w:jc w:val="right"/>
              <w:rPr>
                <w:lang w:val="en-US"/>
              </w:rPr>
            </w:pPr>
            <w:bookmarkStart w:id="0" w:name="_GoBack"/>
            <w:bookmarkEnd w:id="0"/>
            <w:r w:rsidRPr="00DD44FA">
              <w:rPr>
                <w:sz w:val="40"/>
                <w:lang w:val="en-US"/>
              </w:rPr>
              <w:t>E</w:t>
            </w:r>
            <w:r w:rsidRPr="00DD44FA">
              <w:rPr>
                <w:lang w:val="en-US"/>
              </w:rPr>
              <w:t>/ECE/324/Rev.1/Add.88/Amend.3−</w:t>
            </w:r>
            <w:r w:rsidRPr="00DD44FA">
              <w:rPr>
                <w:sz w:val="40"/>
                <w:lang w:val="en-US"/>
              </w:rPr>
              <w:t>E</w:t>
            </w:r>
            <w:r w:rsidRPr="00DD44FA">
              <w:rPr>
                <w:lang w:val="en-US"/>
              </w:rPr>
              <w:t>/ECE/TRANS/505/Rev.1/Add.88/Amend.3</w:t>
            </w:r>
          </w:p>
        </w:tc>
      </w:tr>
      <w:tr w:rsidR="00421A10" w:rsidRPr="00DB58B5" w14:paraId="66BE8EE4" w14:textId="77777777" w:rsidTr="00A27C92">
        <w:trPr>
          <w:trHeight w:hRule="exact" w:val="2835"/>
        </w:trPr>
        <w:tc>
          <w:tcPr>
            <w:tcW w:w="6804" w:type="dxa"/>
            <w:tcBorders>
              <w:top w:val="single" w:sz="4" w:space="0" w:color="auto"/>
              <w:bottom w:val="single" w:sz="12" w:space="0" w:color="auto"/>
            </w:tcBorders>
            <w:shd w:val="clear" w:color="auto" w:fill="auto"/>
          </w:tcPr>
          <w:p w14:paraId="31DCFB9C" w14:textId="77777777" w:rsidR="00421A10" w:rsidRPr="00DD44F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5AD5C67" w14:textId="77777777" w:rsidR="00421A10" w:rsidRPr="00DB58B5" w:rsidRDefault="00DD44FA" w:rsidP="00A27C92">
            <w:pPr>
              <w:spacing w:before="480" w:line="240" w:lineRule="exact"/>
            </w:pPr>
            <w:r>
              <w:t>16 janvier 2019</w:t>
            </w:r>
          </w:p>
        </w:tc>
      </w:tr>
    </w:tbl>
    <w:p w14:paraId="377CB8DD" w14:textId="77777777" w:rsidR="00421A10" w:rsidRPr="006549FF" w:rsidRDefault="0029791D" w:rsidP="00DD44FA">
      <w:pPr>
        <w:pStyle w:val="HChG"/>
        <w:spacing w:before="240"/>
      </w:pPr>
      <w:r>
        <w:tab/>
      </w:r>
      <w:r>
        <w:tab/>
      </w:r>
      <w:r w:rsidR="00421A10" w:rsidRPr="006549FF">
        <w:t>Accord</w:t>
      </w:r>
    </w:p>
    <w:p w14:paraId="46CCCFAD" w14:textId="77777777" w:rsidR="00421A10" w:rsidRPr="00583D68" w:rsidRDefault="0029791D" w:rsidP="00DD44FA">
      <w:pPr>
        <w:pStyle w:val="H1G"/>
        <w:spacing w:before="240"/>
      </w:pPr>
      <w:r>
        <w:tab/>
      </w:r>
      <w:r>
        <w:tab/>
      </w:r>
      <w:r w:rsidR="00421A10" w:rsidRPr="00583D68">
        <w:t xml:space="preserve">Concernant </w:t>
      </w:r>
      <w:r w:rsidR="00DD44FA" w:rsidRPr="00DD44FA">
        <w:t xml:space="preserve">l’adoption de Règlements techniques harmonisés </w:t>
      </w:r>
      <w:r w:rsidR="00DD44FA">
        <w:br/>
      </w:r>
      <w:r w:rsidR="00DD44FA" w:rsidRPr="00DD44FA">
        <w:t xml:space="preserve">de l’ONU applicables aux véhicules à roues et aux équipements </w:t>
      </w:r>
      <w:r w:rsidR="00DD44FA">
        <w:br/>
      </w:r>
      <w:r w:rsidR="00DD44FA" w:rsidRPr="00DD44FA">
        <w:t xml:space="preserve">et pièces susceptibles d’être montés ou utilisés sur les véhicules </w:t>
      </w:r>
      <w:r w:rsidR="00DD44FA">
        <w:br/>
      </w:r>
      <w:r w:rsidR="00DD44FA" w:rsidRPr="00DD44FA">
        <w:t>à roues et les conditions de reconnaissance réciproque des</w:t>
      </w:r>
      <w:r w:rsidR="00DD44FA">
        <w:t> </w:t>
      </w:r>
      <w:r w:rsidR="00DD44FA" w:rsidRPr="00DD44FA">
        <w:t>homologations délivrées conformément à ces Règlements</w:t>
      </w:r>
      <w:r w:rsidR="00442E31" w:rsidRPr="00DD44FA">
        <w:rPr>
          <w:rStyle w:val="FootnoteReference"/>
          <w:b w:val="0"/>
          <w:sz w:val="20"/>
          <w:vertAlign w:val="baseline"/>
        </w:rPr>
        <w:footnoteReference w:customMarkFollows="1" w:id="2"/>
        <w:t>*</w:t>
      </w:r>
    </w:p>
    <w:p w14:paraId="3A47EE13" w14:textId="77777777" w:rsidR="00421A10" w:rsidRPr="00A12483" w:rsidRDefault="00421A10" w:rsidP="0029791D">
      <w:pPr>
        <w:pStyle w:val="SingleTxtG"/>
        <w:jc w:val="left"/>
        <w:rPr>
          <w:b/>
          <w:sz w:val="24"/>
          <w:szCs w:val="24"/>
        </w:rPr>
      </w:pPr>
      <w:r w:rsidRPr="006549FF">
        <w:t>(</w:t>
      </w:r>
      <w:r w:rsidR="00DD44FA" w:rsidRPr="00DD44FA">
        <w:t>Révision 3, comprenant les amendements entrés en vigueur le 14 septembre 2017</w:t>
      </w:r>
      <w:r w:rsidRPr="006549FF">
        <w:t>)</w:t>
      </w:r>
    </w:p>
    <w:p w14:paraId="74851AA7" w14:textId="77777777" w:rsidR="00421A10" w:rsidRPr="006549FF" w:rsidRDefault="0029791D" w:rsidP="0029791D">
      <w:pPr>
        <w:jc w:val="center"/>
      </w:pPr>
      <w:r>
        <w:t>_______________</w:t>
      </w:r>
    </w:p>
    <w:p w14:paraId="315C6B03" w14:textId="77777777" w:rsidR="00421A10" w:rsidRPr="006549FF" w:rsidRDefault="0029791D" w:rsidP="00DD44FA">
      <w:pPr>
        <w:pStyle w:val="HChG"/>
        <w:spacing w:before="240"/>
      </w:pPr>
      <w:r>
        <w:tab/>
      </w:r>
      <w:r>
        <w:tab/>
      </w:r>
      <w:r w:rsidR="00421A10" w:rsidRPr="006549FF">
        <w:t xml:space="preserve">Additif </w:t>
      </w:r>
      <w:r w:rsidR="00DD44FA">
        <w:t>88 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DD44FA">
        <w:t>89</w:t>
      </w:r>
    </w:p>
    <w:p w14:paraId="41820CC2" w14:textId="77777777" w:rsidR="00421A10" w:rsidRPr="006549FF" w:rsidRDefault="0029791D" w:rsidP="00DD44FA">
      <w:pPr>
        <w:pStyle w:val="H1G"/>
        <w:spacing w:before="240" w:after="120"/>
      </w:pPr>
      <w:r>
        <w:tab/>
      </w:r>
      <w:r>
        <w:tab/>
      </w:r>
      <w:r w:rsidR="00DD44FA" w:rsidRPr="00DD44FA">
        <w:t>Amendement 3</w:t>
      </w:r>
    </w:p>
    <w:p w14:paraId="353050EF" w14:textId="77777777" w:rsidR="00421A10" w:rsidRPr="00DD44FA" w:rsidRDefault="00DD44FA" w:rsidP="00DD44FA">
      <w:pPr>
        <w:pStyle w:val="SingleTxtG"/>
        <w:spacing w:after="0"/>
        <w:rPr>
          <w:spacing w:val="-6"/>
        </w:rPr>
      </w:pPr>
      <w:r w:rsidRPr="00DD44FA">
        <w:rPr>
          <w:spacing w:val="-6"/>
        </w:rPr>
        <w:t>Complément 3 à la version originale du Règlement – Date d’entrée en vigueur : 29 décembre 2018</w:t>
      </w:r>
    </w:p>
    <w:p w14:paraId="199DAE3A" w14:textId="77777777" w:rsidR="00DD44FA" w:rsidRDefault="0029791D" w:rsidP="00DD44FA">
      <w:pPr>
        <w:pStyle w:val="H1G"/>
        <w:tabs>
          <w:tab w:val="left" w:pos="1190"/>
        </w:tabs>
        <w:kinsoku/>
        <w:overflowPunct/>
        <w:autoSpaceDE/>
        <w:autoSpaceDN/>
        <w:adjustRightInd/>
        <w:snapToGrid/>
        <w:spacing w:before="240" w:after="0"/>
        <w:ind w:left="1707" w:hanging="1707"/>
      </w:pPr>
      <w:r>
        <w:tab/>
      </w:r>
      <w:r>
        <w:tab/>
      </w:r>
      <w:r w:rsidR="00421A10" w:rsidRPr="007619D3">
        <w:t xml:space="preserve">Prescriptions </w:t>
      </w:r>
      <w:r w:rsidR="00DD44FA" w:rsidRPr="00DD44FA">
        <w:t>uniformes relatives à l’homologation des :</w:t>
      </w:r>
    </w:p>
    <w:p w14:paraId="5131B2E6" w14:textId="77777777" w:rsidR="00DD44FA" w:rsidRDefault="00DD44FA" w:rsidP="00DD44FA">
      <w:pPr>
        <w:pStyle w:val="H1G"/>
        <w:tabs>
          <w:tab w:val="left" w:pos="1190"/>
        </w:tabs>
        <w:kinsoku/>
        <w:overflowPunct/>
        <w:autoSpaceDE/>
        <w:autoSpaceDN/>
        <w:adjustRightInd/>
        <w:snapToGrid/>
        <w:spacing w:before="0" w:after="0"/>
        <w:ind w:left="1708" w:hanging="1708"/>
        <w:rPr>
          <w:lang w:val="fr-FR"/>
        </w:rPr>
      </w:pPr>
      <w:r>
        <w:tab/>
      </w:r>
      <w:r>
        <w:tab/>
      </w:r>
      <w:r w:rsidRPr="00DD44FA">
        <w:rPr>
          <w:lang w:val="fr-FR"/>
        </w:rPr>
        <w:t>I.</w:t>
      </w:r>
      <w:r w:rsidRPr="00DD44FA">
        <w:rPr>
          <w:lang w:val="fr-FR"/>
        </w:rPr>
        <w:tab/>
        <w:t>Véhicules, en ce qui concerne la limitation de leur vitesse maximale ou leur fonction de limitation réglable de la vitesse</w:t>
      </w:r>
    </w:p>
    <w:p w14:paraId="7AA8F47F" w14:textId="77777777" w:rsidR="00DD44FA" w:rsidRDefault="00DD44FA" w:rsidP="00DD44FA">
      <w:pPr>
        <w:pStyle w:val="H1G"/>
        <w:tabs>
          <w:tab w:val="left" w:pos="1190"/>
        </w:tabs>
        <w:kinsoku/>
        <w:overflowPunct/>
        <w:autoSpaceDE/>
        <w:autoSpaceDN/>
        <w:adjustRightInd/>
        <w:snapToGrid/>
        <w:spacing w:before="0" w:after="0"/>
        <w:ind w:left="1708" w:hanging="1708"/>
        <w:rPr>
          <w:lang w:val="fr-FR"/>
        </w:rPr>
      </w:pPr>
      <w:r>
        <w:rPr>
          <w:lang w:val="fr-FR"/>
        </w:rPr>
        <w:tab/>
      </w:r>
      <w:r>
        <w:rPr>
          <w:lang w:val="fr-FR"/>
        </w:rPr>
        <w:tab/>
      </w:r>
      <w:r w:rsidRPr="00DD44FA">
        <w:rPr>
          <w:lang w:val="fr-FR"/>
        </w:rPr>
        <w:t>II.</w:t>
      </w:r>
      <w:r w:rsidRPr="00DD44FA">
        <w:rPr>
          <w:lang w:val="fr-FR"/>
        </w:rPr>
        <w:tab/>
        <w:t>Véhicules, en ce qui concerne l’installation d’un dispositif limiteur de vitesse (DLV) ou d’un dispositif limiteur réglable de la vitesse (DLRV) de type homologué</w:t>
      </w:r>
    </w:p>
    <w:p w14:paraId="3EB8AF43" w14:textId="77777777" w:rsidR="00DD44FA" w:rsidRPr="00DD44FA" w:rsidRDefault="00DD44FA" w:rsidP="00DD44FA">
      <w:pPr>
        <w:pStyle w:val="H1G"/>
        <w:tabs>
          <w:tab w:val="left" w:pos="1190"/>
        </w:tabs>
        <w:kinsoku/>
        <w:overflowPunct/>
        <w:autoSpaceDE/>
        <w:autoSpaceDN/>
        <w:adjustRightInd/>
        <w:snapToGrid/>
        <w:spacing w:before="0" w:after="0"/>
        <w:ind w:left="1708" w:hanging="1708"/>
      </w:pPr>
      <w:r>
        <w:rPr>
          <w:lang w:val="fr-FR"/>
        </w:rPr>
        <w:tab/>
      </w:r>
      <w:r>
        <w:rPr>
          <w:lang w:val="fr-FR"/>
        </w:rPr>
        <w:tab/>
      </w:r>
      <w:r w:rsidRPr="00DD44FA">
        <w:rPr>
          <w:lang w:val="fr-FR"/>
        </w:rPr>
        <w:t>III.</w:t>
      </w:r>
      <w:r w:rsidRPr="00DD44FA">
        <w:rPr>
          <w:lang w:val="fr-FR"/>
        </w:rPr>
        <w:tab/>
        <w:t>Dispositifs limiteurs de vitesse (DLV) et dispositifs limiteurs réglables de la vitesse (DLRV)</w:t>
      </w:r>
    </w:p>
    <w:p w14:paraId="4E287262" w14:textId="77777777" w:rsidR="00DD44FA" w:rsidRDefault="00DD44FA" w:rsidP="00DD44FA">
      <w:pPr>
        <w:pStyle w:val="SingleTxtG"/>
        <w:spacing w:before="120"/>
        <w:rPr>
          <w:spacing w:val="-2"/>
        </w:rPr>
      </w:pPr>
      <w:r w:rsidRPr="00DD44FA">
        <w:rPr>
          <w:spacing w:val="-2"/>
        </w:rPr>
        <w:t>Le présent document est communiqué uniquement à titre d’information. Le texte authentique, juridiquement contraignant, est celui du document ECE/TRANS/WP.29/2018/56.</w:t>
      </w:r>
    </w:p>
    <w:p w14:paraId="00B8F9AA" w14:textId="77777777" w:rsidR="00DD44FA" w:rsidRPr="00DD44FA" w:rsidRDefault="00442E31" w:rsidP="00DD44FA">
      <w:pPr>
        <w:pStyle w:val="SingleTxtG"/>
        <w:spacing w:before="120"/>
        <w:rPr>
          <w:spacing w:val="-2"/>
        </w:rPr>
      </w:pPr>
      <w:r w:rsidRPr="00DD44FA">
        <w:rPr>
          <w:noProof/>
          <w:spacing w:val="-2"/>
          <w:lang w:eastAsia="fr-CH"/>
        </w:rPr>
        <mc:AlternateContent>
          <mc:Choice Requires="wps">
            <w:drawing>
              <wp:anchor distT="0" distB="0" distL="114300" distR="114300" simplePos="0" relativeHeight="251657216" behindDoc="0" locked="0" layoutInCell="1" allowOverlap="1" wp14:anchorId="40EE4ECF" wp14:editId="115222C2">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39DFA52" w14:textId="77777777" w:rsidR="00442E31" w:rsidRPr="0029791D" w:rsidRDefault="00442E31" w:rsidP="00C9521D">
                            <w:pPr>
                              <w:ind w:left="1134" w:right="1134"/>
                              <w:jc w:val="center"/>
                            </w:pPr>
                            <w:r>
                              <w:t>_______________</w:t>
                            </w:r>
                          </w:p>
                          <w:p w14:paraId="5E98CD04" w14:textId="77777777" w:rsidR="00442E31" w:rsidRDefault="00442E31" w:rsidP="00C9521D">
                            <w:pPr>
                              <w:jc w:val="center"/>
                              <w:rPr>
                                <w:b/>
                                <w:bCs/>
                                <w:sz w:val="22"/>
                              </w:rPr>
                            </w:pPr>
                            <w:r>
                              <w:rPr>
                                <w:noProof/>
                                <w:lang w:eastAsia="fr-CH"/>
                              </w:rPr>
                              <w:drawing>
                                <wp:inline distT="0" distB="0" distL="0" distR="0" wp14:anchorId="72FD268C" wp14:editId="74BCC5C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6FDF942"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E4ECF"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39DFA52" w14:textId="77777777" w:rsidR="00442E31" w:rsidRPr="0029791D" w:rsidRDefault="00442E31" w:rsidP="00C9521D">
                      <w:pPr>
                        <w:ind w:left="1134" w:right="1134"/>
                        <w:jc w:val="center"/>
                      </w:pPr>
                      <w:r>
                        <w:t>_______________</w:t>
                      </w:r>
                    </w:p>
                    <w:p w14:paraId="5E98CD04" w14:textId="77777777" w:rsidR="00442E31" w:rsidRDefault="00442E31" w:rsidP="00C9521D">
                      <w:pPr>
                        <w:jc w:val="center"/>
                        <w:rPr>
                          <w:b/>
                          <w:bCs/>
                          <w:sz w:val="22"/>
                        </w:rPr>
                      </w:pPr>
                      <w:r>
                        <w:rPr>
                          <w:noProof/>
                          <w:lang w:eastAsia="fr-CH"/>
                        </w:rPr>
                        <w:drawing>
                          <wp:inline distT="0" distB="0" distL="0" distR="0" wp14:anchorId="72FD268C" wp14:editId="74BCC5C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6FDF942"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534E9CFD" w14:textId="77777777" w:rsidR="00DD44FA" w:rsidRPr="00DD44FA" w:rsidRDefault="00DD44FA" w:rsidP="00DD44FA">
      <w:pPr>
        <w:pStyle w:val="SingleTxtG"/>
      </w:pPr>
      <w:r>
        <w:br w:type="page"/>
      </w:r>
      <w:r w:rsidRPr="00DD44FA">
        <w:rPr>
          <w:i/>
          <w:lang w:val="fr-FR"/>
        </w:rPr>
        <w:lastRenderedPageBreak/>
        <w:t>Paragraphe 5.2.2</w:t>
      </w:r>
      <w:r w:rsidRPr="00DD44FA">
        <w:rPr>
          <w:lang w:val="fr-FR"/>
        </w:rPr>
        <w:t xml:space="preserve">, lire : </w:t>
      </w:r>
    </w:p>
    <w:p w14:paraId="09E97287" w14:textId="77777777" w:rsidR="00DD44FA" w:rsidRPr="00DD44FA" w:rsidRDefault="00DD44FA" w:rsidP="00DD44FA">
      <w:pPr>
        <w:suppressAutoHyphens w:val="0"/>
        <w:kinsoku/>
        <w:overflowPunct/>
        <w:autoSpaceDE/>
        <w:autoSpaceDN/>
        <w:adjustRightInd/>
        <w:snapToGrid/>
        <w:spacing w:after="120"/>
        <w:ind w:left="2268" w:right="1134" w:hanging="1134"/>
        <w:jc w:val="both"/>
      </w:pPr>
      <w:r w:rsidRPr="00DD44FA">
        <w:rPr>
          <w:lang w:val="fr-FR"/>
        </w:rPr>
        <w:t>« 5.2.2</w:t>
      </w:r>
      <w:r w:rsidRPr="00DD44FA">
        <w:rPr>
          <w:lang w:val="fr-FR"/>
        </w:rPr>
        <w:tab/>
        <w:t>L’efficacité de la FLRV ne doit pas être altérée par des champs magnétiques ou électriques. Cette condition est remplie s’il est satisfait aux prescriptions techniques et aux dispositions transitoires du Règlement ONU n</w:t>
      </w:r>
      <w:r w:rsidRPr="00DD44FA">
        <w:rPr>
          <w:vertAlign w:val="superscript"/>
          <w:lang w:val="fr-FR"/>
        </w:rPr>
        <w:t>o</w:t>
      </w:r>
      <w:r w:rsidRPr="00DD44FA">
        <w:rPr>
          <w:lang w:val="fr-FR"/>
        </w:rPr>
        <w:t> 10 en appliquant :</w:t>
      </w:r>
    </w:p>
    <w:p w14:paraId="5BDB5119" w14:textId="77777777" w:rsidR="00DD44FA" w:rsidRDefault="00DD44FA" w:rsidP="00DD44FA">
      <w:pPr>
        <w:kinsoku/>
        <w:overflowPunct/>
        <w:autoSpaceDE/>
        <w:autoSpaceDN/>
        <w:adjustRightInd/>
        <w:snapToGrid/>
        <w:spacing w:after="120"/>
        <w:ind w:left="2835" w:right="1134" w:hanging="567"/>
        <w:rPr>
          <w:lang w:val="fr-FR"/>
        </w:rPr>
      </w:pPr>
      <w:r w:rsidRPr="00DD44FA">
        <w:rPr>
          <w:lang w:val="fr-FR"/>
        </w:rPr>
        <w:t>a)</w:t>
      </w:r>
      <w:r w:rsidRPr="00DD44FA">
        <w:rPr>
          <w:lang w:val="fr-FR"/>
        </w:rPr>
        <w:tab/>
        <w:t xml:space="preserve">La série 03 </w:t>
      </w:r>
      <w:r w:rsidRPr="00DD44FA">
        <w:rPr>
          <w:rFonts w:eastAsia="Times New Roman"/>
          <w:szCs w:val="22"/>
          <w:lang w:val="en-GB"/>
        </w:rPr>
        <w:t>d’amendements</w:t>
      </w:r>
      <w:r w:rsidRPr="00DD44FA">
        <w:rPr>
          <w:lang w:val="fr-FR"/>
        </w:rPr>
        <w:t xml:space="preserve"> aux véhicules dépourvus de système de raccordement de la recharge du SRSEE (batteries de traction) ;</w:t>
      </w:r>
    </w:p>
    <w:p w14:paraId="07C324CC" w14:textId="77777777" w:rsidR="00DD44FA" w:rsidRPr="00DD44FA" w:rsidRDefault="00DD44FA" w:rsidP="00DD44FA">
      <w:pPr>
        <w:kinsoku/>
        <w:overflowPunct/>
        <w:autoSpaceDE/>
        <w:autoSpaceDN/>
        <w:adjustRightInd/>
        <w:snapToGrid/>
        <w:spacing w:after="120"/>
        <w:ind w:left="2835" w:right="1134" w:hanging="567"/>
        <w:rPr>
          <w:i/>
        </w:rPr>
      </w:pPr>
      <w:r w:rsidRPr="00DD44FA">
        <w:rPr>
          <w:lang w:val="fr-FR"/>
        </w:rPr>
        <w:t>b)</w:t>
      </w:r>
      <w:r w:rsidRPr="00DD44FA">
        <w:rPr>
          <w:lang w:val="fr-FR"/>
        </w:rPr>
        <w:tab/>
        <w:t>La série 04 d’amendements aux véhicules équipés d’un système de raccordement de la recharge du SRSEE (batteries de traction). ».</w:t>
      </w:r>
    </w:p>
    <w:p w14:paraId="64674B1F" w14:textId="77777777" w:rsidR="00DD44FA" w:rsidRPr="00DD44FA" w:rsidRDefault="00DD44FA" w:rsidP="00DD44FA">
      <w:pPr>
        <w:pStyle w:val="SingleTxtG"/>
      </w:pPr>
      <w:r w:rsidRPr="00DD44FA">
        <w:rPr>
          <w:i/>
          <w:iCs/>
          <w:lang w:val="fr-FR"/>
        </w:rPr>
        <w:t>Paragraphe 5.2.5.4.2</w:t>
      </w:r>
      <w:r w:rsidRPr="00DD44FA">
        <w:rPr>
          <w:lang w:val="fr-FR"/>
        </w:rPr>
        <w:t xml:space="preserve">, lire (suppression de </w:t>
      </w:r>
      <w:proofErr w:type="gramStart"/>
      <w:r w:rsidRPr="00DD44FA">
        <w:rPr>
          <w:lang w:val="fr-FR"/>
        </w:rPr>
        <w:t>« ou »</w:t>
      </w:r>
      <w:proofErr w:type="gramEnd"/>
      <w:r w:rsidRPr="00DD44FA">
        <w:rPr>
          <w:lang w:val="fr-FR"/>
        </w:rPr>
        <w:t>) :</w:t>
      </w:r>
    </w:p>
    <w:p w14:paraId="69B9DA1F" w14:textId="77777777" w:rsidR="00DD44FA" w:rsidRPr="00DD44FA" w:rsidRDefault="00DD44FA" w:rsidP="00DD44FA">
      <w:pPr>
        <w:suppressAutoHyphens w:val="0"/>
        <w:kinsoku/>
        <w:overflowPunct/>
        <w:autoSpaceDE/>
        <w:autoSpaceDN/>
        <w:adjustRightInd/>
        <w:snapToGrid/>
        <w:spacing w:after="120"/>
        <w:ind w:left="2268" w:right="1134" w:hanging="1134"/>
        <w:jc w:val="both"/>
      </w:pPr>
      <w:r w:rsidRPr="00DD44FA">
        <w:rPr>
          <w:lang w:val="fr-FR"/>
        </w:rPr>
        <w:t>« 5.2.5.4.2</w:t>
      </w:r>
      <w:r w:rsidRPr="00DD44FA">
        <w:rPr>
          <w:lang w:val="fr-FR"/>
        </w:rPr>
        <w:tab/>
        <w:t xml:space="preserve">Chaque fois que la vitesse du véhicule dépasse la </w:t>
      </w:r>
      <w:proofErr w:type="spellStart"/>
      <w:r w:rsidRPr="00DD44FA">
        <w:rPr>
          <w:lang w:val="fr-FR"/>
        </w:rPr>
        <w:t>V</w:t>
      </w:r>
      <w:r w:rsidRPr="00DD44FA">
        <w:rPr>
          <w:vertAlign w:val="subscript"/>
          <w:lang w:val="fr-FR"/>
        </w:rPr>
        <w:t>rég</w:t>
      </w:r>
      <w:proofErr w:type="spellEnd"/>
      <w:r w:rsidRPr="00DD44FA">
        <w:rPr>
          <w:lang w:val="fr-FR"/>
        </w:rPr>
        <w:t>, le conducteur doit en être informé au moyen d’un signal d’avertissement approprié autre que le tachymètre. ».</w:t>
      </w:r>
    </w:p>
    <w:p w14:paraId="19F1CCC0" w14:textId="77777777" w:rsidR="00DD44FA" w:rsidRPr="00DD44FA" w:rsidRDefault="00DD44FA" w:rsidP="00DD44FA">
      <w:pPr>
        <w:pStyle w:val="SingleTxtG"/>
        <w:rPr>
          <w:lang w:val="fr-FR"/>
        </w:rPr>
      </w:pPr>
      <w:r w:rsidRPr="00DD44FA">
        <w:rPr>
          <w:i/>
          <w:lang w:val="fr-FR"/>
        </w:rPr>
        <w:t>Paragraphe 21.2.2</w:t>
      </w:r>
      <w:r w:rsidRPr="00DD44FA">
        <w:rPr>
          <w:lang w:val="fr-FR"/>
        </w:rPr>
        <w:t>, lire :</w:t>
      </w:r>
    </w:p>
    <w:p w14:paraId="6C48B465" w14:textId="77777777" w:rsidR="00DD44FA" w:rsidRPr="00DD44FA" w:rsidRDefault="00DD44FA" w:rsidP="00DD44FA">
      <w:pPr>
        <w:suppressAutoHyphens w:val="0"/>
        <w:kinsoku/>
        <w:overflowPunct/>
        <w:autoSpaceDE/>
        <w:autoSpaceDN/>
        <w:adjustRightInd/>
        <w:snapToGrid/>
        <w:spacing w:after="120"/>
        <w:ind w:left="2268" w:right="1134" w:hanging="1134"/>
        <w:jc w:val="both"/>
      </w:pPr>
      <w:r w:rsidRPr="00DD44FA">
        <w:rPr>
          <w:lang w:val="fr-FR"/>
        </w:rPr>
        <w:t>« 21.2.2</w:t>
      </w:r>
      <w:r w:rsidRPr="00DD44FA">
        <w:rPr>
          <w:lang w:val="fr-FR"/>
        </w:rPr>
        <w:tab/>
        <w:t>L’efficacité de la fonction de limitation de vitesse ne doit pas être altérée par des champs magnétiques ou électriques. Cette condition est remplie s’il est satisfait aux prescriptions techniques et aux dispositions transitoires du Règlement ONU n</w:t>
      </w:r>
      <w:r w:rsidRPr="00DD44FA">
        <w:rPr>
          <w:vertAlign w:val="superscript"/>
          <w:lang w:val="fr-FR"/>
        </w:rPr>
        <w:t>o</w:t>
      </w:r>
      <w:r w:rsidRPr="00DD44FA">
        <w:rPr>
          <w:lang w:val="fr-FR"/>
        </w:rPr>
        <w:t xml:space="preserve"> 10 en appliquant : </w:t>
      </w:r>
    </w:p>
    <w:p w14:paraId="3C3D6DF1" w14:textId="77777777" w:rsidR="00DD44FA" w:rsidRDefault="00DD44FA" w:rsidP="00DD44FA">
      <w:pPr>
        <w:kinsoku/>
        <w:overflowPunct/>
        <w:autoSpaceDE/>
        <w:autoSpaceDN/>
        <w:adjustRightInd/>
        <w:snapToGrid/>
        <w:spacing w:after="120"/>
        <w:ind w:left="2835" w:right="1134" w:hanging="567"/>
        <w:rPr>
          <w:lang w:val="fr-FR"/>
        </w:rPr>
      </w:pPr>
      <w:r w:rsidRPr="00DD44FA">
        <w:rPr>
          <w:lang w:val="fr-FR"/>
        </w:rPr>
        <w:t>a)</w:t>
      </w:r>
      <w:r w:rsidRPr="00DD44FA">
        <w:rPr>
          <w:lang w:val="fr-FR"/>
        </w:rPr>
        <w:tab/>
        <w:t>La série 03 d’amendements aux véhicules dépourvus de système de raccordement de la recharge du SRSEE (batteries de traction) ;</w:t>
      </w:r>
    </w:p>
    <w:p w14:paraId="1BAF9C15" w14:textId="77777777" w:rsidR="00DD44FA" w:rsidRPr="00DD44FA" w:rsidRDefault="00DD44FA" w:rsidP="00DD44FA">
      <w:pPr>
        <w:kinsoku/>
        <w:overflowPunct/>
        <w:autoSpaceDE/>
        <w:autoSpaceDN/>
        <w:adjustRightInd/>
        <w:snapToGrid/>
        <w:spacing w:after="120"/>
        <w:ind w:left="2835" w:right="1134" w:hanging="567"/>
      </w:pPr>
      <w:r w:rsidRPr="00DD44FA">
        <w:rPr>
          <w:lang w:val="fr-FR"/>
        </w:rPr>
        <w:t>b)</w:t>
      </w:r>
      <w:r w:rsidRPr="00DD44FA">
        <w:rPr>
          <w:lang w:val="fr-FR"/>
        </w:rPr>
        <w:tab/>
        <w:t>La série 04 d’amendements aux véhicules équipés d’un système de raccordement de la recharge du SRSEE (batteries de traction). ».</w:t>
      </w:r>
    </w:p>
    <w:p w14:paraId="3B0389D3" w14:textId="77777777" w:rsidR="00DD44FA" w:rsidRPr="00DD44FA" w:rsidRDefault="00DD44FA" w:rsidP="00DD44FA">
      <w:pPr>
        <w:pStyle w:val="SingleTxtG"/>
      </w:pPr>
      <w:r w:rsidRPr="00DD44FA">
        <w:rPr>
          <w:i/>
          <w:iCs/>
          <w:lang w:val="fr-FR"/>
        </w:rPr>
        <w:t>Paragraphe 21.2.5.4.2</w:t>
      </w:r>
      <w:r w:rsidRPr="00DD44FA">
        <w:rPr>
          <w:lang w:val="fr-FR"/>
        </w:rPr>
        <w:t xml:space="preserve">, lire (suppression de </w:t>
      </w:r>
      <w:proofErr w:type="gramStart"/>
      <w:r w:rsidRPr="00DD44FA">
        <w:rPr>
          <w:lang w:val="fr-FR"/>
        </w:rPr>
        <w:t>« ou »</w:t>
      </w:r>
      <w:proofErr w:type="gramEnd"/>
      <w:r w:rsidRPr="00DD44FA">
        <w:rPr>
          <w:lang w:val="fr-FR"/>
        </w:rPr>
        <w:t>) :</w:t>
      </w:r>
    </w:p>
    <w:p w14:paraId="11CB4656" w14:textId="77777777" w:rsidR="00DD44FA" w:rsidRPr="00DD44FA" w:rsidRDefault="00DD44FA" w:rsidP="00DD44FA">
      <w:pPr>
        <w:suppressAutoHyphens w:val="0"/>
        <w:kinsoku/>
        <w:overflowPunct/>
        <w:autoSpaceDE/>
        <w:autoSpaceDN/>
        <w:adjustRightInd/>
        <w:snapToGrid/>
        <w:spacing w:after="120"/>
        <w:ind w:left="2268" w:right="1134" w:hanging="1134"/>
        <w:jc w:val="both"/>
      </w:pPr>
      <w:r w:rsidRPr="00DD44FA">
        <w:rPr>
          <w:lang w:val="fr-FR"/>
        </w:rPr>
        <w:t>« 21.2.5.4.2</w:t>
      </w:r>
      <w:r w:rsidRPr="00DD44FA">
        <w:rPr>
          <w:lang w:val="fr-FR"/>
        </w:rPr>
        <w:tab/>
        <w:t xml:space="preserve">Chaque fois que la vitesse du véhicule dépasse la </w:t>
      </w:r>
      <w:proofErr w:type="spellStart"/>
      <w:r w:rsidRPr="00DD44FA">
        <w:rPr>
          <w:lang w:val="fr-FR"/>
        </w:rPr>
        <w:t>V</w:t>
      </w:r>
      <w:r w:rsidRPr="00DD44FA">
        <w:rPr>
          <w:vertAlign w:val="subscript"/>
          <w:lang w:val="fr-FR"/>
        </w:rPr>
        <w:t>rég</w:t>
      </w:r>
      <w:proofErr w:type="spellEnd"/>
      <w:r w:rsidRPr="00DD44FA">
        <w:rPr>
          <w:lang w:val="fr-FR"/>
        </w:rPr>
        <w:t>, le conducteur doit en être informé au moyen d’un signal d’avertissement approprié autre que le tachymètre. ».</w:t>
      </w:r>
    </w:p>
    <w:p w14:paraId="3E560D2F" w14:textId="77777777" w:rsidR="00DD44FA" w:rsidRPr="00DD44FA" w:rsidRDefault="00DD44FA" w:rsidP="00DD44FA">
      <w:pPr>
        <w:pStyle w:val="SingleTxtG"/>
      </w:pPr>
      <w:r w:rsidRPr="00DD44FA">
        <w:rPr>
          <w:i/>
          <w:lang w:val="fr-FR"/>
        </w:rPr>
        <w:t>Annexe 6</w:t>
      </w:r>
      <w:r w:rsidRPr="00DD44FA">
        <w:rPr>
          <w:lang w:val="fr-FR"/>
        </w:rPr>
        <w:t xml:space="preserve">, </w:t>
      </w:r>
    </w:p>
    <w:p w14:paraId="0644A9E8" w14:textId="77777777" w:rsidR="00DD44FA" w:rsidRPr="00DD44FA" w:rsidRDefault="00DD44FA" w:rsidP="00DD44FA">
      <w:pPr>
        <w:pStyle w:val="SingleTxtG"/>
      </w:pPr>
      <w:r w:rsidRPr="00DD44FA">
        <w:rPr>
          <w:i/>
          <w:lang w:val="fr-FR"/>
        </w:rPr>
        <w:t>Paragraphe 1.5.1</w:t>
      </w:r>
      <w:r w:rsidRPr="00DD44FA">
        <w:rPr>
          <w:lang w:val="fr-FR"/>
        </w:rPr>
        <w:t>, lire :</w:t>
      </w:r>
    </w:p>
    <w:p w14:paraId="1336D6FE" w14:textId="77777777" w:rsidR="00DD44FA" w:rsidRPr="00DD44FA" w:rsidRDefault="00DD44FA" w:rsidP="00DD44FA">
      <w:pPr>
        <w:suppressAutoHyphens w:val="0"/>
        <w:kinsoku/>
        <w:overflowPunct/>
        <w:autoSpaceDE/>
        <w:autoSpaceDN/>
        <w:adjustRightInd/>
        <w:snapToGrid/>
        <w:spacing w:after="120"/>
        <w:ind w:left="2268" w:right="1134" w:hanging="1134"/>
        <w:jc w:val="both"/>
      </w:pPr>
      <w:r w:rsidRPr="00DD44FA">
        <w:rPr>
          <w:lang w:val="fr-FR"/>
        </w:rPr>
        <w:t>« 1.5.1</w:t>
      </w:r>
      <w:r w:rsidRPr="00DD44FA">
        <w:rPr>
          <w:lang w:val="fr-FR"/>
        </w:rPr>
        <w:tab/>
        <w:t xml:space="preserve">Lorsque le DLRV ou la FLRV est désactivé, pour chaque rapport de démultiplication sélectionné pour la vitesse d’essai choisie </w:t>
      </w:r>
      <w:proofErr w:type="spellStart"/>
      <w:r w:rsidRPr="00DD44FA">
        <w:rPr>
          <w:lang w:val="fr-FR"/>
        </w:rPr>
        <w:t>V</w:t>
      </w:r>
      <w:r w:rsidRPr="00DD44FA">
        <w:rPr>
          <w:vertAlign w:val="subscript"/>
          <w:lang w:val="fr-FR"/>
        </w:rPr>
        <w:t>rég</w:t>
      </w:r>
      <w:proofErr w:type="spellEnd"/>
      <w:r w:rsidRPr="00DD44FA">
        <w:rPr>
          <w:lang w:val="fr-FR"/>
        </w:rPr>
        <w:t>, le service technique doit :</w:t>
      </w:r>
    </w:p>
    <w:p w14:paraId="39E27A1B" w14:textId="77777777" w:rsidR="00DD44FA" w:rsidRDefault="00DD44FA" w:rsidP="00DD44FA">
      <w:pPr>
        <w:kinsoku/>
        <w:overflowPunct/>
        <w:autoSpaceDE/>
        <w:autoSpaceDN/>
        <w:adjustRightInd/>
        <w:snapToGrid/>
        <w:spacing w:after="120"/>
        <w:ind w:left="2835" w:right="1134" w:hanging="567"/>
        <w:rPr>
          <w:lang w:val="fr-FR"/>
        </w:rPr>
      </w:pPr>
      <w:r w:rsidRPr="00DD44FA">
        <w:rPr>
          <w:lang w:val="fr-FR"/>
        </w:rPr>
        <w:t>a)</w:t>
      </w:r>
      <w:r w:rsidRPr="00DD44FA">
        <w:rPr>
          <w:lang w:val="fr-FR"/>
        </w:rPr>
        <w:tab/>
        <w:t xml:space="preserve">Soit mesurer les forces nécessaires sur la pédale d’accélérateur ; </w:t>
      </w:r>
    </w:p>
    <w:p w14:paraId="4073419D" w14:textId="77777777" w:rsidR="00DD44FA" w:rsidRPr="00DD44FA" w:rsidRDefault="00DD44FA" w:rsidP="00DD44FA">
      <w:pPr>
        <w:kinsoku/>
        <w:overflowPunct/>
        <w:autoSpaceDE/>
        <w:autoSpaceDN/>
        <w:adjustRightInd/>
        <w:snapToGrid/>
        <w:spacing w:after="120"/>
        <w:ind w:left="2835" w:right="1134" w:hanging="567"/>
      </w:pPr>
      <w:r w:rsidRPr="00DD44FA">
        <w:rPr>
          <w:lang w:val="fr-FR"/>
        </w:rPr>
        <w:t>b)</w:t>
      </w:r>
      <w:r w:rsidRPr="00DD44FA">
        <w:rPr>
          <w:lang w:val="fr-FR"/>
        </w:rPr>
        <w:tab/>
        <w:t>Soit mesurer la position que doit avoir la pédale d’accélérateur ;</w:t>
      </w:r>
    </w:p>
    <w:p w14:paraId="20A8FBC7" w14:textId="77777777" w:rsidR="00DD44FA" w:rsidRPr="00DD44FA" w:rsidRDefault="00DD44FA" w:rsidP="00DD44FA">
      <w:pPr>
        <w:pStyle w:val="SingleTxtG"/>
        <w:ind w:left="2268"/>
      </w:pPr>
      <w:proofErr w:type="gramStart"/>
      <w:r w:rsidRPr="00DD44FA">
        <w:rPr>
          <w:lang w:val="fr-FR"/>
        </w:rPr>
        <w:t>pour</w:t>
      </w:r>
      <w:proofErr w:type="gramEnd"/>
      <w:r w:rsidRPr="00DD44FA">
        <w:rPr>
          <w:lang w:val="fr-FR"/>
        </w:rPr>
        <w:t xml:space="preserve"> maintenir la </w:t>
      </w:r>
      <w:proofErr w:type="spellStart"/>
      <w:r w:rsidRPr="00DD44FA">
        <w:rPr>
          <w:lang w:val="fr-FR"/>
        </w:rPr>
        <w:t>V</w:t>
      </w:r>
      <w:r w:rsidRPr="00DD44FA">
        <w:rPr>
          <w:vertAlign w:val="subscript"/>
          <w:lang w:val="fr-FR"/>
        </w:rPr>
        <w:t>rég</w:t>
      </w:r>
      <w:proofErr w:type="spellEnd"/>
      <w:r w:rsidRPr="00DD44FA">
        <w:rPr>
          <w:lang w:val="fr-FR"/>
        </w:rPr>
        <w:t xml:space="preserve"> et une vitesse (</w:t>
      </w:r>
      <w:proofErr w:type="spellStart"/>
      <w:r w:rsidRPr="00DD44FA">
        <w:rPr>
          <w:lang w:val="fr-FR"/>
        </w:rPr>
        <w:t>V</w:t>
      </w:r>
      <w:r w:rsidRPr="00DD44FA">
        <w:rPr>
          <w:vertAlign w:val="subscript"/>
          <w:lang w:val="fr-FR"/>
        </w:rPr>
        <w:t>rég</w:t>
      </w:r>
      <w:proofErr w:type="spellEnd"/>
      <w:r w:rsidRPr="00DD44FA">
        <w:rPr>
          <w:lang w:val="fr-FR"/>
        </w:rPr>
        <w:t xml:space="preserve">*) dépassant la </w:t>
      </w:r>
      <w:proofErr w:type="spellStart"/>
      <w:r w:rsidRPr="00DD44FA">
        <w:rPr>
          <w:lang w:val="fr-FR"/>
        </w:rPr>
        <w:t>V</w:t>
      </w:r>
      <w:r w:rsidRPr="00DD44FA">
        <w:rPr>
          <w:vertAlign w:val="subscript"/>
          <w:lang w:val="fr-FR"/>
        </w:rPr>
        <w:t>rég</w:t>
      </w:r>
      <w:proofErr w:type="spellEnd"/>
      <w:r w:rsidRPr="00DD44FA">
        <w:rPr>
          <w:lang w:val="fr-FR"/>
        </w:rPr>
        <w:t xml:space="preserve"> de 20 % ou de 20 km/h (la valeur la plus élevée étant retenue). ».</w:t>
      </w:r>
    </w:p>
    <w:p w14:paraId="0DCFCFAC" w14:textId="77777777" w:rsidR="00DD44FA" w:rsidRPr="00DD44FA" w:rsidRDefault="00DD44FA" w:rsidP="00DD44FA">
      <w:pPr>
        <w:pStyle w:val="SingleTxtG"/>
      </w:pPr>
      <w:r w:rsidRPr="00DD44FA">
        <w:rPr>
          <w:i/>
          <w:lang w:val="fr-FR"/>
        </w:rPr>
        <w:t>Paragraphe 1.5.2</w:t>
      </w:r>
      <w:r w:rsidRPr="00DD44FA">
        <w:rPr>
          <w:lang w:val="fr-FR"/>
        </w:rPr>
        <w:t>, lire :</w:t>
      </w:r>
    </w:p>
    <w:p w14:paraId="785EACCF" w14:textId="77777777" w:rsidR="00DD44FA" w:rsidRPr="00DD44FA" w:rsidRDefault="00DD44FA" w:rsidP="00DD44FA">
      <w:pPr>
        <w:suppressAutoHyphens w:val="0"/>
        <w:kinsoku/>
        <w:overflowPunct/>
        <w:autoSpaceDE/>
        <w:autoSpaceDN/>
        <w:adjustRightInd/>
        <w:snapToGrid/>
        <w:spacing w:after="120"/>
        <w:ind w:left="2268" w:right="1134" w:hanging="1134"/>
        <w:jc w:val="both"/>
        <w:rPr>
          <w:lang w:val="fr-FR"/>
        </w:rPr>
      </w:pPr>
      <w:r w:rsidRPr="00DD44FA">
        <w:rPr>
          <w:lang w:val="fr-FR"/>
        </w:rPr>
        <w:t>« 1.5.2</w:t>
      </w:r>
      <w:r w:rsidRPr="00DD44FA">
        <w:rPr>
          <w:lang w:val="fr-FR"/>
        </w:rPr>
        <w:tab/>
        <w:t xml:space="preserve">Lorsque le DLRV ou la FLRV est activé et réglé à la </w:t>
      </w:r>
      <w:proofErr w:type="spellStart"/>
      <w:r w:rsidRPr="00DD44FA">
        <w:rPr>
          <w:lang w:val="fr-FR"/>
        </w:rPr>
        <w:t>V</w:t>
      </w:r>
      <w:r w:rsidRPr="00DD44FA">
        <w:rPr>
          <w:vertAlign w:val="subscript"/>
          <w:lang w:val="fr-FR"/>
        </w:rPr>
        <w:t>rég</w:t>
      </w:r>
      <w:proofErr w:type="spellEnd"/>
      <w:r w:rsidRPr="00DD44FA">
        <w:rPr>
          <w:lang w:val="fr-FR"/>
        </w:rPr>
        <w:t xml:space="preserve">, le véhicule doit rouler à une vitesse inférieure de 10 km/h à la </w:t>
      </w:r>
      <w:proofErr w:type="spellStart"/>
      <w:r w:rsidRPr="00DD44FA">
        <w:rPr>
          <w:lang w:val="fr-FR"/>
        </w:rPr>
        <w:t>V</w:t>
      </w:r>
      <w:r w:rsidRPr="00DD44FA">
        <w:rPr>
          <w:vertAlign w:val="subscript"/>
          <w:lang w:val="fr-FR"/>
        </w:rPr>
        <w:t>rég</w:t>
      </w:r>
      <w:proofErr w:type="spellEnd"/>
      <w:r w:rsidRPr="00DD44FA">
        <w:rPr>
          <w:lang w:val="fr-FR"/>
        </w:rPr>
        <w:t xml:space="preserve">. Le véhicule doit ensuite être accéléré, soit en augmentant la force exercée sur la pédale d’accélérateur, soit en ajustant la position de la pédale d’accélérateur pendant une durée de 1 s </w:t>
      </w:r>
      <w:r w:rsidRPr="00DD44FA">
        <w:rPr>
          <w:lang w:val="fr-FR"/>
        </w:rPr>
        <w:sym w:font="Symbol" w:char="F0B1"/>
      </w:r>
      <w:r w:rsidR="00574599">
        <w:rPr>
          <w:lang w:val="fr-FR"/>
        </w:rPr>
        <w:t> </w:t>
      </w:r>
      <w:r w:rsidRPr="00DD44FA">
        <w:rPr>
          <w:lang w:val="fr-FR"/>
        </w:rPr>
        <w:t xml:space="preserve">0,2 s de manière que la vitesse atteigne la </w:t>
      </w:r>
      <w:proofErr w:type="spellStart"/>
      <w:r w:rsidRPr="00DD44FA">
        <w:rPr>
          <w:lang w:val="fr-FR"/>
        </w:rPr>
        <w:t>V</w:t>
      </w:r>
      <w:r w:rsidRPr="00DD44FA">
        <w:rPr>
          <w:vertAlign w:val="subscript"/>
          <w:lang w:val="fr-FR"/>
        </w:rPr>
        <w:t>rég</w:t>
      </w:r>
      <w:proofErr w:type="spellEnd"/>
      <w:r w:rsidRPr="00DD44FA">
        <w:rPr>
          <w:lang w:val="fr-FR"/>
        </w:rPr>
        <w:t xml:space="preserve">*. Cette force ou position </w:t>
      </w:r>
      <w:proofErr w:type="gramStart"/>
      <w:r w:rsidRPr="00DD44FA">
        <w:rPr>
          <w:lang w:val="fr-FR"/>
        </w:rPr>
        <w:t>doit</w:t>
      </w:r>
      <w:proofErr w:type="gramEnd"/>
      <w:r w:rsidRPr="00DD44FA">
        <w:rPr>
          <w:lang w:val="fr-FR"/>
        </w:rPr>
        <w:t xml:space="preserve"> alors être maintenue pendant une durée d’au moins 30 s après que la vitesse du véhicule s’est stabilisée. ».</w:t>
      </w:r>
    </w:p>
    <w:p w14:paraId="63186B4C" w14:textId="77777777" w:rsidR="005F0207" w:rsidRPr="00DD44FA" w:rsidRDefault="00DD44FA" w:rsidP="00DD44F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0207" w:rsidRPr="00DD44FA" w:rsidSect="00DD44F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35E2" w14:textId="77777777" w:rsidR="001A2DEB" w:rsidRDefault="001A2DEB"/>
  </w:endnote>
  <w:endnote w:type="continuationSeparator" w:id="0">
    <w:p w14:paraId="14D01DEE" w14:textId="77777777" w:rsidR="001A2DEB" w:rsidRDefault="001A2DEB">
      <w:pPr>
        <w:pStyle w:val="Footer"/>
      </w:pPr>
    </w:p>
  </w:endnote>
  <w:endnote w:type="continuationNotice" w:id="1">
    <w:p w14:paraId="4BD5DA89" w14:textId="77777777" w:rsidR="001A2DEB" w:rsidRPr="00C451B9" w:rsidRDefault="001A2DE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E45E" w14:textId="77777777" w:rsidR="00DD44FA" w:rsidRPr="00DD44FA" w:rsidRDefault="00DD44FA" w:rsidP="00DD44FA">
    <w:pPr>
      <w:pStyle w:val="Footer"/>
      <w:tabs>
        <w:tab w:val="right" w:pos="9638"/>
      </w:tabs>
    </w:pPr>
    <w:r w:rsidRPr="00DD44FA">
      <w:rPr>
        <w:b/>
        <w:sz w:val="18"/>
      </w:rPr>
      <w:fldChar w:fldCharType="begin"/>
    </w:r>
    <w:r w:rsidRPr="00DD44FA">
      <w:rPr>
        <w:b/>
        <w:sz w:val="18"/>
      </w:rPr>
      <w:instrText xml:space="preserve"> PAGE  \* MERGEFORMAT </w:instrText>
    </w:r>
    <w:r w:rsidRPr="00DD44FA">
      <w:rPr>
        <w:b/>
        <w:sz w:val="18"/>
      </w:rPr>
      <w:fldChar w:fldCharType="separate"/>
    </w:r>
    <w:r w:rsidRPr="00DD44FA">
      <w:rPr>
        <w:b/>
        <w:noProof/>
        <w:sz w:val="18"/>
      </w:rPr>
      <w:t>2</w:t>
    </w:r>
    <w:r w:rsidRPr="00DD44FA">
      <w:rPr>
        <w:b/>
        <w:sz w:val="18"/>
      </w:rPr>
      <w:fldChar w:fldCharType="end"/>
    </w:r>
    <w:r>
      <w:rPr>
        <w:b/>
        <w:sz w:val="18"/>
      </w:rPr>
      <w:tab/>
    </w:r>
    <w:r>
      <w:t>GE.19-00746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6500" w14:textId="77777777" w:rsidR="00DD44FA" w:rsidRPr="00DD44FA" w:rsidRDefault="00DD44FA" w:rsidP="00DD44FA">
    <w:pPr>
      <w:pStyle w:val="Footer"/>
      <w:tabs>
        <w:tab w:val="right" w:pos="9638"/>
      </w:tabs>
      <w:rPr>
        <w:b/>
        <w:sz w:val="18"/>
      </w:rPr>
    </w:pPr>
    <w:r>
      <w:t>GE.19-00746</w:t>
    </w:r>
    <w:r>
      <w:tab/>
    </w:r>
    <w:r w:rsidRPr="00DD44FA">
      <w:rPr>
        <w:b/>
        <w:sz w:val="18"/>
      </w:rPr>
      <w:fldChar w:fldCharType="begin"/>
    </w:r>
    <w:r w:rsidRPr="00DD44FA">
      <w:rPr>
        <w:b/>
        <w:sz w:val="18"/>
      </w:rPr>
      <w:instrText xml:space="preserve"> PAGE  \* MERGEFORMAT </w:instrText>
    </w:r>
    <w:r w:rsidRPr="00DD44FA">
      <w:rPr>
        <w:b/>
        <w:sz w:val="18"/>
      </w:rPr>
      <w:fldChar w:fldCharType="separate"/>
    </w:r>
    <w:r w:rsidRPr="00DD44FA">
      <w:rPr>
        <w:b/>
        <w:noProof/>
        <w:sz w:val="18"/>
      </w:rPr>
      <w:t>3</w:t>
    </w:r>
    <w:r w:rsidRPr="00DD44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9CFC" w14:textId="77777777" w:rsidR="00467F2C" w:rsidRPr="00DD44FA" w:rsidRDefault="00DD44FA" w:rsidP="00DD44FA">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67F3310" wp14:editId="38D6D749">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00746  (</w:t>
    </w:r>
    <w:proofErr w:type="gramEnd"/>
    <w:r>
      <w:rPr>
        <w:sz w:val="20"/>
      </w:rPr>
      <w:t>F)    221119    221119</w:t>
    </w:r>
    <w:r>
      <w:rPr>
        <w:sz w:val="20"/>
      </w:rPr>
      <w:br/>
    </w:r>
    <w:r w:rsidRPr="00DD44FA">
      <w:rPr>
        <w:rFonts w:ascii="C39T30Lfz" w:hAnsi="C39T30Lfz"/>
        <w:sz w:val="56"/>
      </w:rPr>
      <w:t></w:t>
    </w:r>
    <w:r w:rsidRPr="00DD44FA">
      <w:rPr>
        <w:rFonts w:ascii="C39T30Lfz" w:hAnsi="C39T30Lfz"/>
        <w:sz w:val="56"/>
      </w:rPr>
      <w:t></w:t>
    </w:r>
    <w:r w:rsidRPr="00DD44FA">
      <w:rPr>
        <w:rFonts w:ascii="C39T30Lfz" w:hAnsi="C39T30Lfz"/>
        <w:sz w:val="56"/>
      </w:rPr>
      <w:t></w:t>
    </w:r>
    <w:r w:rsidRPr="00DD44FA">
      <w:rPr>
        <w:rFonts w:ascii="C39T30Lfz" w:hAnsi="C39T30Lfz"/>
        <w:sz w:val="56"/>
      </w:rPr>
      <w:t></w:t>
    </w:r>
    <w:r w:rsidRPr="00DD44FA">
      <w:rPr>
        <w:rFonts w:ascii="C39T30Lfz" w:hAnsi="C39T30Lfz"/>
        <w:sz w:val="56"/>
      </w:rPr>
      <w:t></w:t>
    </w:r>
    <w:r w:rsidRPr="00DD44FA">
      <w:rPr>
        <w:rFonts w:ascii="C39T30Lfz" w:hAnsi="C39T30Lfz"/>
        <w:sz w:val="56"/>
      </w:rPr>
      <w:t></w:t>
    </w:r>
    <w:r w:rsidRPr="00DD44FA">
      <w:rPr>
        <w:rFonts w:ascii="C39T30Lfz" w:hAnsi="C39T30Lfz"/>
        <w:sz w:val="56"/>
      </w:rPr>
      <w:t></w:t>
    </w:r>
    <w:r w:rsidRPr="00DD44FA">
      <w:rPr>
        <w:rFonts w:ascii="C39T30Lfz" w:hAnsi="C39T30Lfz"/>
        <w:sz w:val="56"/>
      </w:rPr>
      <w:t></w:t>
    </w:r>
    <w:r w:rsidRPr="00DD44FA">
      <w:rPr>
        <w:rFonts w:ascii="C39T30Lfz" w:hAnsi="C39T30Lfz"/>
        <w:sz w:val="56"/>
      </w:rPr>
      <w:t></w:t>
    </w:r>
    <w:r>
      <w:rPr>
        <w:noProof/>
        <w:sz w:val="20"/>
      </w:rPr>
      <w:drawing>
        <wp:anchor distT="0" distB="0" distL="114300" distR="114300" simplePos="0" relativeHeight="251658240" behindDoc="0" locked="0" layoutInCell="1" allowOverlap="1" wp14:anchorId="1451FC71" wp14:editId="284E2A1C">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E/ECE/324/Rev.1/Add.88/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8/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31DD" w14:textId="77777777" w:rsidR="001A2DEB" w:rsidRPr="00D27D5E" w:rsidRDefault="001A2DEB" w:rsidP="00D27D5E">
      <w:pPr>
        <w:tabs>
          <w:tab w:val="right" w:pos="2155"/>
        </w:tabs>
        <w:spacing w:after="80"/>
        <w:ind w:left="680"/>
        <w:rPr>
          <w:u w:val="single"/>
        </w:rPr>
      </w:pPr>
      <w:r>
        <w:rPr>
          <w:u w:val="single"/>
        </w:rPr>
        <w:tab/>
      </w:r>
    </w:p>
  </w:footnote>
  <w:footnote w:type="continuationSeparator" w:id="0">
    <w:p w14:paraId="70B9A351" w14:textId="77777777" w:rsidR="001A2DEB" w:rsidRPr="00D171D4" w:rsidRDefault="001A2DEB" w:rsidP="00D171D4">
      <w:pPr>
        <w:tabs>
          <w:tab w:val="right" w:pos="2155"/>
        </w:tabs>
        <w:spacing w:after="80"/>
        <w:ind w:left="680"/>
        <w:rPr>
          <w:u w:val="single"/>
        </w:rPr>
      </w:pPr>
      <w:r w:rsidRPr="00D171D4">
        <w:rPr>
          <w:u w:val="single"/>
        </w:rPr>
        <w:tab/>
      </w:r>
    </w:p>
  </w:footnote>
  <w:footnote w:type="continuationNotice" w:id="1">
    <w:p w14:paraId="5ABEA22A" w14:textId="77777777" w:rsidR="001A2DEB" w:rsidRPr="00C451B9" w:rsidRDefault="001A2DEB" w:rsidP="00C451B9">
      <w:pPr>
        <w:spacing w:line="240" w:lineRule="auto"/>
        <w:rPr>
          <w:sz w:val="2"/>
          <w:szCs w:val="2"/>
        </w:rPr>
      </w:pPr>
    </w:p>
  </w:footnote>
  <w:footnote w:id="2">
    <w:p w14:paraId="59B22A58"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230F5853" w14:textId="77777777" w:rsidR="00591072" w:rsidRPr="00591072" w:rsidRDefault="00591072" w:rsidP="00591072">
      <w:pPr>
        <w:pStyle w:val="FootnoteText"/>
      </w:pPr>
      <w:r w:rsidRPr="00DD44FA">
        <w:tab/>
      </w:r>
      <w:r w:rsidRPr="00DD44FA">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EBC2047" w14:textId="77777777"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322EF925" w14:textId="77777777"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DAB3" w14:textId="69B11A56" w:rsidR="00DD44FA" w:rsidRPr="00DD44FA" w:rsidRDefault="00DD44FA">
    <w:pPr>
      <w:pStyle w:val="Header"/>
      <w:rPr>
        <w:lang w:val="en-US"/>
      </w:rPr>
    </w:pPr>
    <w:r>
      <w:fldChar w:fldCharType="begin"/>
    </w:r>
    <w:r w:rsidRPr="00DD44FA">
      <w:rPr>
        <w:lang w:val="en-US"/>
      </w:rPr>
      <w:instrText xml:space="preserve"> TITLE  \* MERGEFORMAT </w:instrText>
    </w:r>
    <w:r>
      <w:fldChar w:fldCharType="separate"/>
    </w:r>
    <w:r w:rsidR="00AD5A9D">
      <w:rPr>
        <w:lang w:val="en-US"/>
      </w:rPr>
      <w:t>E/ECE/324/Rev.1/Add.88/Amend.3</w:t>
    </w:r>
    <w:r>
      <w:fldChar w:fldCharType="end"/>
    </w:r>
    <w:r w:rsidRPr="00DD44FA">
      <w:rPr>
        <w:lang w:val="en-US"/>
      </w:rPr>
      <w:br/>
    </w:r>
    <w:r>
      <w:fldChar w:fldCharType="begin"/>
    </w:r>
    <w:r w:rsidRPr="00DD44FA">
      <w:rPr>
        <w:lang w:val="en-US"/>
      </w:rPr>
      <w:instrText xml:space="preserve"> KEYWORDS  \* MERGEFORMAT </w:instrText>
    </w:r>
    <w:r>
      <w:fldChar w:fldCharType="separate"/>
    </w:r>
    <w:r w:rsidR="00AD5A9D">
      <w:rPr>
        <w:lang w:val="en-US"/>
      </w:rPr>
      <w:t>E/ECE/TRANS/505/Rev.1/Add.88/Amend.3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3DB3" w14:textId="52885198" w:rsidR="00DD44FA" w:rsidRPr="00DD44FA" w:rsidRDefault="00DD44FA" w:rsidP="00DD44FA">
    <w:pPr>
      <w:pStyle w:val="Header"/>
      <w:jc w:val="right"/>
      <w:rPr>
        <w:lang w:val="en-US"/>
      </w:rPr>
    </w:pPr>
    <w:r>
      <w:fldChar w:fldCharType="begin"/>
    </w:r>
    <w:r w:rsidRPr="00DD44FA">
      <w:rPr>
        <w:lang w:val="en-US"/>
      </w:rPr>
      <w:instrText xml:space="preserve"> TITLE  \* MERGEFORMAT </w:instrText>
    </w:r>
    <w:r>
      <w:fldChar w:fldCharType="separate"/>
    </w:r>
    <w:r w:rsidR="00AD5A9D">
      <w:rPr>
        <w:lang w:val="en-US"/>
      </w:rPr>
      <w:t>E/ECE/324/Rev.1/Add.88/Amend.3</w:t>
    </w:r>
    <w:r>
      <w:fldChar w:fldCharType="end"/>
    </w:r>
    <w:r w:rsidRPr="00DD44FA">
      <w:rPr>
        <w:lang w:val="en-US"/>
      </w:rPr>
      <w:br/>
    </w:r>
    <w:r>
      <w:fldChar w:fldCharType="begin"/>
    </w:r>
    <w:r w:rsidRPr="00DD44FA">
      <w:rPr>
        <w:lang w:val="en-US"/>
      </w:rPr>
      <w:instrText xml:space="preserve"> KEYWORDS  \* MERGEFORMAT </w:instrText>
    </w:r>
    <w:r>
      <w:fldChar w:fldCharType="separate"/>
    </w:r>
    <w:r w:rsidR="00AD5A9D">
      <w:rPr>
        <w:lang w:val="en-US"/>
      </w:rPr>
      <w:t>E/ECE/TRANS/505/Rev.1/Add.88/Amend.3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2DEB"/>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1D6E"/>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4599"/>
    <w:rsid w:val="00575476"/>
    <w:rsid w:val="0057704C"/>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D5A9D"/>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D44FA"/>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0E29"/>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8FBC241"/>
  <w15:docId w15:val="{1E3EE19E-CBBF-4D93-813C-F730F9D0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DD44FA"/>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E/ECE/324/Rev.1/Add.88/Amend.3</vt:lpstr>
      <vt:lpstr>E/ECE/324/Rev</vt:lpstr>
    </vt:vector>
  </TitlesOfParts>
  <Company>CSD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E/ECE/324/Rev.1/Add.88/Amend.3</dc:title>
  <dc:creator>Thi Kim Thao VU</dc:creator>
  <cp:keywords>E/ECE/TRANS/505/Rev.1/Add.88/Amend.3</cp:keywords>
  <cp:lastModifiedBy>Marie-Claude Collet</cp:lastModifiedBy>
  <cp:revision>3</cp:revision>
  <cp:lastPrinted>2019-12-06T07:31:00Z</cp:lastPrinted>
  <dcterms:created xsi:type="dcterms:W3CDTF">2019-12-06T07:31:00Z</dcterms:created>
  <dcterms:modified xsi:type="dcterms:W3CDTF">2019-12-06T07:32:00Z</dcterms:modified>
</cp:coreProperties>
</file>