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965A36" w14:paraId="226877A8" w14:textId="77777777" w:rsidTr="00A27C92">
        <w:trPr>
          <w:trHeight w:hRule="exact" w:val="851"/>
        </w:trPr>
        <w:tc>
          <w:tcPr>
            <w:tcW w:w="9639" w:type="dxa"/>
            <w:gridSpan w:val="2"/>
            <w:tcBorders>
              <w:bottom w:val="single" w:sz="4" w:space="0" w:color="auto"/>
            </w:tcBorders>
            <w:shd w:val="clear" w:color="auto" w:fill="auto"/>
            <w:vAlign w:val="bottom"/>
          </w:tcPr>
          <w:p w14:paraId="619168A5" w14:textId="77777777" w:rsidR="00965A36" w:rsidRPr="00965A36" w:rsidRDefault="00965A36" w:rsidP="00965A36">
            <w:pPr>
              <w:jc w:val="right"/>
              <w:rPr>
                <w:lang w:val="en-US"/>
              </w:rPr>
            </w:pPr>
            <w:bookmarkStart w:id="0" w:name="_GoBack"/>
            <w:bookmarkEnd w:id="0"/>
            <w:r w:rsidRPr="00965A36">
              <w:rPr>
                <w:sz w:val="40"/>
                <w:lang w:val="en-US"/>
              </w:rPr>
              <w:t>E</w:t>
            </w:r>
            <w:r w:rsidRPr="00965A36">
              <w:rPr>
                <w:lang w:val="en-US"/>
              </w:rPr>
              <w:t>/ECE/324/Rev.2/Add.109/Rev.5/Amend.3−</w:t>
            </w:r>
            <w:r w:rsidRPr="00965A36">
              <w:rPr>
                <w:sz w:val="40"/>
                <w:lang w:val="en-US"/>
              </w:rPr>
              <w:t>E</w:t>
            </w:r>
            <w:r w:rsidRPr="00965A36">
              <w:rPr>
                <w:lang w:val="en-US"/>
              </w:rPr>
              <w:t>/ECE/TRANS/505/Rev.2/Add.109/Rev.5/Amend.3</w:t>
            </w:r>
          </w:p>
        </w:tc>
      </w:tr>
      <w:tr w:rsidR="00421A10" w:rsidRPr="00DB58B5" w14:paraId="5AA7D1EF" w14:textId="77777777" w:rsidTr="00A27C92">
        <w:trPr>
          <w:trHeight w:hRule="exact" w:val="2835"/>
        </w:trPr>
        <w:tc>
          <w:tcPr>
            <w:tcW w:w="6804" w:type="dxa"/>
            <w:tcBorders>
              <w:top w:val="single" w:sz="4" w:space="0" w:color="auto"/>
              <w:bottom w:val="single" w:sz="12" w:space="0" w:color="auto"/>
            </w:tcBorders>
            <w:shd w:val="clear" w:color="auto" w:fill="auto"/>
          </w:tcPr>
          <w:p w14:paraId="1CC32939" w14:textId="77777777" w:rsidR="00421A10" w:rsidRPr="00965A36"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0611243C" w14:textId="77777777" w:rsidR="00421A10" w:rsidRPr="00DB58B5" w:rsidRDefault="00965A36" w:rsidP="00A27C92">
            <w:pPr>
              <w:spacing w:before="480" w:line="240" w:lineRule="exact"/>
            </w:pPr>
            <w:r>
              <w:t>21 novembre 2019</w:t>
            </w:r>
          </w:p>
        </w:tc>
      </w:tr>
    </w:tbl>
    <w:p w14:paraId="732DAA3E" w14:textId="77777777" w:rsidR="00421A10" w:rsidRPr="006549FF" w:rsidRDefault="0029791D" w:rsidP="00965A36">
      <w:pPr>
        <w:pStyle w:val="HChG"/>
        <w:spacing w:before="240" w:after="120"/>
      </w:pPr>
      <w:r>
        <w:tab/>
      </w:r>
      <w:r>
        <w:tab/>
      </w:r>
      <w:r w:rsidR="00421A10" w:rsidRPr="006549FF">
        <w:t>Accord</w:t>
      </w:r>
    </w:p>
    <w:p w14:paraId="39E9065C" w14:textId="77777777" w:rsidR="00421A10" w:rsidRPr="00583D68" w:rsidRDefault="0029791D" w:rsidP="00965A36">
      <w:pPr>
        <w:pStyle w:val="H1G"/>
        <w:spacing w:before="240" w:after="120"/>
      </w:pPr>
      <w:r>
        <w:tab/>
      </w:r>
      <w:r>
        <w:tab/>
      </w:r>
      <w:r w:rsidR="00421A10" w:rsidRPr="00583D68">
        <w:t xml:space="preserve">Concernant l’adoption </w:t>
      </w:r>
      <w:r w:rsidR="00965A36" w:rsidRPr="00965A36">
        <w:t xml:space="preserve">de Règlements techniques harmonisés </w:t>
      </w:r>
      <w:r w:rsidR="00965A36">
        <w:br/>
      </w:r>
      <w:r w:rsidR="00965A36" w:rsidRPr="00965A36">
        <w:t>de l’ONU applicables aux véhicules à roues et</w:t>
      </w:r>
      <w:r w:rsidR="00965A36">
        <w:t> </w:t>
      </w:r>
      <w:r w:rsidR="00965A36" w:rsidRPr="00965A36">
        <w:t>aux</w:t>
      </w:r>
      <w:r w:rsidR="00965A36">
        <w:t> </w:t>
      </w:r>
      <w:r w:rsidR="00965A36" w:rsidRPr="00965A36">
        <w:t xml:space="preserve">équipements </w:t>
      </w:r>
      <w:r w:rsidR="00965A36">
        <w:br/>
      </w:r>
      <w:r w:rsidR="00965A36" w:rsidRPr="00965A36">
        <w:t>et pièces susceptibles d’être montés ou utilisés sur</w:t>
      </w:r>
      <w:r w:rsidR="00965A36">
        <w:t> </w:t>
      </w:r>
      <w:r w:rsidR="00965A36" w:rsidRPr="00965A36">
        <w:t xml:space="preserve">les véhicules </w:t>
      </w:r>
      <w:r w:rsidR="00965A36">
        <w:br/>
      </w:r>
      <w:r w:rsidR="00965A36" w:rsidRPr="00965A36">
        <w:t>à roues et les conditions de reconnaissance réciproque des</w:t>
      </w:r>
      <w:r w:rsidR="00965A36">
        <w:t> </w:t>
      </w:r>
      <w:r w:rsidR="00965A36" w:rsidRPr="00965A36">
        <w:t>homologations délivrées conformément à ces Règlements</w:t>
      </w:r>
      <w:r w:rsidR="00442E31" w:rsidRPr="00965A36">
        <w:rPr>
          <w:rStyle w:val="FootnoteReference"/>
          <w:b w:val="0"/>
          <w:sz w:val="20"/>
          <w:vertAlign w:val="baseline"/>
        </w:rPr>
        <w:footnoteReference w:customMarkFollows="1" w:id="2"/>
        <w:t>*</w:t>
      </w:r>
    </w:p>
    <w:p w14:paraId="3BA5B863" w14:textId="77777777" w:rsidR="00421A10" w:rsidRPr="00A12483" w:rsidRDefault="00421A10" w:rsidP="0029791D">
      <w:pPr>
        <w:pStyle w:val="SingleTxtG"/>
        <w:jc w:val="left"/>
        <w:rPr>
          <w:b/>
          <w:sz w:val="24"/>
          <w:szCs w:val="24"/>
        </w:rPr>
      </w:pPr>
      <w:r w:rsidRPr="006549FF">
        <w:t>(</w:t>
      </w:r>
      <w:r w:rsidR="00965A36" w:rsidRPr="00965A36">
        <w:t>Révision 3, comprenant les amendements entrés en vigueur le 14 septembre 2017)</w:t>
      </w:r>
      <w:r w:rsidR="004F1BB8">
        <w:t xml:space="preserve"> </w:t>
      </w:r>
    </w:p>
    <w:p w14:paraId="5F9F73F2" w14:textId="77777777" w:rsidR="00421A10" w:rsidRPr="006549FF" w:rsidRDefault="0029791D" w:rsidP="0029791D">
      <w:pPr>
        <w:jc w:val="center"/>
      </w:pPr>
      <w:r>
        <w:t>_______________</w:t>
      </w:r>
    </w:p>
    <w:p w14:paraId="032FFDC8" w14:textId="77777777" w:rsidR="00421A10" w:rsidRPr="006549FF" w:rsidRDefault="0029791D" w:rsidP="00965A36">
      <w:pPr>
        <w:pStyle w:val="HChG"/>
      </w:pPr>
      <w:r>
        <w:tab/>
      </w:r>
      <w:r>
        <w:tab/>
      </w:r>
      <w:r w:rsidR="00421A10" w:rsidRPr="006549FF">
        <w:t xml:space="preserve">Additif </w:t>
      </w:r>
      <w:r w:rsidR="00965A36">
        <w:t>109 –</w:t>
      </w:r>
      <w:r w:rsidR="00421A10" w:rsidRPr="006549FF">
        <w:t xml:space="preserve"> Règlement</w:t>
      </w:r>
      <w:r w:rsidR="00421A10">
        <w:t xml:space="preserve"> </w:t>
      </w:r>
      <w:r w:rsidR="001E7643">
        <w:t xml:space="preserve">ONU </w:t>
      </w:r>
      <w:r w:rsidR="00421A10" w:rsidRPr="00B371BF">
        <w:t>n</w:t>
      </w:r>
      <w:r w:rsidR="00421A10" w:rsidRPr="00B371BF">
        <w:rPr>
          <w:vertAlign w:val="superscript"/>
        </w:rPr>
        <w:t>o</w:t>
      </w:r>
      <w:r w:rsidR="00421A10">
        <w:t> </w:t>
      </w:r>
      <w:r w:rsidR="00965A36">
        <w:t>110</w:t>
      </w:r>
    </w:p>
    <w:p w14:paraId="6327A697" w14:textId="77777777" w:rsidR="00421A10" w:rsidRPr="006549FF" w:rsidRDefault="0029791D" w:rsidP="00965A36">
      <w:pPr>
        <w:pStyle w:val="H1G"/>
        <w:spacing w:before="240" w:after="120"/>
      </w:pPr>
      <w:r>
        <w:tab/>
      </w:r>
      <w:r>
        <w:tab/>
      </w:r>
      <w:r w:rsidR="00421A10" w:rsidRPr="006549FF">
        <w:t xml:space="preserve">Révision </w:t>
      </w:r>
      <w:r w:rsidR="00965A36" w:rsidRPr="00965A36">
        <w:t xml:space="preserve">5 </w:t>
      </w:r>
      <w:r w:rsidR="00965A36">
        <w:t>–</w:t>
      </w:r>
      <w:r w:rsidR="00965A36" w:rsidRPr="00965A36">
        <w:t xml:space="preserve"> Amendement 3</w:t>
      </w:r>
    </w:p>
    <w:p w14:paraId="032ECCE6" w14:textId="77777777" w:rsidR="00421A10" w:rsidRPr="0029791D" w:rsidRDefault="00965A36" w:rsidP="00965A36">
      <w:pPr>
        <w:pStyle w:val="SingleTxtG"/>
        <w:spacing w:after="0"/>
      </w:pPr>
      <w:r w:rsidRPr="00965A36">
        <w:t xml:space="preserve">Série 04 d’amendements </w:t>
      </w:r>
      <w:r>
        <w:t>–</w:t>
      </w:r>
      <w:r w:rsidRPr="00965A36">
        <w:t xml:space="preserve"> Date d’entrée en vigueur : 15 octobre 2019</w:t>
      </w:r>
    </w:p>
    <w:p w14:paraId="35773619" w14:textId="77777777" w:rsidR="00965A36" w:rsidRDefault="0029791D" w:rsidP="00965A36">
      <w:pPr>
        <w:pStyle w:val="H1G"/>
        <w:spacing w:before="240"/>
        <w:rPr>
          <w:bCs/>
        </w:rPr>
      </w:pPr>
      <w:r>
        <w:tab/>
      </w:r>
      <w:r>
        <w:tab/>
      </w:r>
      <w:r w:rsidR="00421A10" w:rsidRPr="007619D3">
        <w:t xml:space="preserve">Prescriptions uniformes relatives </w:t>
      </w:r>
      <w:r w:rsidR="00965A36" w:rsidRPr="00965A36">
        <w:t>à l’homologation</w:t>
      </w:r>
      <w:r w:rsidR="00965A36">
        <w:t xml:space="preserve"> : </w:t>
      </w:r>
      <w:r w:rsidR="00965A36">
        <w:br/>
      </w:r>
      <w:r w:rsidR="00965A36" w:rsidRPr="00965A36">
        <w:rPr>
          <w:bCs/>
        </w:rPr>
        <w:t>I.</w:t>
      </w:r>
      <w:r w:rsidR="00965A36">
        <w:rPr>
          <w:bCs/>
        </w:rPr>
        <w:t xml:space="preserve"> </w:t>
      </w:r>
      <w:r w:rsidR="00965A36" w:rsidRPr="00965A36">
        <w:rPr>
          <w:bCs/>
        </w:rPr>
        <w:t>Des organes spéciaux pour l’alimentation du moteur au gaz naturel comprimé (GNC) et/ou au gaz naturel liquéfié (GNL) sur les véhicules</w:t>
      </w:r>
      <w:r w:rsidR="00965A36">
        <w:rPr>
          <w:bCs/>
        </w:rPr>
        <w:br/>
      </w:r>
      <w:r w:rsidR="00965A36" w:rsidRPr="00965A36">
        <w:rPr>
          <w:bCs/>
        </w:rPr>
        <w:t>II. Des véhicules munis d’organes spéciaux d’un type homologué pour l’alimentation du moteur au gaz naturel comprimé (GNC) et/ou au gaz naturel liquéfié (GNL) en ce qui concerne l’installation de ces organes</w:t>
      </w:r>
    </w:p>
    <w:p w14:paraId="39632CCF" w14:textId="77777777" w:rsidR="00965A36" w:rsidRPr="00965A36" w:rsidRDefault="00965A36" w:rsidP="00965A36">
      <w:pPr>
        <w:pStyle w:val="SingleTxtG"/>
        <w:rPr>
          <w:spacing w:val="-4"/>
        </w:rPr>
      </w:pPr>
      <w:r w:rsidRPr="00965A36">
        <w:rPr>
          <w:spacing w:val="-4"/>
        </w:rPr>
        <w:t>Le présent document est communiqué uniquement à titre d’information. Le texte authentique, juridiquement contraignant, est celui du document ECE/TRANS/WP.29/2019/16 tel que modifié par le paragraphe 105 du document ECE/TRANS/WP.29/1145.</w:t>
      </w:r>
      <w:r w:rsidR="00442E31" w:rsidRPr="00965A36">
        <w:rPr>
          <w:noProof/>
          <w:spacing w:val="-4"/>
          <w:lang w:eastAsia="fr-CH"/>
        </w:rPr>
        <mc:AlternateContent>
          <mc:Choice Requires="wps">
            <w:drawing>
              <wp:anchor distT="0" distB="0" distL="114300" distR="114300" simplePos="0" relativeHeight="251657728" behindDoc="0" locked="0" layoutInCell="1" allowOverlap="1" wp14:anchorId="79CA2318" wp14:editId="5AB15C0F">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043F2E8F" w14:textId="77777777" w:rsidR="00442E31" w:rsidRPr="0029791D" w:rsidRDefault="00442E31" w:rsidP="00C9521D">
                            <w:pPr>
                              <w:ind w:left="1134" w:right="1134"/>
                              <w:jc w:val="center"/>
                            </w:pPr>
                            <w:r>
                              <w:t>_______________</w:t>
                            </w:r>
                          </w:p>
                          <w:p w14:paraId="06E9D688" w14:textId="77777777" w:rsidR="00442E31" w:rsidRDefault="00442E31" w:rsidP="00C9521D">
                            <w:pPr>
                              <w:jc w:val="center"/>
                              <w:rPr>
                                <w:b/>
                                <w:bCs/>
                                <w:sz w:val="22"/>
                              </w:rPr>
                            </w:pPr>
                            <w:r>
                              <w:rPr>
                                <w:noProof/>
                                <w:lang w:eastAsia="fr-CH"/>
                              </w:rPr>
                              <w:drawing>
                                <wp:inline distT="0" distB="0" distL="0" distR="0" wp14:anchorId="75BC728C" wp14:editId="59835A32">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3D7C3D2"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A2318"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043F2E8F" w14:textId="77777777" w:rsidR="00442E31" w:rsidRPr="0029791D" w:rsidRDefault="00442E31" w:rsidP="00C9521D">
                      <w:pPr>
                        <w:ind w:left="1134" w:right="1134"/>
                        <w:jc w:val="center"/>
                      </w:pPr>
                      <w:r>
                        <w:t>_______________</w:t>
                      </w:r>
                    </w:p>
                    <w:p w14:paraId="06E9D688" w14:textId="77777777" w:rsidR="00442E31" w:rsidRDefault="00442E31" w:rsidP="00C9521D">
                      <w:pPr>
                        <w:jc w:val="center"/>
                        <w:rPr>
                          <w:b/>
                          <w:bCs/>
                          <w:sz w:val="22"/>
                        </w:rPr>
                      </w:pPr>
                      <w:r>
                        <w:rPr>
                          <w:noProof/>
                          <w:lang w:eastAsia="fr-CH"/>
                        </w:rPr>
                        <w:drawing>
                          <wp:inline distT="0" distB="0" distL="0" distR="0" wp14:anchorId="75BC728C" wp14:editId="59835A32">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3D7C3D2"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2CBAD5DF" w14:textId="77777777" w:rsidR="005F0207" w:rsidRDefault="005F0207" w:rsidP="005F0207"/>
    <w:p w14:paraId="16AB893B" w14:textId="77777777" w:rsidR="0099710C" w:rsidRDefault="00460BD4" w:rsidP="0099710C">
      <w:pPr>
        <w:pStyle w:val="HChG"/>
      </w:pPr>
      <w:r>
        <w:br w:type="page"/>
      </w:r>
      <w:r w:rsidR="0099710C">
        <w:lastRenderedPageBreak/>
        <w:tab/>
      </w:r>
      <w:r w:rsidR="0099710C">
        <w:tab/>
        <w:t>Série 04 d’amendements au Règlement ONU n</w:t>
      </w:r>
      <w:r w:rsidR="0099710C" w:rsidRPr="0099710C">
        <w:rPr>
          <w:vertAlign w:val="superscript"/>
        </w:rPr>
        <w:t>o</w:t>
      </w:r>
      <w:r w:rsidR="0099710C">
        <w:t> 110 (Véhicules alimentés au GNC/GNL)</w:t>
      </w:r>
    </w:p>
    <w:p w14:paraId="4DBC5F45" w14:textId="77777777" w:rsidR="0099710C" w:rsidRDefault="0099710C" w:rsidP="0099710C">
      <w:pPr>
        <w:pStyle w:val="SingleTxtG"/>
      </w:pPr>
      <w:r w:rsidRPr="0099710C">
        <w:rPr>
          <w:i/>
        </w:rPr>
        <w:t>Figure 1-2</w:t>
      </w:r>
      <w:r>
        <w:t xml:space="preserve">, lire (insérer une nouvelle ligne en référence à l’annexe 5Q) : </w:t>
      </w:r>
    </w:p>
    <w:p w14:paraId="4E9FB4CE" w14:textId="77777777" w:rsidR="00965A36" w:rsidRDefault="0099710C" w:rsidP="0099710C">
      <w:pPr>
        <w:pStyle w:val="SingleTxtG"/>
        <w:jc w:val="left"/>
      </w:pPr>
      <w:r>
        <w:t>« Figure 1-2</w:t>
      </w:r>
      <w:r>
        <w:br/>
        <w:t xml:space="preserve">Essais applicables aux différentes classes d’organes (à l’exclusion des bouteilles </w:t>
      </w:r>
      <w:r>
        <w:br/>
        <w:t>pour GNC et des réservoirs pour GNL)</w:t>
      </w:r>
    </w:p>
    <w:tbl>
      <w:tblPr>
        <w:tblStyle w:val="TableNormal1"/>
        <w:tblW w:w="7370" w:type="dxa"/>
        <w:tblInd w:w="1134" w:type="dxa"/>
        <w:tblLayout w:type="fixed"/>
        <w:tblLook w:val="01E0" w:firstRow="1" w:lastRow="1" w:firstColumn="1" w:lastColumn="1" w:noHBand="0" w:noVBand="0"/>
      </w:tblPr>
      <w:tblGrid>
        <w:gridCol w:w="2645"/>
        <w:gridCol w:w="590"/>
        <w:gridCol w:w="591"/>
        <w:gridCol w:w="590"/>
        <w:gridCol w:w="591"/>
        <w:gridCol w:w="591"/>
        <w:gridCol w:w="590"/>
        <w:gridCol w:w="591"/>
        <w:gridCol w:w="591"/>
      </w:tblGrid>
      <w:tr w:rsidR="0099710C" w:rsidRPr="0099710C" w14:paraId="7C77BC0B" w14:textId="77777777" w:rsidTr="0099710C">
        <w:trPr>
          <w:tblHeader/>
        </w:trPr>
        <w:tc>
          <w:tcPr>
            <w:tcW w:w="2646" w:type="dxa"/>
            <w:tcBorders>
              <w:top w:val="single" w:sz="4" w:space="0" w:color="auto"/>
              <w:bottom w:val="single" w:sz="12" w:space="0" w:color="auto"/>
            </w:tcBorders>
            <w:shd w:val="clear" w:color="auto" w:fill="auto"/>
            <w:vAlign w:val="bottom"/>
          </w:tcPr>
          <w:p w14:paraId="5FE81B66" w14:textId="77777777" w:rsidR="0099710C" w:rsidRPr="0099710C" w:rsidRDefault="0099710C" w:rsidP="0099710C">
            <w:pPr>
              <w:widowControl/>
              <w:suppressAutoHyphens w:val="0"/>
              <w:spacing w:before="80" w:after="80" w:line="200" w:lineRule="exact"/>
              <w:rPr>
                <w:rFonts w:ascii="Times New Roman" w:hAnsi="Times New Roman"/>
                <w:i/>
                <w:sz w:val="16"/>
              </w:rPr>
            </w:pPr>
            <w:r w:rsidRPr="0099710C">
              <w:rPr>
                <w:rFonts w:ascii="Times New Roman" w:hAnsi="Times New Roman"/>
                <w:i/>
                <w:sz w:val="16"/>
              </w:rPr>
              <w:t>Essai</w:t>
            </w:r>
          </w:p>
        </w:tc>
        <w:tc>
          <w:tcPr>
            <w:tcW w:w="590" w:type="dxa"/>
            <w:tcBorders>
              <w:top w:val="single" w:sz="4" w:space="0" w:color="auto"/>
              <w:bottom w:val="single" w:sz="12" w:space="0" w:color="auto"/>
            </w:tcBorders>
            <w:shd w:val="clear" w:color="auto" w:fill="auto"/>
            <w:vAlign w:val="bottom"/>
          </w:tcPr>
          <w:p w14:paraId="66700CB7" w14:textId="77777777" w:rsidR="0099710C" w:rsidRPr="0099710C" w:rsidRDefault="0099710C" w:rsidP="0099710C">
            <w:pPr>
              <w:widowControl/>
              <w:suppressAutoHyphens w:val="0"/>
              <w:spacing w:before="80" w:after="80" w:line="200" w:lineRule="exact"/>
              <w:jc w:val="right"/>
              <w:rPr>
                <w:rFonts w:ascii="Times New Roman" w:hAnsi="Times New Roman"/>
                <w:i/>
                <w:sz w:val="16"/>
              </w:rPr>
            </w:pPr>
            <w:r w:rsidRPr="0099710C">
              <w:rPr>
                <w:rFonts w:ascii="Times New Roman" w:hAnsi="Times New Roman"/>
                <w:i/>
                <w:sz w:val="16"/>
              </w:rPr>
              <w:t>Classe 0</w:t>
            </w:r>
          </w:p>
        </w:tc>
        <w:tc>
          <w:tcPr>
            <w:tcW w:w="591" w:type="dxa"/>
            <w:tcBorders>
              <w:top w:val="single" w:sz="4" w:space="0" w:color="auto"/>
              <w:bottom w:val="single" w:sz="12" w:space="0" w:color="auto"/>
            </w:tcBorders>
            <w:shd w:val="clear" w:color="auto" w:fill="auto"/>
            <w:vAlign w:val="bottom"/>
          </w:tcPr>
          <w:p w14:paraId="73A4C190" w14:textId="77777777" w:rsidR="0099710C" w:rsidRPr="0099710C" w:rsidRDefault="0099710C" w:rsidP="0099710C">
            <w:pPr>
              <w:widowControl/>
              <w:suppressAutoHyphens w:val="0"/>
              <w:spacing w:before="80" w:after="80" w:line="200" w:lineRule="exact"/>
              <w:jc w:val="right"/>
              <w:rPr>
                <w:rFonts w:ascii="Times New Roman" w:hAnsi="Times New Roman"/>
                <w:i/>
                <w:sz w:val="16"/>
              </w:rPr>
            </w:pPr>
            <w:r w:rsidRPr="0099710C">
              <w:rPr>
                <w:rFonts w:ascii="Times New Roman" w:hAnsi="Times New Roman"/>
                <w:i/>
                <w:sz w:val="16"/>
              </w:rPr>
              <w:t>Classe 1</w:t>
            </w:r>
          </w:p>
        </w:tc>
        <w:tc>
          <w:tcPr>
            <w:tcW w:w="590" w:type="dxa"/>
            <w:tcBorders>
              <w:top w:val="single" w:sz="4" w:space="0" w:color="auto"/>
              <w:bottom w:val="single" w:sz="12" w:space="0" w:color="auto"/>
            </w:tcBorders>
            <w:shd w:val="clear" w:color="auto" w:fill="auto"/>
            <w:vAlign w:val="bottom"/>
          </w:tcPr>
          <w:p w14:paraId="12A29F89" w14:textId="77777777" w:rsidR="0099710C" w:rsidRPr="0099710C" w:rsidRDefault="0099710C" w:rsidP="0099710C">
            <w:pPr>
              <w:widowControl/>
              <w:suppressAutoHyphens w:val="0"/>
              <w:spacing w:before="80" w:after="80" w:line="200" w:lineRule="exact"/>
              <w:jc w:val="right"/>
              <w:rPr>
                <w:rFonts w:ascii="Times New Roman" w:hAnsi="Times New Roman"/>
                <w:i/>
                <w:sz w:val="16"/>
              </w:rPr>
            </w:pPr>
            <w:r w:rsidRPr="0099710C">
              <w:rPr>
                <w:rFonts w:ascii="Times New Roman" w:hAnsi="Times New Roman"/>
                <w:i/>
                <w:sz w:val="16"/>
              </w:rPr>
              <w:t>Classe 2</w:t>
            </w:r>
          </w:p>
        </w:tc>
        <w:tc>
          <w:tcPr>
            <w:tcW w:w="591" w:type="dxa"/>
            <w:tcBorders>
              <w:top w:val="single" w:sz="4" w:space="0" w:color="auto"/>
              <w:bottom w:val="single" w:sz="12" w:space="0" w:color="auto"/>
            </w:tcBorders>
            <w:shd w:val="clear" w:color="auto" w:fill="auto"/>
            <w:vAlign w:val="bottom"/>
          </w:tcPr>
          <w:p w14:paraId="03CF05BE" w14:textId="77777777" w:rsidR="0099710C" w:rsidRPr="0099710C" w:rsidRDefault="0099710C" w:rsidP="0099710C">
            <w:pPr>
              <w:widowControl/>
              <w:suppressAutoHyphens w:val="0"/>
              <w:spacing w:before="80" w:after="80" w:line="200" w:lineRule="exact"/>
              <w:jc w:val="right"/>
              <w:rPr>
                <w:rFonts w:ascii="Times New Roman" w:hAnsi="Times New Roman"/>
                <w:i/>
                <w:sz w:val="16"/>
              </w:rPr>
            </w:pPr>
            <w:r w:rsidRPr="0099710C">
              <w:rPr>
                <w:rFonts w:ascii="Times New Roman" w:hAnsi="Times New Roman"/>
                <w:i/>
                <w:sz w:val="16"/>
              </w:rPr>
              <w:t>Classe 3</w:t>
            </w:r>
          </w:p>
        </w:tc>
        <w:tc>
          <w:tcPr>
            <w:tcW w:w="591" w:type="dxa"/>
            <w:tcBorders>
              <w:top w:val="single" w:sz="4" w:space="0" w:color="auto"/>
              <w:bottom w:val="single" w:sz="12" w:space="0" w:color="auto"/>
            </w:tcBorders>
            <w:shd w:val="clear" w:color="auto" w:fill="auto"/>
            <w:vAlign w:val="bottom"/>
          </w:tcPr>
          <w:p w14:paraId="381BFBA0" w14:textId="77777777" w:rsidR="0099710C" w:rsidRPr="0099710C" w:rsidRDefault="0099710C" w:rsidP="0099710C">
            <w:pPr>
              <w:widowControl/>
              <w:suppressAutoHyphens w:val="0"/>
              <w:spacing w:before="80" w:after="80" w:line="200" w:lineRule="exact"/>
              <w:jc w:val="right"/>
              <w:rPr>
                <w:rFonts w:ascii="Times New Roman" w:hAnsi="Times New Roman"/>
                <w:i/>
                <w:sz w:val="16"/>
              </w:rPr>
            </w:pPr>
            <w:r w:rsidRPr="0099710C">
              <w:rPr>
                <w:rFonts w:ascii="Times New Roman" w:hAnsi="Times New Roman"/>
                <w:i/>
                <w:sz w:val="16"/>
              </w:rPr>
              <w:t>Classe 4</w:t>
            </w:r>
          </w:p>
        </w:tc>
        <w:tc>
          <w:tcPr>
            <w:tcW w:w="590" w:type="dxa"/>
            <w:tcBorders>
              <w:top w:val="single" w:sz="4" w:space="0" w:color="auto"/>
              <w:bottom w:val="single" w:sz="12" w:space="0" w:color="auto"/>
            </w:tcBorders>
            <w:shd w:val="clear" w:color="auto" w:fill="auto"/>
            <w:vAlign w:val="bottom"/>
          </w:tcPr>
          <w:p w14:paraId="24910C68" w14:textId="77777777" w:rsidR="0099710C" w:rsidRPr="0099710C" w:rsidRDefault="0099710C" w:rsidP="0099710C">
            <w:pPr>
              <w:widowControl/>
              <w:suppressAutoHyphens w:val="0"/>
              <w:spacing w:before="80" w:after="80" w:line="200" w:lineRule="exact"/>
              <w:jc w:val="right"/>
              <w:rPr>
                <w:rFonts w:ascii="Times New Roman" w:hAnsi="Times New Roman"/>
                <w:i/>
                <w:sz w:val="16"/>
              </w:rPr>
            </w:pPr>
            <w:r w:rsidRPr="0099710C">
              <w:rPr>
                <w:rFonts w:ascii="Times New Roman" w:hAnsi="Times New Roman"/>
                <w:i/>
                <w:sz w:val="16"/>
              </w:rPr>
              <w:t>Classe 5</w:t>
            </w:r>
          </w:p>
        </w:tc>
        <w:tc>
          <w:tcPr>
            <w:tcW w:w="591" w:type="dxa"/>
            <w:tcBorders>
              <w:top w:val="single" w:sz="4" w:space="0" w:color="auto"/>
              <w:bottom w:val="single" w:sz="12" w:space="0" w:color="auto"/>
            </w:tcBorders>
            <w:shd w:val="clear" w:color="auto" w:fill="auto"/>
            <w:vAlign w:val="bottom"/>
          </w:tcPr>
          <w:p w14:paraId="6B95BF1B" w14:textId="77777777" w:rsidR="0099710C" w:rsidRPr="0099710C" w:rsidRDefault="0099710C" w:rsidP="0099710C">
            <w:pPr>
              <w:widowControl/>
              <w:suppressAutoHyphens w:val="0"/>
              <w:spacing w:before="80" w:after="80" w:line="200" w:lineRule="exact"/>
              <w:jc w:val="right"/>
              <w:rPr>
                <w:rFonts w:ascii="Times New Roman" w:hAnsi="Times New Roman"/>
                <w:i/>
                <w:sz w:val="16"/>
              </w:rPr>
            </w:pPr>
            <w:r w:rsidRPr="0099710C">
              <w:rPr>
                <w:rFonts w:ascii="Times New Roman" w:hAnsi="Times New Roman"/>
                <w:i/>
                <w:sz w:val="16"/>
              </w:rPr>
              <w:t>Classe 6</w:t>
            </w:r>
          </w:p>
        </w:tc>
        <w:tc>
          <w:tcPr>
            <w:tcW w:w="591" w:type="dxa"/>
            <w:tcBorders>
              <w:top w:val="single" w:sz="4" w:space="0" w:color="auto"/>
              <w:bottom w:val="single" w:sz="12" w:space="0" w:color="auto"/>
            </w:tcBorders>
            <w:shd w:val="clear" w:color="auto" w:fill="auto"/>
            <w:vAlign w:val="bottom"/>
          </w:tcPr>
          <w:p w14:paraId="6AD15A07" w14:textId="77777777" w:rsidR="0099710C" w:rsidRPr="0099710C" w:rsidRDefault="0099710C" w:rsidP="0099710C">
            <w:pPr>
              <w:widowControl/>
              <w:suppressAutoHyphens w:val="0"/>
              <w:spacing w:before="80" w:after="80" w:line="200" w:lineRule="exact"/>
              <w:jc w:val="right"/>
              <w:rPr>
                <w:rFonts w:ascii="Times New Roman" w:hAnsi="Times New Roman"/>
                <w:i/>
                <w:sz w:val="16"/>
              </w:rPr>
            </w:pPr>
            <w:r w:rsidRPr="0099710C">
              <w:rPr>
                <w:rFonts w:ascii="Times New Roman" w:hAnsi="Times New Roman"/>
                <w:i/>
                <w:sz w:val="16"/>
              </w:rPr>
              <w:t>Annexe</w:t>
            </w:r>
          </w:p>
        </w:tc>
      </w:tr>
      <w:tr w:rsidR="0099710C" w:rsidRPr="0099710C" w14:paraId="5B6BCE7D" w14:textId="77777777" w:rsidTr="0099710C">
        <w:tc>
          <w:tcPr>
            <w:tcW w:w="2646" w:type="dxa"/>
            <w:tcBorders>
              <w:top w:val="single" w:sz="12" w:space="0" w:color="auto"/>
            </w:tcBorders>
            <w:shd w:val="clear" w:color="auto" w:fill="auto"/>
          </w:tcPr>
          <w:p w14:paraId="1875FBCB" w14:textId="77777777" w:rsidR="0099710C" w:rsidRPr="0099710C" w:rsidRDefault="0099710C" w:rsidP="0099710C">
            <w:pPr>
              <w:widowControl/>
              <w:suppressAutoHyphens w:val="0"/>
              <w:spacing w:before="40" w:after="40" w:line="220" w:lineRule="exact"/>
              <w:rPr>
                <w:rFonts w:ascii="Times New Roman" w:hAnsi="Times New Roman"/>
                <w:sz w:val="18"/>
                <w:szCs w:val="18"/>
              </w:rPr>
            </w:pPr>
            <w:r w:rsidRPr="0099710C">
              <w:rPr>
                <w:rFonts w:ascii="Times New Roman" w:hAnsi="Times New Roman"/>
                <w:sz w:val="18"/>
                <w:szCs w:val="18"/>
              </w:rPr>
              <w:t>Essai de surpression</w:t>
            </w:r>
          </w:p>
        </w:tc>
        <w:tc>
          <w:tcPr>
            <w:tcW w:w="590" w:type="dxa"/>
            <w:tcBorders>
              <w:top w:val="single" w:sz="12" w:space="0" w:color="auto"/>
            </w:tcBorders>
            <w:shd w:val="clear" w:color="auto" w:fill="auto"/>
            <w:vAlign w:val="bottom"/>
          </w:tcPr>
          <w:p w14:paraId="01494FB9"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X</w:t>
            </w:r>
          </w:p>
        </w:tc>
        <w:tc>
          <w:tcPr>
            <w:tcW w:w="591" w:type="dxa"/>
            <w:tcBorders>
              <w:top w:val="single" w:sz="12" w:space="0" w:color="auto"/>
            </w:tcBorders>
            <w:shd w:val="clear" w:color="auto" w:fill="auto"/>
            <w:vAlign w:val="bottom"/>
          </w:tcPr>
          <w:p w14:paraId="74842FCA"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X</w:t>
            </w:r>
          </w:p>
        </w:tc>
        <w:tc>
          <w:tcPr>
            <w:tcW w:w="590" w:type="dxa"/>
            <w:tcBorders>
              <w:top w:val="single" w:sz="12" w:space="0" w:color="auto"/>
            </w:tcBorders>
            <w:shd w:val="clear" w:color="auto" w:fill="auto"/>
            <w:vAlign w:val="bottom"/>
          </w:tcPr>
          <w:p w14:paraId="0E2A5272"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X</w:t>
            </w:r>
          </w:p>
        </w:tc>
        <w:tc>
          <w:tcPr>
            <w:tcW w:w="591" w:type="dxa"/>
            <w:tcBorders>
              <w:top w:val="single" w:sz="12" w:space="0" w:color="auto"/>
            </w:tcBorders>
            <w:shd w:val="clear" w:color="auto" w:fill="auto"/>
            <w:vAlign w:val="bottom"/>
          </w:tcPr>
          <w:p w14:paraId="08A99A63"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X</w:t>
            </w:r>
          </w:p>
        </w:tc>
        <w:tc>
          <w:tcPr>
            <w:tcW w:w="591" w:type="dxa"/>
            <w:tcBorders>
              <w:top w:val="single" w:sz="12" w:space="0" w:color="auto"/>
            </w:tcBorders>
            <w:shd w:val="clear" w:color="auto" w:fill="auto"/>
            <w:vAlign w:val="bottom"/>
          </w:tcPr>
          <w:p w14:paraId="6D947991"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O</w:t>
            </w:r>
          </w:p>
        </w:tc>
        <w:tc>
          <w:tcPr>
            <w:tcW w:w="590" w:type="dxa"/>
            <w:tcBorders>
              <w:top w:val="single" w:sz="12" w:space="0" w:color="auto"/>
            </w:tcBorders>
            <w:shd w:val="clear" w:color="auto" w:fill="auto"/>
            <w:vAlign w:val="bottom"/>
          </w:tcPr>
          <w:p w14:paraId="740892F4"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X</w:t>
            </w:r>
          </w:p>
        </w:tc>
        <w:tc>
          <w:tcPr>
            <w:tcW w:w="591" w:type="dxa"/>
            <w:tcBorders>
              <w:top w:val="single" w:sz="12" w:space="0" w:color="auto"/>
            </w:tcBorders>
            <w:shd w:val="clear" w:color="auto" w:fill="auto"/>
            <w:vAlign w:val="bottom"/>
          </w:tcPr>
          <w:p w14:paraId="07FA8E69"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X</w:t>
            </w:r>
          </w:p>
        </w:tc>
        <w:tc>
          <w:tcPr>
            <w:tcW w:w="591" w:type="dxa"/>
            <w:tcBorders>
              <w:top w:val="single" w:sz="12" w:space="0" w:color="auto"/>
            </w:tcBorders>
            <w:shd w:val="clear" w:color="auto" w:fill="auto"/>
            <w:vAlign w:val="bottom"/>
          </w:tcPr>
          <w:p w14:paraId="3235F7AF"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5A</w:t>
            </w:r>
          </w:p>
        </w:tc>
      </w:tr>
      <w:tr w:rsidR="0099710C" w:rsidRPr="0099710C" w14:paraId="2CECEB52" w14:textId="77777777" w:rsidTr="0099710C">
        <w:tc>
          <w:tcPr>
            <w:tcW w:w="2646" w:type="dxa"/>
            <w:shd w:val="clear" w:color="auto" w:fill="auto"/>
          </w:tcPr>
          <w:p w14:paraId="51DD6A0D" w14:textId="77777777" w:rsidR="0099710C" w:rsidRPr="0099710C" w:rsidRDefault="0099710C" w:rsidP="0099710C">
            <w:pPr>
              <w:widowControl/>
              <w:suppressAutoHyphens w:val="0"/>
              <w:spacing w:before="40" w:after="40" w:line="220" w:lineRule="exact"/>
              <w:rPr>
                <w:rFonts w:ascii="Times New Roman" w:hAnsi="Times New Roman"/>
                <w:sz w:val="18"/>
              </w:rPr>
            </w:pPr>
            <w:r w:rsidRPr="0099710C">
              <w:rPr>
                <w:rFonts w:ascii="Times New Roman" w:hAnsi="Times New Roman"/>
                <w:sz w:val="18"/>
              </w:rPr>
              <w:t>…</w:t>
            </w:r>
          </w:p>
        </w:tc>
        <w:tc>
          <w:tcPr>
            <w:tcW w:w="590" w:type="dxa"/>
            <w:shd w:val="clear" w:color="auto" w:fill="auto"/>
            <w:vAlign w:val="bottom"/>
          </w:tcPr>
          <w:p w14:paraId="363A49FE" w14:textId="77777777" w:rsidR="0099710C" w:rsidRPr="0099710C" w:rsidRDefault="0099710C" w:rsidP="0099710C">
            <w:pPr>
              <w:widowControl/>
              <w:suppressAutoHyphens w:val="0"/>
              <w:spacing w:before="40" w:after="40" w:line="220" w:lineRule="exact"/>
              <w:jc w:val="right"/>
              <w:rPr>
                <w:rFonts w:ascii="Times New Roman" w:hAnsi="Times New Roman"/>
                <w:sz w:val="18"/>
              </w:rPr>
            </w:pPr>
          </w:p>
        </w:tc>
        <w:tc>
          <w:tcPr>
            <w:tcW w:w="591" w:type="dxa"/>
            <w:shd w:val="clear" w:color="auto" w:fill="auto"/>
            <w:vAlign w:val="bottom"/>
          </w:tcPr>
          <w:p w14:paraId="753563DF" w14:textId="77777777" w:rsidR="0099710C" w:rsidRPr="0099710C" w:rsidRDefault="0099710C" w:rsidP="0099710C">
            <w:pPr>
              <w:widowControl/>
              <w:suppressAutoHyphens w:val="0"/>
              <w:spacing w:before="40" w:after="40" w:line="220" w:lineRule="exact"/>
              <w:jc w:val="right"/>
              <w:rPr>
                <w:rFonts w:ascii="Times New Roman" w:hAnsi="Times New Roman"/>
                <w:sz w:val="18"/>
              </w:rPr>
            </w:pPr>
          </w:p>
        </w:tc>
        <w:tc>
          <w:tcPr>
            <w:tcW w:w="590" w:type="dxa"/>
            <w:shd w:val="clear" w:color="auto" w:fill="auto"/>
            <w:vAlign w:val="bottom"/>
          </w:tcPr>
          <w:p w14:paraId="1C45509C" w14:textId="77777777" w:rsidR="0099710C" w:rsidRPr="0099710C" w:rsidRDefault="0099710C" w:rsidP="0099710C">
            <w:pPr>
              <w:widowControl/>
              <w:suppressAutoHyphens w:val="0"/>
              <w:spacing w:before="40" w:after="40" w:line="220" w:lineRule="exact"/>
              <w:jc w:val="right"/>
              <w:rPr>
                <w:rFonts w:ascii="Times New Roman" w:hAnsi="Times New Roman"/>
                <w:sz w:val="18"/>
              </w:rPr>
            </w:pPr>
          </w:p>
        </w:tc>
        <w:tc>
          <w:tcPr>
            <w:tcW w:w="591" w:type="dxa"/>
            <w:shd w:val="clear" w:color="auto" w:fill="auto"/>
            <w:vAlign w:val="bottom"/>
          </w:tcPr>
          <w:p w14:paraId="2A32280C" w14:textId="77777777" w:rsidR="0099710C" w:rsidRPr="0099710C" w:rsidRDefault="0099710C" w:rsidP="0099710C">
            <w:pPr>
              <w:widowControl/>
              <w:suppressAutoHyphens w:val="0"/>
              <w:spacing w:before="40" w:after="40" w:line="220" w:lineRule="exact"/>
              <w:jc w:val="right"/>
              <w:rPr>
                <w:rFonts w:ascii="Times New Roman" w:hAnsi="Times New Roman"/>
                <w:sz w:val="18"/>
              </w:rPr>
            </w:pPr>
          </w:p>
        </w:tc>
        <w:tc>
          <w:tcPr>
            <w:tcW w:w="591" w:type="dxa"/>
            <w:shd w:val="clear" w:color="auto" w:fill="auto"/>
            <w:vAlign w:val="bottom"/>
          </w:tcPr>
          <w:p w14:paraId="613710C0" w14:textId="77777777" w:rsidR="0099710C" w:rsidRPr="0099710C" w:rsidRDefault="0099710C" w:rsidP="0099710C">
            <w:pPr>
              <w:widowControl/>
              <w:suppressAutoHyphens w:val="0"/>
              <w:spacing w:before="40" w:after="40" w:line="220" w:lineRule="exact"/>
              <w:jc w:val="right"/>
              <w:rPr>
                <w:rFonts w:ascii="Times New Roman" w:hAnsi="Times New Roman"/>
                <w:sz w:val="18"/>
              </w:rPr>
            </w:pPr>
          </w:p>
        </w:tc>
        <w:tc>
          <w:tcPr>
            <w:tcW w:w="590" w:type="dxa"/>
            <w:shd w:val="clear" w:color="auto" w:fill="auto"/>
            <w:vAlign w:val="bottom"/>
          </w:tcPr>
          <w:p w14:paraId="188A7F07" w14:textId="77777777" w:rsidR="0099710C" w:rsidRPr="0099710C" w:rsidRDefault="0099710C" w:rsidP="0099710C">
            <w:pPr>
              <w:widowControl/>
              <w:suppressAutoHyphens w:val="0"/>
              <w:spacing w:before="40" w:after="40" w:line="220" w:lineRule="exact"/>
              <w:jc w:val="right"/>
              <w:rPr>
                <w:rFonts w:ascii="Times New Roman" w:hAnsi="Times New Roman"/>
                <w:sz w:val="18"/>
              </w:rPr>
            </w:pPr>
          </w:p>
        </w:tc>
        <w:tc>
          <w:tcPr>
            <w:tcW w:w="591" w:type="dxa"/>
            <w:shd w:val="clear" w:color="auto" w:fill="auto"/>
            <w:vAlign w:val="bottom"/>
          </w:tcPr>
          <w:p w14:paraId="1437EAE4" w14:textId="77777777" w:rsidR="0099710C" w:rsidRPr="0099710C" w:rsidRDefault="0099710C" w:rsidP="0099710C">
            <w:pPr>
              <w:widowControl/>
              <w:suppressAutoHyphens w:val="0"/>
              <w:spacing w:before="40" w:after="40" w:line="220" w:lineRule="exact"/>
              <w:jc w:val="right"/>
              <w:rPr>
                <w:rFonts w:ascii="Times New Roman" w:hAnsi="Times New Roman"/>
                <w:sz w:val="18"/>
              </w:rPr>
            </w:pPr>
          </w:p>
        </w:tc>
        <w:tc>
          <w:tcPr>
            <w:tcW w:w="591" w:type="dxa"/>
            <w:shd w:val="clear" w:color="auto" w:fill="auto"/>
            <w:vAlign w:val="bottom"/>
          </w:tcPr>
          <w:p w14:paraId="403ADAE9" w14:textId="77777777" w:rsidR="0099710C" w:rsidRPr="0099710C" w:rsidRDefault="0099710C" w:rsidP="0099710C">
            <w:pPr>
              <w:widowControl/>
              <w:suppressAutoHyphens w:val="0"/>
              <w:spacing w:before="40" w:after="40" w:line="220" w:lineRule="exact"/>
              <w:jc w:val="right"/>
              <w:rPr>
                <w:rFonts w:ascii="Times New Roman" w:hAnsi="Times New Roman"/>
                <w:sz w:val="18"/>
              </w:rPr>
            </w:pPr>
          </w:p>
        </w:tc>
      </w:tr>
      <w:tr w:rsidR="0099710C" w:rsidRPr="0099710C" w14:paraId="6B2A2126" w14:textId="77777777" w:rsidTr="0099710C">
        <w:tc>
          <w:tcPr>
            <w:tcW w:w="2646" w:type="dxa"/>
            <w:shd w:val="clear" w:color="auto" w:fill="auto"/>
          </w:tcPr>
          <w:p w14:paraId="180C77FE" w14:textId="77777777" w:rsidR="0099710C" w:rsidRPr="0099710C" w:rsidRDefault="0099710C" w:rsidP="0099710C">
            <w:pPr>
              <w:widowControl/>
              <w:suppressAutoHyphens w:val="0"/>
              <w:spacing w:before="40" w:after="40" w:line="220" w:lineRule="exact"/>
              <w:rPr>
                <w:rFonts w:ascii="Times New Roman" w:hAnsi="Times New Roman"/>
                <w:sz w:val="18"/>
              </w:rPr>
            </w:pPr>
            <w:r w:rsidRPr="0099710C">
              <w:rPr>
                <w:rFonts w:ascii="Times New Roman" w:hAnsi="Times New Roman"/>
                <w:sz w:val="18"/>
              </w:rPr>
              <w:t>Essai du GNL à basse température</w:t>
            </w:r>
          </w:p>
        </w:tc>
        <w:tc>
          <w:tcPr>
            <w:tcW w:w="590" w:type="dxa"/>
            <w:shd w:val="clear" w:color="auto" w:fill="auto"/>
            <w:vAlign w:val="bottom"/>
          </w:tcPr>
          <w:p w14:paraId="3163FE87"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O</w:t>
            </w:r>
          </w:p>
        </w:tc>
        <w:tc>
          <w:tcPr>
            <w:tcW w:w="591" w:type="dxa"/>
            <w:shd w:val="clear" w:color="auto" w:fill="auto"/>
            <w:vAlign w:val="bottom"/>
          </w:tcPr>
          <w:p w14:paraId="64283DCF"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O</w:t>
            </w:r>
          </w:p>
        </w:tc>
        <w:tc>
          <w:tcPr>
            <w:tcW w:w="590" w:type="dxa"/>
            <w:shd w:val="clear" w:color="auto" w:fill="auto"/>
            <w:vAlign w:val="bottom"/>
          </w:tcPr>
          <w:p w14:paraId="76D813F3"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O</w:t>
            </w:r>
          </w:p>
        </w:tc>
        <w:tc>
          <w:tcPr>
            <w:tcW w:w="591" w:type="dxa"/>
            <w:shd w:val="clear" w:color="auto" w:fill="auto"/>
            <w:vAlign w:val="bottom"/>
          </w:tcPr>
          <w:p w14:paraId="5A8244BE"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O</w:t>
            </w:r>
          </w:p>
        </w:tc>
        <w:tc>
          <w:tcPr>
            <w:tcW w:w="591" w:type="dxa"/>
            <w:shd w:val="clear" w:color="auto" w:fill="auto"/>
            <w:vAlign w:val="bottom"/>
          </w:tcPr>
          <w:p w14:paraId="5294036A"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O</w:t>
            </w:r>
          </w:p>
        </w:tc>
        <w:tc>
          <w:tcPr>
            <w:tcW w:w="590" w:type="dxa"/>
            <w:shd w:val="clear" w:color="auto" w:fill="auto"/>
            <w:vAlign w:val="bottom"/>
          </w:tcPr>
          <w:p w14:paraId="1353E3E9"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X</w:t>
            </w:r>
          </w:p>
        </w:tc>
        <w:tc>
          <w:tcPr>
            <w:tcW w:w="591" w:type="dxa"/>
            <w:shd w:val="clear" w:color="auto" w:fill="auto"/>
            <w:vAlign w:val="bottom"/>
          </w:tcPr>
          <w:p w14:paraId="145B126D"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O</w:t>
            </w:r>
          </w:p>
        </w:tc>
        <w:tc>
          <w:tcPr>
            <w:tcW w:w="591" w:type="dxa"/>
            <w:shd w:val="clear" w:color="auto" w:fill="auto"/>
            <w:vAlign w:val="bottom"/>
          </w:tcPr>
          <w:p w14:paraId="04DE9C98"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5P</w:t>
            </w:r>
          </w:p>
        </w:tc>
      </w:tr>
      <w:tr w:rsidR="0099710C" w:rsidRPr="0099710C" w14:paraId="36806564" w14:textId="77777777" w:rsidTr="0099710C">
        <w:tc>
          <w:tcPr>
            <w:tcW w:w="2646" w:type="dxa"/>
            <w:tcBorders>
              <w:bottom w:val="single" w:sz="12" w:space="0" w:color="auto"/>
            </w:tcBorders>
            <w:shd w:val="clear" w:color="auto" w:fill="auto"/>
          </w:tcPr>
          <w:p w14:paraId="4A4695E8" w14:textId="77777777" w:rsidR="0099710C" w:rsidRPr="0099710C" w:rsidRDefault="0099710C" w:rsidP="0099710C">
            <w:pPr>
              <w:widowControl/>
              <w:suppressAutoHyphens w:val="0"/>
              <w:spacing w:before="40" w:after="40" w:line="220" w:lineRule="exact"/>
              <w:rPr>
                <w:rFonts w:ascii="Times New Roman" w:hAnsi="Times New Roman"/>
                <w:sz w:val="18"/>
              </w:rPr>
            </w:pPr>
            <w:r w:rsidRPr="0099710C">
              <w:rPr>
                <w:rFonts w:ascii="Times New Roman" w:hAnsi="Times New Roman"/>
                <w:sz w:val="18"/>
              </w:rPr>
              <w:t xml:space="preserve">Essai de compatibilité des éléments non métalliques avec les fluides d’échange thermique </w:t>
            </w:r>
          </w:p>
        </w:tc>
        <w:tc>
          <w:tcPr>
            <w:tcW w:w="590" w:type="dxa"/>
            <w:tcBorders>
              <w:bottom w:val="single" w:sz="12" w:space="0" w:color="auto"/>
            </w:tcBorders>
            <w:shd w:val="clear" w:color="auto" w:fill="auto"/>
            <w:vAlign w:val="bottom"/>
          </w:tcPr>
          <w:p w14:paraId="10F1BCBA"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A</w:t>
            </w:r>
          </w:p>
        </w:tc>
        <w:tc>
          <w:tcPr>
            <w:tcW w:w="591" w:type="dxa"/>
            <w:tcBorders>
              <w:bottom w:val="single" w:sz="12" w:space="0" w:color="auto"/>
            </w:tcBorders>
            <w:shd w:val="clear" w:color="auto" w:fill="auto"/>
            <w:vAlign w:val="bottom"/>
          </w:tcPr>
          <w:p w14:paraId="24E1DE13"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A</w:t>
            </w:r>
          </w:p>
        </w:tc>
        <w:tc>
          <w:tcPr>
            <w:tcW w:w="590" w:type="dxa"/>
            <w:tcBorders>
              <w:bottom w:val="single" w:sz="12" w:space="0" w:color="auto"/>
            </w:tcBorders>
            <w:shd w:val="clear" w:color="auto" w:fill="auto"/>
            <w:vAlign w:val="bottom"/>
          </w:tcPr>
          <w:p w14:paraId="081142B7"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A</w:t>
            </w:r>
          </w:p>
        </w:tc>
        <w:tc>
          <w:tcPr>
            <w:tcW w:w="591" w:type="dxa"/>
            <w:tcBorders>
              <w:bottom w:val="single" w:sz="12" w:space="0" w:color="auto"/>
            </w:tcBorders>
            <w:shd w:val="clear" w:color="auto" w:fill="auto"/>
            <w:vAlign w:val="bottom"/>
          </w:tcPr>
          <w:p w14:paraId="193928B8"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A</w:t>
            </w:r>
          </w:p>
        </w:tc>
        <w:tc>
          <w:tcPr>
            <w:tcW w:w="591" w:type="dxa"/>
            <w:tcBorders>
              <w:bottom w:val="single" w:sz="12" w:space="0" w:color="auto"/>
            </w:tcBorders>
            <w:shd w:val="clear" w:color="auto" w:fill="auto"/>
            <w:vAlign w:val="bottom"/>
          </w:tcPr>
          <w:p w14:paraId="40DBE433"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A</w:t>
            </w:r>
          </w:p>
        </w:tc>
        <w:tc>
          <w:tcPr>
            <w:tcW w:w="590" w:type="dxa"/>
            <w:tcBorders>
              <w:bottom w:val="single" w:sz="12" w:space="0" w:color="auto"/>
            </w:tcBorders>
            <w:shd w:val="clear" w:color="auto" w:fill="auto"/>
            <w:vAlign w:val="bottom"/>
          </w:tcPr>
          <w:p w14:paraId="4ECE4BB2"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A</w:t>
            </w:r>
          </w:p>
        </w:tc>
        <w:tc>
          <w:tcPr>
            <w:tcW w:w="591" w:type="dxa"/>
            <w:tcBorders>
              <w:bottom w:val="single" w:sz="12" w:space="0" w:color="auto"/>
            </w:tcBorders>
            <w:shd w:val="clear" w:color="auto" w:fill="auto"/>
            <w:vAlign w:val="bottom"/>
          </w:tcPr>
          <w:p w14:paraId="5B3ADD54"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A</w:t>
            </w:r>
          </w:p>
        </w:tc>
        <w:tc>
          <w:tcPr>
            <w:tcW w:w="591" w:type="dxa"/>
            <w:tcBorders>
              <w:bottom w:val="single" w:sz="12" w:space="0" w:color="auto"/>
            </w:tcBorders>
            <w:shd w:val="clear" w:color="auto" w:fill="auto"/>
            <w:vAlign w:val="bottom"/>
          </w:tcPr>
          <w:p w14:paraId="7C49CE68" w14:textId="77777777" w:rsidR="0099710C" w:rsidRPr="0099710C" w:rsidRDefault="0099710C" w:rsidP="0099710C">
            <w:pPr>
              <w:widowControl/>
              <w:suppressAutoHyphens w:val="0"/>
              <w:spacing w:before="40" w:after="40" w:line="220" w:lineRule="exact"/>
              <w:jc w:val="right"/>
              <w:rPr>
                <w:rFonts w:ascii="Times New Roman" w:hAnsi="Times New Roman"/>
                <w:sz w:val="18"/>
              </w:rPr>
            </w:pPr>
            <w:r w:rsidRPr="0099710C">
              <w:rPr>
                <w:rFonts w:ascii="Times New Roman" w:hAnsi="Times New Roman"/>
                <w:sz w:val="18"/>
              </w:rPr>
              <w:t>5Q</w:t>
            </w:r>
          </w:p>
        </w:tc>
      </w:tr>
    </w:tbl>
    <w:p w14:paraId="76BE7FAC" w14:textId="77777777" w:rsidR="00EE5D2E" w:rsidRDefault="0099710C" w:rsidP="00EE5D2E">
      <w:pPr>
        <w:pStyle w:val="SingleTxtG"/>
        <w:spacing w:before="120" w:after="0"/>
        <w:ind w:firstLine="170"/>
        <w:jc w:val="left"/>
        <w:rPr>
          <w:sz w:val="18"/>
          <w:szCs w:val="18"/>
        </w:rPr>
      </w:pPr>
      <w:r w:rsidRPr="0099710C">
        <w:rPr>
          <w:i/>
          <w:sz w:val="18"/>
          <w:szCs w:val="18"/>
        </w:rPr>
        <w:t>Note </w:t>
      </w:r>
      <w:r w:rsidRPr="0099710C">
        <w:rPr>
          <w:sz w:val="18"/>
          <w:szCs w:val="18"/>
        </w:rPr>
        <w:t>:</w:t>
      </w:r>
      <w:r w:rsidRPr="0099710C">
        <w:rPr>
          <w:sz w:val="18"/>
          <w:szCs w:val="18"/>
        </w:rPr>
        <w:tab/>
        <w:t>X = Applicable</w:t>
      </w:r>
    </w:p>
    <w:p w14:paraId="0534DB3B" w14:textId="77777777" w:rsidR="00EE5D2E" w:rsidRDefault="0099710C" w:rsidP="00EE5D2E">
      <w:pPr>
        <w:pStyle w:val="SingleTxtG"/>
        <w:spacing w:after="0"/>
        <w:ind w:firstLine="170"/>
        <w:jc w:val="left"/>
        <w:rPr>
          <w:sz w:val="18"/>
          <w:szCs w:val="18"/>
        </w:rPr>
      </w:pPr>
      <w:r w:rsidRPr="00EE5D2E">
        <w:rPr>
          <w:sz w:val="18"/>
          <w:szCs w:val="18"/>
        </w:rPr>
        <w:tab/>
      </w:r>
      <w:r w:rsidRPr="00EE5D2E">
        <w:rPr>
          <w:sz w:val="18"/>
          <w:szCs w:val="18"/>
        </w:rPr>
        <w:tab/>
      </w:r>
      <w:r w:rsidRPr="0099710C">
        <w:rPr>
          <w:sz w:val="18"/>
          <w:szCs w:val="18"/>
        </w:rPr>
        <w:t>O = Non applicable</w:t>
      </w:r>
    </w:p>
    <w:p w14:paraId="57CB0FB8" w14:textId="77777777" w:rsidR="0099710C" w:rsidRPr="0099710C" w:rsidRDefault="0099710C" w:rsidP="00EE5D2E">
      <w:pPr>
        <w:pStyle w:val="SingleTxtG"/>
        <w:ind w:firstLine="170"/>
        <w:jc w:val="left"/>
        <w:rPr>
          <w:sz w:val="18"/>
          <w:szCs w:val="18"/>
        </w:rPr>
      </w:pPr>
      <w:r w:rsidRPr="00EE5D2E">
        <w:rPr>
          <w:sz w:val="18"/>
          <w:szCs w:val="18"/>
        </w:rPr>
        <w:tab/>
      </w:r>
      <w:r w:rsidRPr="00EE5D2E">
        <w:rPr>
          <w:sz w:val="18"/>
          <w:szCs w:val="18"/>
        </w:rPr>
        <w:tab/>
      </w:r>
      <w:r w:rsidRPr="0099710C">
        <w:rPr>
          <w:sz w:val="18"/>
          <w:szCs w:val="18"/>
        </w:rPr>
        <w:t>A = S’il y a lieu ».</w:t>
      </w:r>
    </w:p>
    <w:p w14:paraId="2426E2E8" w14:textId="77777777" w:rsidR="0099710C" w:rsidRPr="0099710C" w:rsidRDefault="0099710C" w:rsidP="00EE5D2E">
      <w:pPr>
        <w:pStyle w:val="SingleTxtG"/>
        <w:spacing w:before="240"/>
      </w:pPr>
      <w:r w:rsidRPr="0099710C">
        <w:rPr>
          <w:i/>
        </w:rPr>
        <w:t>Ajouter les nouveaux paragraphes 4.77 et 4.78 (Définitions)</w:t>
      </w:r>
      <w:r w:rsidRPr="0099710C">
        <w:t>, libellés comme suit :</w:t>
      </w:r>
    </w:p>
    <w:p w14:paraId="02DBA8B0" w14:textId="77777777" w:rsidR="0099710C" w:rsidRDefault="0099710C" w:rsidP="0099710C">
      <w:pPr>
        <w:tabs>
          <w:tab w:val="left" w:pos="2835"/>
        </w:tabs>
        <w:kinsoku/>
        <w:overflowPunct/>
        <w:autoSpaceDE/>
        <w:autoSpaceDN/>
        <w:adjustRightInd/>
        <w:snapToGrid/>
        <w:spacing w:after="120"/>
        <w:ind w:left="2268" w:right="1134" w:hanging="1134"/>
        <w:jc w:val="both"/>
      </w:pPr>
      <w:r w:rsidRPr="0099710C">
        <w:t>« 4.77</w:t>
      </w:r>
      <w:r w:rsidRPr="0099710C">
        <w:tab/>
        <w:t>Par “</w:t>
      </w:r>
      <w:r w:rsidRPr="0099710C">
        <w:rPr>
          <w:i/>
        </w:rPr>
        <w:t>compresseur de GNC</w:t>
      </w:r>
      <w:r w:rsidRPr="0099710C">
        <w:t xml:space="preserve">”, un dispositif permettant d’alimenter le moteur en GNC par une </w:t>
      </w:r>
      <w:r w:rsidRPr="0099710C">
        <w:rPr>
          <w:rFonts w:eastAsia="Calibri" w:hAnsi="Calibri"/>
          <w:color w:val="000000"/>
          <w:spacing w:val="-1"/>
        </w:rPr>
        <w:t>augmentation</w:t>
      </w:r>
      <w:r w:rsidRPr="0099710C">
        <w:t xml:space="preserve"> de la pression de vapeur.</w:t>
      </w:r>
    </w:p>
    <w:p w14:paraId="3FE32993" w14:textId="77777777" w:rsidR="0099710C" w:rsidRPr="0099710C" w:rsidRDefault="0099710C" w:rsidP="0099710C">
      <w:pPr>
        <w:tabs>
          <w:tab w:val="left" w:pos="2835"/>
        </w:tabs>
        <w:kinsoku/>
        <w:overflowPunct/>
        <w:autoSpaceDE/>
        <w:autoSpaceDN/>
        <w:adjustRightInd/>
        <w:snapToGrid/>
        <w:spacing w:after="120"/>
        <w:ind w:left="2268" w:right="1134" w:hanging="1134"/>
        <w:jc w:val="both"/>
      </w:pPr>
      <w:r w:rsidRPr="0099710C">
        <w:t>4.78</w:t>
      </w:r>
      <w:r w:rsidRPr="0099710C">
        <w:tab/>
      </w:r>
      <w:r w:rsidRPr="0099710C">
        <w:rPr>
          <w:bCs/>
        </w:rPr>
        <w:t>Par “</w:t>
      </w:r>
      <w:r w:rsidRPr="0099710C">
        <w:rPr>
          <w:bCs/>
          <w:i/>
        </w:rPr>
        <w:t>accumulateur de GNC</w:t>
      </w:r>
      <w:r w:rsidRPr="0099710C">
        <w:t>”</w:t>
      </w:r>
      <w:r w:rsidRPr="0099710C">
        <w:rPr>
          <w:bCs/>
        </w:rPr>
        <w:t>, un dispositif utilisé pour stocker le GNC en aval du vaporisateur de GNL et/ou du système de stockage du GNC (bouteille(s)). ».</w:t>
      </w:r>
    </w:p>
    <w:p w14:paraId="08BECABE" w14:textId="77777777" w:rsidR="0099710C" w:rsidRPr="0099710C" w:rsidRDefault="0099710C" w:rsidP="0099710C">
      <w:pPr>
        <w:pStyle w:val="SingleTxtG"/>
      </w:pPr>
      <w:r w:rsidRPr="0099710C">
        <w:rPr>
          <w:i/>
        </w:rPr>
        <w:t>Paragraphe 8.2</w:t>
      </w:r>
      <w:r w:rsidRPr="0099710C">
        <w:t>, lire :</w:t>
      </w:r>
    </w:p>
    <w:p w14:paraId="1A749971" w14:textId="77777777" w:rsidR="0099710C" w:rsidRPr="0099710C" w:rsidRDefault="0099710C" w:rsidP="0099710C">
      <w:pPr>
        <w:tabs>
          <w:tab w:val="left" w:pos="2835"/>
        </w:tabs>
        <w:kinsoku/>
        <w:overflowPunct/>
        <w:autoSpaceDE/>
        <w:autoSpaceDN/>
        <w:adjustRightInd/>
        <w:snapToGrid/>
        <w:spacing w:after="120"/>
        <w:ind w:left="2268" w:right="1134" w:hanging="1134"/>
        <w:jc w:val="both"/>
      </w:pPr>
      <w:r w:rsidRPr="0099710C">
        <w:t>« 8.2</w:t>
      </w:r>
      <w:r w:rsidRPr="0099710C">
        <w:tab/>
        <w:t>Prescriptions relatives aux réservoirs à GNC et aux accumulateurs de GNC. ».</w:t>
      </w:r>
    </w:p>
    <w:p w14:paraId="062F434B" w14:textId="77777777" w:rsidR="0099710C" w:rsidRPr="0099710C" w:rsidRDefault="0099710C" w:rsidP="0099710C">
      <w:pPr>
        <w:pStyle w:val="SingleTxtG"/>
        <w:rPr>
          <w:i/>
        </w:rPr>
      </w:pPr>
      <w:r w:rsidRPr="0099710C">
        <w:rPr>
          <w:i/>
        </w:rPr>
        <w:t>Ajouter le nouveau paragraphe 8.2.3</w:t>
      </w:r>
      <w:r w:rsidRPr="0099710C">
        <w:t>, libellé comme suit :</w:t>
      </w:r>
    </w:p>
    <w:p w14:paraId="5E355369" w14:textId="77777777" w:rsidR="0099710C" w:rsidRPr="0099710C" w:rsidRDefault="0099710C" w:rsidP="0099710C">
      <w:pPr>
        <w:tabs>
          <w:tab w:val="left" w:pos="2835"/>
        </w:tabs>
        <w:kinsoku/>
        <w:overflowPunct/>
        <w:autoSpaceDE/>
        <w:autoSpaceDN/>
        <w:adjustRightInd/>
        <w:snapToGrid/>
        <w:spacing w:after="120"/>
        <w:ind w:left="2268" w:right="1134" w:hanging="1134"/>
        <w:jc w:val="both"/>
      </w:pPr>
      <w:r w:rsidRPr="0099710C">
        <w:t>« 8.2.3</w:t>
      </w:r>
      <w:r>
        <w:tab/>
      </w:r>
      <w:r w:rsidRPr="0099710C">
        <w:t>Prescriptions relatives aux accumulateurs de GNC</w:t>
      </w:r>
    </w:p>
    <w:p w14:paraId="3ECDC1B4" w14:textId="77777777" w:rsidR="0099710C" w:rsidRDefault="0099710C" w:rsidP="0099710C">
      <w:pPr>
        <w:pStyle w:val="SingleTxtG"/>
        <w:ind w:left="2268"/>
      </w:pPr>
      <w:r w:rsidRPr="0099710C">
        <w:rPr>
          <w:bCs/>
        </w:rPr>
        <w:t>Les accumulateurs de GNC doivent être homologués conformément aux dispositions de l’annexe 3A du présent Règlement, en tenant compte des éléments suivants :</w:t>
      </w:r>
    </w:p>
    <w:p w14:paraId="768CF911" w14:textId="77777777" w:rsidR="0099710C" w:rsidRDefault="0099710C" w:rsidP="0099710C">
      <w:pPr>
        <w:pStyle w:val="SingleTxtG"/>
        <w:ind w:left="2835" w:hanging="567"/>
      </w:pPr>
      <w:r w:rsidRPr="0099710C">
        <w:rPr>
          <w:bCs/>
        </w:rPr>
        <w:t>a)</w:t>
      </w:r>
      <w:r w:rsidRPr="0099710C">
        <w:tab/>
      </w:r>
      <w:r w:rsidRPr="0099710C">
        <w:rPr>
          <w:bCs/>
        </w:rPr>
        <w:t>Les accumulateurs de GNC d’un volume ≤0,75 litre doivent être soumis aux épreuves de la classe 6 ;</w:t>
      </w:r>
    </w:p>
    <w:p w14:paraId="193C09D9" w14:textId="77777777" w:rsidR="0099710C" w:rsidRDefault="0099710C" w:rsidP="0099710C">
      <w:pPr>
        <w:pStyle w:val="SingleTxtG"/>
        <w:ind w:left="2835" w:hanging="567"/>
      </w:pPr>
      <w:r w:rsidRPr="0099710C">
        <w:rPr>
          <w:bCs/>
        </w:rPr>
        <w:t>b)</w:t>
      </w:r>
      <w:r w:rsidRPr="0099710C">
        <w:tab/>
      </w:r>
      <w:r w:rsidRPr="0099710C">
        <w:rPr>
          <w:bCs/>
        </w:rPr>
        <w:t>Les accumulateurs de GNC d’un volume &gt;0,75</w:t>
      </w:r>
      <w:r w:rsidR="00736A40">
        <w:rPr>
          <w:bCs/>
        </w:rPr>
        <w:t> </w:t>
      </w:r>
      <w:r w:rsidRPr="0099710C">
        <w:rPr>
          <w:bCs/>
        </w:rPr>
        <w:t>litre sont considérés comme des réservoirs à GNC (bouteilles) avec une pression maximale de 26 MPa ;</w:t>
      </w:r>
    </w:p>
    <w:p w14:paraId="2F52894C" w14:textId="77777777" w:rsidR="0099710C" w:rsidRDefault="0099710C" w:rsidP="0099710C">
      <w:pPr>
        <w:pStyle w:val="SingleTxtG"/>
        <w:ind w:left="2835" w:hanging="567"/>
      </w:pPr>
      <w:r w:rsidRPr="0099710C">
        <w:rPr>
          <w:bCs/>
        </w:rPr>
        <w:t>c)</w:t>
      </w:r>
      <w:r w:rsidRPr="0099710C">
        <w:tab/>
      </w:r>
      <w:r w:rsidRPr="0099710C">
        <w:rPr>
          <w:bCs/>
        </w:rPr>
        <w:t>Les accumulateurs de GNC doivent être équipés d’au moins un des dispositifs de sécurité suivants :</w:t>
      </w:r>
    </w:p>
    <w:p w14:paraId="0C69FCAF" w14:textId="77777777" w:rsidR="0099710C" w:rsidRDefault="0099710C" w:rsidP="0099710C">
      <w:pPr>
        <w:pStyle w:val="SingleTxtG"/>
        <w:ind w:left="3402" w:hanging="567"/>
      </w:pPr>
      <w:r w:rsidRPr="0099710C">
        <w:rPr>
          <w:bCs/>
        </w:rPr>
        <w:t>i)</w:t>
      </w:r>
      <w:r w:rsidRPr="0099710C">
        <w:tab/>
      </w:r>
      <w:r w:rsidRPr="0099710C">
        <w:rPr>
          <w:bCs/>
        </w:rPr>
        <w:t xml:space="preserve">Une vanne automatique de bouteille conforme aux </w:t>
      </w:r>
      <w:proofErr w:type="gramStart"/>
      <w:r w:rsidRPr="0099710C">
        <w:rPr>
          <w:bCs/>
        </w:rPr>
        <w:t>prescriptions</w:t>
      </w:r>
      <w:proofErr w:type="gramEnd"/>
      <w:r w:rsidRPr="0099710C">
        <w:rPr>
          <w:bCs/>
        </w:rPr>
        <w:t xml:space="preserve"> du paragraphe</w:t>
      </w:r>
      <w:r w:rsidR="00736A40">
        <w:rPr>
          <w:bCs/>
        </w:rPr>
        <w:t> </w:t>
      </w:r>
      <w:r w:rsidRPr="0099710C">
        <w:rPr>
          <w:bCs/>
        </w:rPr>
        <w:t>18.5.1 ;</w:t>
      </w:r>
    </w:p>
    <w:p w14:paraId="590F7168" w14:textId="77777777" w:rsidR="0099710C" w:rsidRDefault="0099710C" w:rsidP="0099710C">
      <w:pPr>
        <w:pStyle w:val="SingleTxtG"/>
        <w:ind w:left="3402" w:hanging="567"/>
      </w:pPr>
      <w:r w:rsidRPr="0099710C">
        <w:rPr>
          <w:bCs/>
        </w:rPr>
        <w:t>ii)</w:t>
      </w:r>
      <w:r w:rsidRPr="0099710C">
        <w:tab/>
      </w:r>
      <w:r w:rsidRPr="0099710C">
        <w:rPr>
          <w:bCs/>
        </w:rPr>
        <w:t>Un dispositif de surpression à déclenchement thermique conforme aux prescriptions du paragraphe</w:t>
      </w:r>
      <w:r w:rsidR="00736A40">
        <w:rPr>
          <w:bCs/>
        </w:rPr>
        <w:t> </w:t>
      </w:r>
      <w:r w:rsidRPr="0099710C">
        <w:rPr>
          <w:bCs/>
        </w:rPr>
        <w:t>18.5.2 ;</w:t>
      </w:r>
    </w:p>
    <w:p w14:paraId="407E8696" w14:textId="77777777" w:rsidR="0099710C" w:rsidRDefault="0099710C" w:rsidP="0099710C">
      <w:pPr>
        <w:pStyle w:val="SingleTxtG"/>
        <w:ind w:left="3402" w:hanging="567"/>
      </w:pPr>
      <w:r w:rsidRPr="0099710C">
        <w:rPr>
          <w:bCs/>
        </w:rPr>
        <w:t>iii)</w:t>
      </w:r>
      <w:r w:rsidRPr="0099710C">
        <w:tab/>
      </w:r>
      <w:r w:rsidRPr="0099710C">
        <w:rPr>
          <w:bCs/>
        </w:rPr>
        <w:t>Un limiteur de débit conforme aux prescriptions du paragraphe 18.5.3 ;</w:t>
      </w:r>
    </w:p>
    <w:p w14:paraId="50FE003C" w14:textId="77777777" w:rsidR="0099710C" w:rsidRDefault="0099710C" w:rsidP="0099710C">
      <w:pPr>
        <w:pStyle w:val="SingleTxtG"/>
        <w:ind w:left="3402" w:hanging="567"/>
        <w:rPr>
          <w:bCs/>
        </w:rPr>
      </w:pPr>
      <w:r w:rsidRPr="0099710C">
        <w:rPr>
          <w:bCs/>
        </w:rPr>
        <w:t>iv)</w:t>
      </w:r>
      <w:r w:rsidRPr="0099710C">
        <w:tab/>
      </w:r>
      <w:r w:rsidRPr="0099710C">
        <w:rPr>
          <w:bCs/>
        </w:rPr>
        <w:t>Une vanne manuelle conforme aux prescriptions du paragraphe 18.5.4 ;</w:t>
      </w:r>
    </w:p>
    <w:p w14:paraId="3B5BCC2C" w14:textId="77777777" w:rsidR="0099710C" w:rsidRDefault="0099710C" w:rsidP="0099710C">
      <w:pPr>
        <w:pStyle w:val="SingleTxtG"/>
        <w:ind w:left="3402" w:hanging="567"/>
      </w:pPr>
      <w:r w:rsidRPr="0099710C">
        <w:rPr>
          <w:bCs/>
        </w:rPr>
        <w:t>v)</w:t>
      </w:r>
      <w:r w:rsidRPr="0099710C">
        <w:tab/>
      </w:r>
      <w:r w:rsidRPr="0099710C">
        <w:rPr>
          <w:bCs/>
        </w:rPr>
        <w:t>Un capot étanche conforme aux prescriptions du paragraphe 18.5.5 ;</w:t>
      </w:r>
    </w:p>
    <w:p w14:paraId="4BB48DAC" w14:textId="77777777" w:rsidR="0099710C" w:rsidRPr="0099710C" w:rsidRDefault="0099710C" w:rsidP="0099710C">
      <w:pPr>
        <w:pStyle w:val="SingleTxtG"/>
        <w:ind w:left="3402" w:hanging="567"/>
      </w:pPr>
      <w:r w:rsidRPr="0099710C">
        <w:rPr>
          <w:bCs/>
        </w:rPr>
        <w:lastRenderedPageBreak/>
        <w:t>vi)</w:t>
      </w:r>
      <w:r w:rsidRPr="0099710C">
        <w:tab/>
      </w:r>
      <w:r w:rsidRPr="0099710C">
        <w:rPr>
          <w:bCs/>
        </w:rPr>
        <w:t>Un dispositif de surpression (à déclenchement manométrique) conforme aux prescriptions du paragraphe 18.5.6.</w:t>
      </w:r>
      <w:r w:rsidRPr="0099710C">
        <w:t> ».</w:t>
      </w:r>
    </w:p>
    <w:p w14:paraId="68ABE995" w14:textId="77777777" w:rsidR="0099710C" w:rsidRPr="0099710C" w:rsidRDefault="0099710C" w:rsidP="0099710C">
      <w:pPr>
        <w:pStyle w:val="SingleTxtG"/>
      </w:pPr>
      <w:r w:rsidRPr="0099710C">
        <w:rPr>
          <w:i/>
        </w:rPr>
        <w:t>Paragraphe 8.7</w:t>
      </w:r>
      <w:r w:rsidRPr="0099710C">
        <w:t>, lire :</w:t>
      </w:r>
    </w:p>
    <w:p w14:paraId="262CDAC3" w14:textId="77777777" w:rsidR="0099710C" w:rsidRPr="0099710C" w:rsidRDefault="0099710C" w:rsidP="0099710C">
      <w:pPr>
        <w:pStyle w:val="SingleTxtG"/>
      </w:pPr>
      <w:r w:rsidRPr="0099710C">
        <w:t>« </w:t>
      </w:r>
    </w:p>
    <w:tbl>
      <w:tblPr>
        <w:tblStyle w:val="TableNormal1"/>
        <w:tblW w:w="7370" w:type="dxa"/>
        <w:tblInd w:w="1134" w:type="dxa"/>
        <w:tblLayout w:type="fixed"/>
        <w:tblLook w:val="01E0" w:firstRow="1" w:lastRow="1" w:firstColumn="1" w:lastColumn="1" w:noHBand="0" w:noVBand="0"/>
      </w:tblPr>
      <w:tblGrid>
        <w:gridCol w:w="1475"/>
        <w:gridCol w:w="4914"/>
        <w:gridCol w:w="981"/>
      </w:tblGrid>
      <w:tr w:rsidR="0099710C" w:rsidRPr="00B06607" w14:paraId="2025D18B" w14:textId="77777777" w:rsidTr="00B06607">
        <w:trPr>
          <w:tblHeader/>
        </w:trPr>
        <w:tc>
          <w:tcPr>
            <w:tcW w:w="1475" w:type="dxa"/>
            <w:tcBorders>
              <w:top w:val="single" w:sz="4" w:space="0" w:color="auto"/>
              <w:bottom w:val="single" w:sz="12" w:space="0" w:color="auto"/>
            </w:tcBorders>
            <w:shd w:val="clear" w:color="auto" w:fill="auto"/>
            <w:vAlign w:val="bottom"/>
          </w:tcPr>
          <w:p w14:paraId="21D13851" w14:textId="77777777" w:rsidR="0099710C" w:rsidRPr="00B06607" w:rsidRDefault="0099710C" w:rsidP="00B06607">
            <w:pPr>
              <w:widowControl/>
              <w:suppressAutoHyphens w:val="0"/>
              <w:spacing w:before="80" w:after="80" w:line="200" w:lineRule="exact"/>
              <w:rPr>
                <w:rFonts w:ascii="Times New Roman" w:hAnsi="Times New Roman"/>
                <w:i/>
                <w:sz w:val="16"/>
              </w:rPr>
            </w:pPr>
            <w:r w:rsidRPr="00B06607">
              <w:rPr>
                <w:rFonts w:ascii="Times New Roman" w:hAnsi="Times New Roman"/>
                <w:i/>
                <w:sz w:val="16"/>
              </w:rPr>
              <w:t>Paragraphe</w:t>
            </w:r>
          </w:p>
        </w:tc>
        <w:tc>
          <w:tcPr>
            <w:tcW w:w="4914" w:type="dxa"/>
            <w:tcBorders>
              <w:top w:val="single" w:sz="4" w:space="0" w:color="auto"/>
              <w:bottom w:val="single" w:sz="12" w:space="0" w:color="auto"/>
            </w:tcBorders>
            <w:shd w:val="clear" w:color="auto" w:fill="auto"/>
            <w:vAlign w:val="bottom"/>
          </w:tcPr>
          <w:p w14:paraId="726A4E38" w14:textId="77777777" w:rsidR="0099710C" w:rsidRPr="00B06607" w:rsidRDefault="0099710C" w:rsidP="00B06607">
            <w:pPr>
              <w:widowControl/>
              <w:suppressAutoHyphens w:val="0"/>
              <w:spacing w:before="80" w:after="80" w:line="200" w:lineRule="exact"/>
              <w:rPr>
                <w:rFonts w:ascii="Times New Roman" w:hAnsi="Times New Roman"/>
                <w:i/>
                <w:sz w:val="16"/>
              </w:rPr>
            </w:pPr>
            <w:r w:rsidRPr="00B06607">
              <w:rPr>
                <w:rFonts w:ascii="Times New Roman" w:hAnsi="Times New Roman"/>
                <w:i/>
                <w:sz w:val="16"/>
              </w:rPr>
              <w:t>Organe</w:t>
            </w:r>
          </w:p>
        </w:tc>
        <w:tc>
          <w:tcPr>
            <w:tcW w:w="981" w:type="dxa"/>
            <w:tcBorders>
              <w:top w:val="single" w:sz="4" w:space="0" w:color="auto"/>
              <w:bottom w:val="single" w:sz="12" w:space="0" w:color="auto"/>
            </w:tcBorders>
            <w:shd w:val="clear" w:color="auto" w:fill="auto"/>
            <w:vAlign w:val="bottom"/>
          </w:tcPr>
          <w:p w14:paraId="7347AF87" w14:textId="77777777" w:rsidR="0099710C" w:rsidRPr="00B06607" w:rsidRDefault="0099710C" w:rsidP="00B06607">
            <w:pPr>
              <w:widowControl/>
              <w:suppressAutoHyphens w:val="0"/>
              <w:spacing w:before="80" w:after="80" w:line="200" w:lineRule="exact"/>
              <w:jc w:val="right"/>
              <w:rPr>
                <w:rFonts w:ascii="Times New Roman" w:hAnsi="Times New Roman"/>
                <w:i/>
                <w:sz w:val="16"/>
              </w:rPr>
            </w:pPr>
            <w:r w:rsidRPr="00B06607">
              <w:rPr>
                <w:rFonts w:ascii="Times New Roman" w:hAnsi="Times New Roman"/>
                <w:i/>
                <w:sz w:val="16"/>
              </w:rPr>
              <w:t>Annexe</w:t>
            </w:r>
          </w:p>
        </w:tc>
      </w:tr>
      <w:tr w:rsidR="0099710C" w:rsidRPr="00B06607" w14:paraId="0B7E5D93" w14:textId="77777777" w:rsidTr="00736A40">
        <w:tc>
          <w:tcPr>
            <w:tcW w:w="1475" w:type="dxa"/>
            <w:vMerge w:val="restart"/>
            <w:shd w:val="clear" w:color="auto" w:fill="auto"/>
          </w:tcPr>
          <w:p w14:paraId="65E492F1" w14:textId="77777777" w:rsidR="0099710C" w:rsidRPr="00B06607" w:rsidRDefault="0099710C" w:rsidP="00B06607">
            <w:pPr>
              <w:widowControl/>
              <w:suppressAutoHyphens w:val="0"/>
              <w:spacing w:before="40" w:after="40" w:line="220" w:lineRule="exact"/>
              <w:rPr>
                <w:rFonts w:ascii="Times New Roman" w:hAnsi="Times New Roman"/>
                <w:sz w:val="18"/>
              </w:rPr>
            </w:pPr>
            <w:r w:rsidRPr="00B06607">
              <w:rPr>
                <w:rFonts w:ascii="Times New Roman" w:hAnsi="Times New Roman"/>
                <w:sz w:val="18"/>
              </w:rPr>
              <w:t>8.7</w:t>
            </w:r>
          </w:p>
        </w:tc>
        <w:tc>
          <w:tcPr>
            <w:tcW w:w="4914" w:type="dxa"/>
            <w:shd w:val="clear" w:color="auto" w:fill="auto"/>
            <w:vAlign w:val="bottom"/>
          </w:tcPr>
          <w:p w14:paraId="0CE61267" w14:textId="77777777" w:rsidR="0099710C" w:rsidRPr="00B06607" w:rsidRDefault="0099710C" w:rsidP="00B06607">
            <w:pPr>
              <w:widowControl/>
              <w:suppressAutoHyphens w:val="0"/>
              <w:spacing w:before="40" w:after="40" w:line="220" w:lineRule="exact"/>
              <w:rPr>
                <w:rFonts w:ascii="Times New Roman" w:hAnsi="Times New Roman"/>
                <w:sz w:val="18"/>
              </w:rPr>
            </w:pPr>
            <w:r w:rsidRPr="00B06607">
              <w:rPr>
                <w:rFonts w:ascii="Times New Roman" w:hAnsi="Times New Roman"/>
                <w:sz w:val="18"/>
              </w:rPr>
              <w:t xml:space="preserve">Détendeur </w:t>
            </w:r>
            <w:r w:rsidRPr="00B06607">
              <w:rPr>
                <w:rFonts w:ascii="Times New Roman" w:hAnsi="Times New Roman"/>
                <w:bCs/>
                <w:sz w:val="18"/>
              </w:rPr>
              <w:t>GNC</w:t>
            </w:r>
          </w:p>
        </w:tc>
        <w:tc>
          <w:tcPr>
            <w:tcW w:w="981" w:type="dxa"/>
            <w:vMerge w:val="restart"/>
            <w:shd w:val="clear" w:color="auto" w:fill="auto"/>
          </w:tcPr>
          <w:p w14:paraId="715CADA4" w14:textId="77777777" w:rsidR="0099710C" w:rsidRPr="00B06607" w:rsidRDefault="0099710C" w:rsidP="00736A40">
            <w:pPr>
              <w:widowControl/>
              <w:suppressAutoHyphens w:val="0"/>
              <w:spacing w:before="40" w:after="40" w:line="220" w:lineRule="exact"/>
              <w:jc w:val="right"/>
              <w:rPr>
                <w:rFonts w:ascii="Times New Roman" w:hAnsi="Times New Roman"/>
                <w:sz w:val="18"/>
              </w:rPr>
            </w:pPr>
            <w:r w:rsidRPr="00B06607">
              <w:rPr>
                <w:rFonts w:ascii="Times New Roman" w:hAnsi="Times New Roman"/>
                <w:sz w:val="18"/>
              </w:rPr>
              <w:t>4D</w:t>
            </w:r>
          </w:p>
        </w:tc>
      </w:tr>
      <w:tr w:rsidR="0099710C" w:rsidRPr="00B06607" w14:paraId="5BC4CE12" w14:textId="77777777" w:rsidTr="00B06607">
        <w:tc>
          <w:tcPr>
            <w:tcW w:w="1475" w:type="dxa"/>
            <w:vMerge/>
            <w:tcBorders>
              <w:bottom w:val="single" w:sz="12" w:space="0" w:color="auto"/>
            </w:tcBorders>
            <w:shd w:val="clear" w:color="auto" w:fill="auto"/>
          </w:tcPr>
          <w:p w14:paraId="09D88096" w14:textId="77777777" w:rsidR="0099710C" w:rsidRPr="00B06607" w:rsidRDefault="0099710C" w:rsidP="00B06607">
            <w:pPr>
              <w:widowControl/>
              <w:suppressAutoHyphens w:val="0"/>
              <w:spacing w:before="40" w:after="40" w:line="220" w:lineRule="exact"/>
              <w:rPr>
                <w:rFonts w:ascii="Times New Roman" w:hAnsi="Times New Roman"/>
                <w:sz w:val="18"/>
              </w:rPr>
            </w:pPr>
          </w:p>
        </w:tc>
        <w:tc>
          <w:tcPr>
            <w:tcW w:w="4914" w:type="dxa"/>
            <w:tcBorders>
              <w:bottom w:val="single" w:sz="12" w:space="0" w:color="auto"/>
            </w:tcBorders>
            <w:shd w:val="clear" w:color="auto" w:fill="auto"/>
            <w:vAlign w:val="bottom"/>
          </w:tcPr>
          <w:p w14:paraId="51C9A61A" w14:textId="77777777" w:rsidR="0099710C" w:rsidRPr="00B06607" w:rsidRDefault="0099710C" w:rsidP="00B06607">
            <w:pPr>
              <w:widowControl/>
              <w:suppressAutoHyphens w:val="0"/>
              <w:spacing w:before="40" w:after="40" w:line="220" w:lineRule="exact"/>
              <w:rPr>
                <w:rFonts w:ascii="Times New Roman" w:hAnsi="Times New Roman"/>
                <w:sz w:val="18"/>
              </w:rPr>
            </w:pPr>
            <w:r w:rsidRPr="00B06607">
              <w:rPr>
                <w:rFonts w:ascii="Times New Roman" w:hAnsi="Times New Roman"/>
                <w:sz w:val="18"/>
              </w:rPr>
              <w:t>Compresseur de GNC</w:t>
            </w:r>
          </w:p>
        </w:tc>
        <w:tc>
          <w:tcPr>
            <w:tcW w:w="981" w:type="dxa"/>
            <w:vMerge/>
            <w:tcBorders>
              <w:bottom w:val="single" w:sz="12" w:space="0" w:color="auto"/>
            </w:tcBorders>
            <w:shd w:val="clear" w:color="auto" w:fill="auto"/>
            <w:vAlign w:val="bottom"/>
          </w:tcPr>
          <w:p w14:paraId="3FF60258" w14:textId="77777777" w:rsidR="0099710C" w:rsidRPr="00B06607" w:rsidRDefault="0099710C" w:rsidP="00B06607">
            <w:pPr>
              <w:widowControl/>
              <w:suppressAutoHyphens w:val="0"/>
              <w:spacing w:before="40" w:after="40" w:line="220" w:lineRule="exact"/>
              <w:jc w:val="right"/>
              <w:rPr>
                <w:rFonts w:ascii="Times New Roman" w:hAnsi="Times New Roman"/>
                <w:sz w:val="18"/>
              </w:rPr>
            </w:pPr>
          </w:p>
        </w:tc>
      </w:tr>
    </w:tbl>
    <w:p w14:paraId="28227C28" w14:textId="77777777" w:rsidR="0099710C" w:rsidRPr="0099710C" w:rsidRDefault="0099710C" w:rsidP="00736A40">
      <w:pPr>
        <w:pStyle w:val="SingleTxtG"/>
        <w:jc w:val="right"/>
      </w:pPr>
      <w:r w:rsidRPr="0099710C">
        <w:t> ».</w:t>
      </w:r>
    </w:p>
    <w:p w14:paraId="4E01C86C" w14:textId="77777777" w:rsidR="0099710C" w:rsidRPr="0099710C" w:rsidRDefault="0099710C" w:rsidP="00EE5D2E">
      <w:pPr>
        <w:pStyle w:val="SingleTxtG"/>
        <w:spacing w:before="240"/>
      </w:pPr>
      <w:r w:rsidRPr="0099710C">
        <w:rPr>
          <w:i/>
        </w:rPr>
        <w:t>Paragraphes 18.1.7.1 et 18.1.7.2</w:t>
      </w:r>
      <w:r w:rsidRPr="0099710C">
        <w:t>, lire :</w:t>
      </w:r>
    </w:p>
    <w:p w14:paraId="3572B26C" w14:textId="77777777" w:rsidR="00736A40" w:rsidRDefault="0099710C" w:rsidP="00736A40">
      <w:pPr>
        <w:tabs>
          <w:tab w:val="left" w:pos="2835"/>
        </w:tabs>
        <w:kinsoku/>
        <w:overflowPunct/>
        <w:autoSpaceDE/>
        <w:autoSpaceDN/>
        <w:adjustRightInd/>
        <w:snapToGrid/>
        <w:spacing w:after="120"/>
        <w:ind w:left="2268" w:right="1134" w:hanging="1134"/>
        <w:jc w:val="both"/>
      </w:pPr>
      <w:r w:rsidRPr="0099710C">
        <w:t>« 18.1.7.1</w:t>
      </w:r>
      <w:r w:rsidRPr="0099710C">
        <w:tab/>
        <w:t>Nonobstant les dispositions du paragraphe</w:t>
      </w:r>
      <w:r w:rsidR="00736A40">
        <w:t> </w:t>
      </w:r>
      <w:r w:rsidRPr="0099710C">
        <w:t>18.1.7, le véhicule peut être muni d’un moteur supplémentaire destiné à être utilisé sur le véhicule (par exemple, pour le refroidissement, le chauffage, etc.) raccordé au système GNC et/ou GNL.</w:t>
      </w:r>
    </w:p>
    <w:p w14:paraId="0C33B540" w14:textId="77777777" w:rsidR="0099710C" w:rsidRPr="0099710C" w:rsidRDefault="0099710C" w:rsidP="00736A40">
      <w:pPr>
        <w:tabs>
          <w:tab w:val="left" w:pos="2835"/>
        </w:tabs>
        <w:kinsoku/>
        <w:overflowPunct/>
        <w:autoSpaceDE/>
        <w:autoSpaceDN/>
        <w:adjustRightInd/>
        <w:snapToGrid/>
        <w:spacing w:after="120"/>
        <w:ind w:left="2268" w:right="1134" w:hanging="1134"/>
        <w:jc w:val="both"/>
      </w:pPr>
      <w:r w:rsidRPr="0099710C">
        <w:t>18.1.7.2</w:t>
      </w:r>
      <w:r w:rsidRPr="0099710C">
        <w:tab/>
        <w:t>Le deuxième moteur mentionné au paragraphe</w:t>
      </w:r>
      <w:r w:rsidR="00736A40">
        <w:t> </w:t>
      </w:r>
      <w:r w:rsidRPr="0099710C">
        <w:t>18.1.7.1 est autorisé si le service technique chargé des essais d’homologation juge qu’il est suffisamment bien protégé et qu’il n’affecte pas le fonctionnement correct du système GNC et/ou GNL normal. ».</w:t>
      </w:r>
    </w:p>
    <w:p w14:paraId="36BD0DD3" w14:textId="77777777" w:rsidR="0099710C" w:rsidRPr="0099710C" w:rsidRDefault="0099710C" w:rsidP="0099710C">
      <w:pPr>
        <w:pStyle w:val="SingleTxtG"/>
      </w:pPr>
      <w:r w:rsidRPr="0099710C">
        <w:rPr>
          <w:i/>
        </w:rPr>
        <w:t>Ajouter le nouveau paragraphe 18.3.2.9</w:t>
      </w:r>
      <w:r w:rsidRPr="0099710C">
        <w:t>, libellé comme suit :</w:t>
      </w:r>
    </w:p>
    <w:p w14:paraId="0DC82CA0" w14:textId="77777777" w:rsidR="0099710C" w:rsidRPr="0099710C" w:rsidRDefault="0099710C" w:rsidP="00736A40">
      <w:pPr>
        <w:tabs>
          <w:tab w:val="left" w:pos="2835"/>
        </w:tabs>
        <w:kinsoku/>
        <w:overflowPunct/>
        <w:autoSpaceDE/>
        <w:autoSpaceDN/>
        <w:adjustRightInd/>
        <w:snapToGrid/>
        <w:spacing w:after="120"/>
        <w:ind w:left="2268" w:right="1134" w:hanging="1134"/>
        <w:jc w:val="both"/>
        <w:rPr>
          <w:bCs/>
        </w:rPr>
      </w:pPr>
      <w:r w:rsidRPr="0099710C">
        <w:t>« 18.3.2.9</w:t>
      </w:r>
      <w:r w:rsidRPr="0099710C">
        <w:tab/>
        <w:t>Compresseur de GNC ».</w:t>
      </w:r>
    </w:p>
    <w:p w14:paraId="5364A8DA" w14:textId="77777777" w:rsidR="0099710C" w:rsidRPr="0099710C" w:rsidRDefault="0099710C" w:rsidP="0099710C">
      <w:pPr>
        <w:pStyle w:val="SingleTxtG"/>
        <w:rPr>
          <w:i/>
        </w:rPr>
      </w:pPr>
      <w:r w:rsidRPr="0099710C">
        <w:rPr>
          <w:i/>
        </w:rPr>
        <w:t>Paragraphe 18.5.1.1</w:t>
      </w:r>
      <w:r w:rsidRPr="0099710C">
        <w:t>, lire :</w:t>
      </w:r>
    </w:p>
    <w:p w14:paraId="57AE8BE9" w14:textId="77777777" w:rsidR="0099710C" w:rsidRPr="0099710C" w:rsidRDefault="0099710C" w:rsidP="00736A40">
      <w:pPr>
        <w:tabs>
          <w:tab w:val="left" w:pos="2835"/>
        </w:tabs>
        <w:kinsoku/>
        <w:overflowPunct/>
        <w:autoSpaceDE/>
        <w:autoSpaceDN/>
        <w:adjustRightInd/>
        <w:snapToGrid/>
        <w:spacing w:after="120"/>
        <w:ind w:left="2268" w:right="1134" w:hanging="1134"/>
        <w:jc w:val="both"/>
        <w:rPr>
          <w:bCs/>
        </w:rPr>
      </w:pPr>
      <w:r w:rsidRPr="0099710C">
        <w:rPr>
          <w:bCs/>
        </w:rPr>
        <w:t>« 18.5.1.1</w:t>
      </w:r>
      <w:r w:rsidRPr="0099710C">
        <w:rPr>
          <w:bCs/>
        </w:rPr>
        <w:tab/>
        <w:t xml:space="preserve">Une </w:t>
      </w:r>
      <w:r w:rsidRPr="0099710C">
        <w:t>vanne</w:t>
      </w:r>
      <w:r w:rsidRPr="0099710C">
        <w:rPr>
          <w:bCs/>
        </w:rPr>
        <w:t xml:space="preserve"> automatique de bouteille doit être installée directement sur chaque réservoir à GNC et sur chaque accumulateur de GNC. ».</w:t>
      </w:r>
    </w:p>
    <w:p w14:paraId="5E3A45E1" w14:textId="77777777" w:rsidR="0099710C" w:rsidRPr="0099710C" w:rsidRDefault="0099710C" w:rsidP="0099710C">
      <w:pPr>
        <w:pStyle w:val="SingleTxtG"/>
      </w:pPr>
      <w:r w:rsidRPr="0099710C">
        <w:rPr>
          <w:i/>
        </w:rPr>
        <w:t>Paragraphe 18.5.1.3</w:t>
      </w:r>
      <w:r w:rsidRPr="0099710C">
        <w:t>,</w:t>
      </w:r>
      <w:r w:rsidRPr="0099710C">
        <w:rPr>
          <w:i/>
        </w:rPr>
        <w:t xml:space="preserve"> </w:t>
      </w:r>
      <w:r w:rsidRPr="0099710C">
        <w:t>lire :</w:t>
      </w:r>
    </w:p>
    <w:p w14:paraId="7C97B994" w14:textId="77777777" w:rsidR="0099710C" w:rsidRPr="0099710C" w:rsidRDefault="0099710C" w:rsidP="00736A40">
      <w:pPr>
        <w:tabs>
          <w:tab w:val="left" w:pos="2835"/>
        </w:tabs>
        <w:kinsoku/>
        <w:overflowPunct/>
        <w:autoSpaceDE/>
        <w:autoSpaceDN/>
        <w:adjustRightInd/>
        <w:snapToGrid/>
        <w:spacing w:after="120"/>
        <w:ind w:left="2268" w:right="1134" w:hanging="1134"/>
        <w:jc w:val="both"/>
      </w:pPr>
      <w:r w:rsidRPr="0099710C">
        <w:t>« 18.5.1.3</w:t>
      </w:r>
      <w:r w:rsidRPr="0099710C">
        <w:tab/>
        <w:t>Nonobstant les dispositions du paragraphe 18.5.1.2 :</w:t>
      </w:r>
    </w:p>
    <w:p w14:paraId="63B751BC" w14:textId="77777777" w:rsidR="00736A40" w:rsidRDefault="0099710C" w:rsidP="00736A40">
      <w:pPr>
        <w:pStyle w:val="SingleTxtG"/>
        <w:ind w:left="2835" w:hanging="567"/>
      </w:pPr>
      <w:r w:rsidRPr="0099710C">
        <w:t>a)</w:t>
      </w:r>
      <w:r w:rsidRPr="0099710C">
        <w:tab/>
        <w:t xml:space="preserve">La </w:t>
      </w:r>
      <w:r w:rsidRPr="0099710C">
        <w:rPr>
          <w:bCs/>
        </w:rPr>
        <w:t>vanne</w:t>
      </w:r>
      <w:r w:rsidRPr="0099710C">
        <w:t xml:space="preserve"> automatique de la bouteille peut rester en position ouverte pendant les phases d’arrêt commandées ; </w:t>
      </w:r>
    </w:p>
    <w:p w14:paraId="0AC77397" w14:textId="77777777" w:rsidR="00736A40" w:rsidRDefault="0099710C" w:rsidP="00736A40">
      <w:pPr>
        <w:pStyle w:val="SingleTxtG"/>
        <w:ind w:left="2835" w:hanging="567"/>
      </w:pPr>
      <w:r w:rsidRPr="0099710C">
        <w:t>b)</w:t>
      </w:r>
      <w:r w:rsidRPr="0099710C">
        <w:tab/>
        <w:t xml:space="preserve">Lorsqu’un système d’alarme incendie est installé dans le compartiment du dispositif de chauffage autonome au GNC et/ou GNL, la(les) valve(s) automatique(s) peut(peuvent) être maintenue(s) ouverte(s) par un dispositif de contrôle électronique GNC/GNL afin de permettre le préchauffage du moteur. Tout défaut ou défaillance de fonctionnement du système entraîne la fermeture de la vanne automatique de la bouteille qui alimente le dispositif de chauffage ; </w:t>
      </w:r>
    </w:p>
    <w:p w14:paraId="20AA169D" w14:textId="77777777" w:rsidR="00736A40" w:rsidRDefault="0099710C" w:rsidP="00736A40">
      <w:pPr>
        <w:pStyle w:val="SingleTxtG"/>
        <w:ind w:left="2835" w:hanging="567"/>
      </w:pPr>
      <w:r w:rsidRPr="0099710C">
        <w:t>c)</w:t>
      </w:r>
      <w:r w:rsidRPr="0099710C">
        <w:tab/>
        <w:t>Lorsqu’un système d’alarme incendie est installé dans le compartiment du dispositif de réfrigération du compartiment de chargement, la(les) valve(s) automatique(s) peut(peuvent) être maintenue(s) ouverte(s) par un dispositif de contrôle électronique GNC/GNL afin de permettre le refroidissement du compartiment des marchandises. Tout défaut ou défaillance de fonctionnement du système entraîne la fermeture de la vanne automatique de la bouteille qui alimente le dispositif de réfrigération ; et</w:t>
      </w:r>
    </w:p>
    <w:p w14:paraId="383245B3" w14:textId="77777777" w:rsidR="0099710C" w:rsidRPr="0099710C" w:rsidRDefault="0099710C" w:rsidP="00736A40">
      <w:pPr>
        <w:pStyle w:val="SingleTxtG"/>
        <w:ind w:left="2835" w:hanging="567"/>
      </w:pPr>
      <w:r w:rsidRPr="0099710C">
        <w:rPr>
          <w:bCs/>
        </w:rPr>
        <w:t>d)</w:t>
      </w:r>
      <w:r w:rsidRPr="0099710C">
        <w:rPr>
          <w:bCs/>
        </w:rPr>
        <w:tab/>
        <w:t>Lorsqu’un système d’alarme incendie est installé dans le compartiment du deuxième moteur, la(les) valve(s) automatique(s) peut(peuvent) être maintenue(s) ouverte(s) par un dispositif de contrôle électronique afin de permettre l’approvisionnement en électricité. Tout défaut ou défaillance de fonctionnement du système entraîne la fermeture de la vanne automatique de la bouteille qui alimente le dispositif de réfrigération. ».</w:t>
      </w:r>
    </w:p>
    <w:p w14:paraId="7BA8B47F" w14:textId="77777777" w:rsidR="0099710C" w:rsidRPr="0099710C" w:rsidRDefault="0099710C" w:rsidP="0099710C">
      <w:pPr>
        <w:pStyle w:val="SingleTxtG"/>
      </w:pPr>
      <w:r w:rsidRPr="0099710C">
        <w:rPr>
          <w:i/>
        </w:rPr>
        <w:t>Paragraphe 18.5.2.1</w:t>
      </w:r>
      <w:r w:rsidRPr="0099710C">
        <w:t>, lire :</w:t>
      </w:r>
    </w:p>
    <w:p w14:paraId="12216F7D" w14:textId="77777777" w:rsidR="0099710C" w:rsidRPr="0099710C" w:rsidRDefault="0099710C" w:rsidP="00736A40">
      <w:pPr>
        <w:tabs>
          <w:tab w:val="left" w:pos="2835"/>
        </w:tabs>
        <w:kinsoku/>
        <w:overflowPunct/>
        <w:autoSpaceDE/>
        <w:autoSpaceDN/>
        <w:adjustRightInd/>
        <w:snapToGrid/>
        <w:spacing w:after="120"/>
        <w:ind w:left="2268" w:right="1134" w:hanging="1134"/>
        <w:jc w:val="both"/>
      </w:pPr>
      <w:r w:rsidRPr="0099710C">
        <w:lastRenderedPageBreak/>
        <w:t>« 18.5.2.1</w:t>
      </w:r>
      <w:r w:rsidRPr="0099710C">
        <w:tab/>
        <w:t>Le dispositif de surpression (à déclenchement thermique) doit être fixé sur le ou les réservoirs à GNC ainsi que sur chaque accumulateur de GNC de manière telle que l’évacuation des gaz puisse se faire dans le capot étanche si ce dernier satisfait aux prescriptions du paragraphe</w:t>
      </w:r>
      <w:r w:rsidR="00736A40">
        <w:t> </w:t>
      </w:r>
      <w:r w:rsidRPr="0099710C">
        <w:t>18.5.5 ci-dessous. Toutefois,</w:t>
      </w:r>
      <w:r w:rsidR="00736A40">
        <w:t xml:space="preserve"> </w:t>
      </w:r>
      <w:r w:rsidRPr="0099710C">
        <w:t>… ».</w:t>
      </w:r>
    </w:p>
    <w:p w14:paraId="27BED1EC" w14:textId="77777777" w:rsidR="0099710C" w:rsidRPr="0099710C" w:rsidRDefault="0099710C" w:rsidP="0099710C">
      <w:pPr>
        <w:pStyle w:val="SingleTxtG"/>
      </w:pPr>
      <w:r w:rsidRPr="0099710C">
        <w:rPr>
          <w:bCs/>
          <w:i/>
        </w:rPr>
        <w:t>Paragraphe 18.5.3.1</w:t>
      </w:r>
      <w:r w:rsidRPr="0099710C">
        <w:rPr>
          <w:bCs/>
        </w:rPr>
        <w:t>, lire :</w:t>
      </w:r>
    </w:p>
    <w:p w14:paraId="5E881776" w14:textId="77777777" w:rsidR="0099710C" w:rsidRPr="0099710C" w:rsidRDefault="0099710C" w:rsidP="00736A40">
      <w:pPr>
        <w:tabs>
          <w:tab w:val="left" w:pos="2835"/>
        </w:tabs>
        <w:kinsoku/>
        <w:overflowPunct/>
        <w:autoSpaceDE/>
        <w:autoSpaceDN/>
        <w:adjustRightInd/>
        <w:snapToGrid/>
        <w:spacing w:after="120"/>
        <w:ind w:left="2268" w:right="1134" w:hanging="1134"/>
        <w:jc w:val="both"/>
      </w:pPr>
      <w:r w:rsidRPr="0099710C">
        <w:t>« 18.5.3.1</w:t>
      </w:r>
      <w:r w:rsidRPr="0099710C">
        <w:tab/>
        <w:t>Le limiteur de débit doit être fixé dans le ou les réservoirs à GNC ainsi que sur chaque accumulateur de GNC, sur la vanne automatique de la bouteille. ».</w:t>
      </w:r>
    </w:p>
    <w:p w14:paraId="25F8E3B5" w14:textId="77777777" w:rsidR="0099710C" w:rsidRPr="0099710C" w:rsidRDefault="0099710C" w:rsidP="0099710C">
      <w:pPr>
        <w:pStyle w:val="SingleTxtG"/>
      </w:pPr>
      <w:r w:rsidRPr="0099710C">
        <w:rPr>
          <w:i/>
        </w:rPr>
        <w:t>Ajouter le nouveau paragraphe 18.5.4.2</w:t>
      </w:r>
      <w:r w:rsidRPr="0099710C">
        <w:t>, libellé comme suit :</w:t>
      </w:r>
    </w:p>
    <w:p w14:paraId="5844686D" w14:textId="77777777" w:rsidR="0099710C" w:rsidRPr="0099710C" w:rsidRDefault="0099710C" w:rsidP="00736A40">
      <w:pPr>
        <w:tabs>
          <w:tab w:val="left" w:pos="2835"/>
        </w:tabs>
        <w:kinsoku/>
        <w:overflowPunct/>
        <w:autoSpaceDE/>
        <w:autoSpaceDN/>
        <w:adjustRightInd/>
        <w:snapToGrid/>
        <w:spacing w:after="120"/>
        <w:ind w:left="2268" w:right="1134" w:hanging="1134"/>
        <w:jc w:val="both"/>
      </w:pPr>
      <w:r w:rsidRPr="0099710C">
        <w:t>« 18.5.4.2</w:t>
      </w:r>
      <w:r w:rsidRPr="0099710C">
        <w:tab/>
        <w:t>Une vanne d’arrêt manuelle ou un mécanisme permettant de vider les accumulateurs avant les travaux d’entretien doivent être ajoutés. ».</w:t>
      </w:r>
    </w:p>
    <w:p w14:paraId="5366F6FC" w14:textId="77777777" w:rsidR="0099710C" w:rsidRPr="0099710C" w:rsidRDefault="0099710C" w:rsidP="0099710C">
      <w:pPr>
        <w:pStyle w:val="SingleTxtG"/>
      </w:pPr>
      <w:r w:rsidRPr="0099710C">
        <w:rPr>
          <w:bCs/>
          <w:i/>
        </w:rPr>
        <w:t>Paragraphe 18.5.5.1</w:t>
      </w:r>
      <w:r w:rsidRPr="0099710C">
        <w:rPr>
          <w:bCs/>
        </w:rPr>
        <w:t>,</w:t>
      </w:r>
      <w:r w:rsidRPr="0099710C">
        <w:rPr>
          <w:bCs/>
          <w:i/>
        </w:rPr>
        <w:t xml:space="preserve"> </w:t>
      </w:r>
      <w:r w:rsidRPr="0099710C">
        <w:rPr>
          <w:bCs/>
        </w:rPr>
        <w:t>lire :</w:t>
      </w:r>
    </w:p>
    <w:p w14:paraId="301E1623" w14:textId="77777777" w:rsidR="0099710C" w:rsidRPr="0099710C" w:rsidRDefault="0099710C" w:rsidP="00736A40">
      <w:pPr>
        <w:tabs>
          <w:tab w:val="left" w:pos="2835"/>
        </w:tabs>
        <w:kinsoku/>
        <w:overflowPunct/>
        <w:autoSpaceDE/>
        <w:autoSpaceDN/>
        <w:adjustRightInd/>
        <w:snapToGrid/>
        <w:spacing w:after="120"/>
        <w:ind w:left="2268" w:right="1134" w:hanging="1134"/>
        <w:jc w:val="both"/>
      </w:pPr>
      <w:r w:rsidRPr="0099710C">
        <w:t>« 18.5.5.1</w:t>
      </w:r>
      <w:r w:rsidRPr="0099710C">
        <w:tab/>
        <w:t>Un capot étanche recouvrant les accessoires de chaque réservoir à GNC/accumulateur de GNC et satisfaisant aux dispositions des paragraphes 18.5.5.2 à 18.5.5.5 doit être monté sur le réservoir/accumulateur, à moins que celui-ci ne soit installé à l’extérieur du véhicule, hors des espaces fermés tels que l’habitable, la zone de cargaison ou le compartiment moteur. ».</w:t>
      </w:r>
    </w:p>
    <w:p w14:paraId="0D440879" w14:textId="77777777" w:rsidR="0099710C" w:rsidRPr="0099710C" w:rsidRDefault="0099710C" w:rsidP="0099710C">
      <w:pPr>
        <w:pStyle w:val="SingleTxtG"/>
      </w:pPr>
      <w:r w:rsidRPr="0099710C">
        <w:rPr>
          <w:bCs/>
          <w:i/>
        </w:rPr>
        <w:t>Paragraphe 18.5.6.2</w:t>
      </w:r>
      <w:r w:rsidRPr="0099710C">
        <w:rPr>
          <w:bCs/>
        </w:rPr>
        <w:t>,</w:t>
      </w:r>
      <w:r w:rsidRPr="0099710C">
        <w:rPr>
          <w:bCs/>
          <w:i/>
        </w:rPr>
        <w:t xml:space="preserve"> </w:t>
      </w:r>
      <w:r w:rsidRPr="0099710C">
        <w:rPr>
          <w:bCs/>
        </w:rPr>
        <w:t>lire :</w:t>
      </w:r>
    </w:p>
    <w:p w14:paraId="0605AF93" w14:textId="77777777" w:rsidR="0099710C" w:rsidRPr="0099710C" w:rsidRDefault="0099710C" w:rsidP="00736A40">
      <w:pPr>
        <w:tabs>
          <w:tab w:val="left" w:pos="2835"/>
        </w:tabs>
        <w:kinsoku/>
        <w:overflowPunct/>
        <w:autoSpaceDE/>
        <w:autoSpaceDN/>
        <w:adjustRightInd/>
        <w:snapToGrid/>
        <w:spacing w:after="120"/>
        <w:ind w:left="2268" w:right="1134" w:hanging="1134"/>
        <w:jc w:val="both"/>
      </w:pPr>
      <w:r w:rsidRPr="0099710C">
        <w:t>« 18.5.6.2</w:t>
      </w:r>
      <w:r w:rsidRPr="0099710C">
        <w:tab/>
        <w:t xml:space="preserve">Le dispositif de surpression (à déclenchement manométrique) doit être fixé sur le ou les réservoirs </w:t>
      </w:r>
      <w:r w:rsidRPr="0099710C">
        <w:rPr>
          <w:bCs/>
        </w:rPr>
        <w:t>et sur l’accumulateur de GNC</w:t>
      </w:r>
      <w:r w:rsidRPr="0099710C">
        <w:t xml:space="preserve"> de manière telle que l’évacuation des gaz puisse se faire dans le capot étanche s’il satisfait aux prescriptions du paragraphe 18.5.5 ci-dessus.</w:t>
      </w:r>
    </w:p>
    <w:p w14:paraId="232D54EC" w14:textId="77777777" w:rsidR="0099710C" w:rsidRPr="0099710C" w:rsidRDefault="0099710C" w:rsidP="00736A40">
      <w:pPr>
        <w:pStyle w:val="SingleTxtG"/>
        <w:ind w:left="2268"/>
      </w:pPr>
      <w:r w:rsidRPr="0099710C">
        <w:t xml:space="preserve">Toutefois, dans le cas des véhicules des catégories M et N dont le ou les réservoirs </w:t>
      </w:r>
      <w:r w:rsidRPr="0099710C">
        <w:rPr>
          <w:bCs/>
        </w:rPr>
        <w:t>et/ou l’accumulateur de GNC</w:t>
      </w:r>
      <w:r w:rsidRPr="0099710C">
        <w:t xml:space="preserve"> sont montés à l’extérieur, sur le toit ou la partie supérieure de la carrosserie du véhicule, le dispositif de surpression (à déclenchement manométrique) doit être fixé sur le ou les réservoirs de carburant </w:t>
      </w:r>
      <w:r w:rsidRPr="0099710C">
        <w:rPr>
          <w:bCs/>
        </w:rPr>
        <w:t>et/ou l’accumulateur de GNC</w:t>
      </w:r>
      <w:r w:rsidRPr="0099710C">
        <w:t xml:space="preserve"> de manière telle que l’évacuation du GNC ne puisse se faire que verticalement vers le haut. ».</w:t>
      </w:r>
    </w:p>
    <w:p w14:paraId="1D1FB642" w14:textId="77777777" w:rsidR="0099710C" w:rsidRPr="0099710C" w:rsidRDefault="0099710C" w:rsidP="0099710C">
      <w:pPr>
        <w:pStyle w:val="SingleTxtG"/>
        <w:rPr>
          <w:bCs/>
        </w:rPr>
      </w:pPr>
      <w:r w:rsidRPr="0099710C">
        <w:rPr>
          <w:bCs/>
          <w:i/>
        </w:rPr>
        <w:t>Ajouter le nouveau paragraphe 18.5.6.3</w:t>
      </w:r>
      <w:r w:rsidRPr="0099710C">
        <w:rPr>
          <w:bCs/>
        </w:rPr>
        <w:t>, libellé comme suit :</w:t>
      </w:r>
    </w:p>
    <w:p w14:paraId="649FB141" w14:textId="77777777" w:rsidR="0099710C" w:rsidRPr="0099710C" w:rsidRDefault="0099710C" w:rsidP="00736A40">
      <w:pPr>
        <w:tabs>
          <w:tab w:val="left" w:pos="2835"/>
        </w:tabs>
        <w:kinsoku/>
        <w:overflowPunct/>
        <w:autoSpaceDE/>
        <w:autoSpaceDN/>
        <w:adjustRightInd/>
        <w:snapToGrid/>
        <w:spacing w:after="120"/>
        <w:ind w:left="2268" w:right="1134" w:hanging="1134"/>
        <w:jc w:val="both"/>
        <w:rPr>
          <w:bCs/>
        </w:rPr>
      </w:pPr>
      <w:r w:rsidRPr="0099710C">
        <w:rPr>
          <w:bCs/>
        </w:rPr>
        <w:t>« 18.5.6.3</w:t>
      </w:r>
      <w:r w:rsidRPr="0099710C">
        <w:rPr>
          <w:bCs/>
        </w:rPr>
        <w:tab/>
      </w:r>
      <w:r w:rsidRPr="0099710C">
        <w:t>Les</w:t>
      </w:r>
      <w:r w:rsidRPr="0099710C">
        <w:rPr>
          <w:bCs/>
        </w:rPr>
        <w:t xml:space="preserve"> accumulateurs de GNC ne doivent pas être fixés dans le compartiment moteur ou être placés dans la zone d’impact du véhicule, mais uniquement à l’intérieur du châssis du véhicule. ».</w:t>
      </w:r>
    </w:p>
    <w:p w14:paraId="5D5FFC0E" w14:textId="77777777" w:rsidR="0099710C" w:rsidRPr="0099710C" w:rsidRDefault="0099710C" w:rsidP="0099710C">
      <w:pPr>
        <w:pStyle w:val="SingleTxtG"/>
      </w:pPr>
      <w:r w:rsidRPr="0099710C">
        <w:rPr>
          <w:i/>
        </w:rPr>
        <w:t>Ajouter les nouveaux paragraphes</w:t>
      </w:r>
      <w:r w:rsidR="00736A40">
        <w:rPr>
          <w:i/>
        </w:rPr>
        <w:t> </w:t>
      </w:r>
      <w:r w:rsidRPr="0099710C">
        <w:rPr>
          <w:i/>
        </w:rPr>
        <w:t>24.22 à 24.25 (Dispositions transitoires)</w:t>
      </w:r>
      <w:r w:rsidRPr="0099710C">
        <w:t>, libellés comme suit :</w:t>
      </w:r>
    </w:p>
    <w:p w14:paraId="46557F13" w14:textId="77777777" w:rsidR="00736A40" w:rsidRDefault="0099710C" w:rsidP="00736A40">
      <w:pPr>
        <w:tabs>
          <w:tab w:val="left" w:pos="2835"/>
        </w:tabs>
        <w:kinsoku/>
        <w:overflowPunct/>
        <w:autoSpaceDE/>
        <w:autoSpaceDN/>
        <w:adjustRightInd/>
        <w:snapToGrid/>
        <w:spacing w:after="120"/>
        <w:ind w:left="2268" w:right="1134" w:hanging="1134"/>
        <w:jc w:val="both"/>
      </w:pPr>
      <w:r w:rsidRPr="0099710C">
        <w:t>« 24.22</w:t>
      </w:r>
      <w:r w:rsidRPr="0099710C">
        <w:tab/>
        <w:t>À partir de la date officielle d’entrée en vigueur de la série</w:t>
      </w:r>
      <w:r w:rsidR="00736A40">
        <w:t> </w:t>
      </w:r>
      <w:r w:rsidRPr="0099710C">
        <w:t xml:space="preserve">04 d’amendements, aucune Partie contractante appliquant le présent Règlement ne devra refuser d’accorder ou d’accepter les homologations de type délivrées en application du présent Règlement tel que modifié par la série 04 d’amendements. </w:t>
      </w:r>
    </w:p>
    <w:p w14:paraId="58F8DB82" w14:textId="77777777" w:rsidR="00736A40" w:rsidRDefault="0099710C" w:rsidP="00736A40">
      <w:pPr>
        <w:tabs>
          <w:tab w:val="left" w:pos="2835"/>
        </w:tabs>
        <w:kinsoku/>
        <w:overflowPunct/>
        <w:autoSpaceDE/>
        <w:autoSpaceDN/>
        <w:adjustRightInd/>
        <w:snapToGrid/>
        <w:spacing w:after="120"/>
        <w:ind w:left="2268" w:right="1134" w:hanging="1134"/>
        <w:jc w:val="both"/>
      </w:pPr>
      <w:r w:rsidRPr="0099710C">
        <w:t>24.23</w:t>
      </w:r>
      <w:r w:rsidRPr="0099710C">
        <w:tab/>
        <w:t>À compter du 1</w:t>
      </w:r>
      <w:r w:rsidRPr="0099710C">
        <w:rPr>
          <w:vertAlign w:val="superscript"/>
        </w:rPr>
        <w:t>er</w:t>
      </w:r>
      <w:r w:rsidRPr="0099710C">
        <w:t xml:space="preserve"> septembre 2022, les Parties contractantes appliquant le présent Règlement ne seront pas tenues d’accepter des homologations de type délivrées pour la première fois à partir de cette date en application d’une précédente série d’amendements. </w:t>
      </w:r>
    </w:p>
    <w:p w14:paraId="5E0A01BC" w14:textId="77777777" w:rsidR="00736A40" w:rsidRDefault="0099710C" w:rsidP="00736A40">
      <w:pPr>
        <w:tabs>
          <w:tab w:val="left" w:pos="2835"/>
        </w:tabs>
        <w:kinsoku/>
        <w:overflowPunct/>
        <w:autoSpaceDE/>
        <w:autoSpaceDN/>
        <w:adjustRightInd/>
        <w:snapToGrid/>
        <w:spacing w:after="120"/>
        <w:ind w:left="2268" w:right="1134" w:hanging="1134"/>
        <w:jc w:val="both"/>
      </w:pPr>
      <w:r w:rsidRPr="0099710C">
        <w:t>24.24</w:t>
      </w:r>
      <w:r w:rsidRPr="0099710C">
        <w:tab/>
        <w:t>Jusqu’au 1</w:t>
      </w:r>
      <w:r w:rsidRPr="0099710C">
        <w:rPr>
          <w:vertAlign w:val="superscript"/>
        </w:rPr>
        <w:t>er</w:t>
      </w:r>
      <w:r w:rsidRPr="0099710C">
        <w:t> septembre 2024, les Parties contractantes appliquant le présent Règlement seront tenues d’accepter les homologations de type délivrées pour la première fois avant le 1</w:t>
      </w:r>
      <w:r w:rsidRPr="0099710C">
        <w:rPr>
          <w:vertAlign w:val="superscript"/>
        </w:rPr>
        <w:t>er</w:t>
      </w:r>
      <w:r w:rsidRPr="0099710C">
        <w:t xml:space="preserve"> septembre 2022 en application d’une précédente série d’amendements.</w:t>
      </w:r>
    </w:p>
    <w:p w14:paraId="40F17EA3" w14:textId="77777777" w:rsidR="0099710C" w:rsidRPr="0099710C" w:rsidRDefault="0099710C" w:rsidP="00736A40">
      <w:pPr>
        <w:tabs>
          <w:tab w:val="left" w:pos="2835"/>
        </w:tabs>
        <w:kinsoku/>
        <w:overflowPunct/>
        <w:autoSpaceDE/>
        <w:autoSpaceDN/>
        <w:adjustRightInd/>
        <w:snapToGrid/>
        <w:spacing w:after="120"/>
        <w:ind w:left="2268" w:right="1134" w:hanging="1134"/>
        <w:jc w:val="both"/>
      </w:pPr>
      <w:r w:rsidRPr="0099710C">
        <w:t>24.25</w:t>
      </w:r>
      <w:r w:rsidRPr="0099710C">
        <w:tab/>
        <w:t>À compter du 1</w:t>
      </w:r>
      <w:r w:rsidRPr="0099710C">
        <w:rPr>
          <w:vertAlign w:val="superscript"/>
        </w:rPr>
        <w:t>er</w:t>
      </w:r>
      <w:r w:rsidRPr="0099710C">
        <w:t> septembre 2024, les Parties contractantes appliquant le présent Règlement ne seront pas tenues d’accepter les homologations de type délivrées en application d’une précédente série d’amendements au présent Règlement. ».</w:t>
      </w:r>
    </w:p>
    <w:p w14:paraId="0B93F7ED" w14:textId="77777777" w:rsidR="0099710C" w:rsidRPr="0099710C" w:rsidRDefault="0099710C" w:rsidP="0099710C">
      <w:pPr>
        <w:pStyle w:val="SingleTxtG"/>
        <w:rPr>
          <w:i/>
        </w:rPr>
      </w:pPr>
      <w:r w:rsidRPr="0099710C">
        <w:rPr>
          <w:i/>
        </w:rPr>
        <w:t>Annexe 1A</w:t>
      </w:r>
      <w:r w:rsidRPr="0099710C">
        <w:t>,</w:t>
      </w:r>
    </w:p>
    <w:p w14:paraId="469B083A" w14:textId="77777777" w:rsidR="0099710C" w:rsidRPr="0099710C" w:rsidRDefault="0099710C" w:rsidP="0099710C">
      <w:pPr>
        <w:pStyle w:val="SingleTxtG"/>
      </w:pPr>
      <w:r w:rsidRPr="0099710C">
        <w:rPr>
          <w:i/>
        </w:rPr>
        <w:lastRenderedPageBreak/>
        <w:t>Paragraphe 1.2.4.5.2</w:t>
      </w:r>
      <w:r w:rsidRPr="0099710C">
        <w:t>,</w:t>
      </w:r>
      <w:r w:rsidRPr="0099710C">
        <w:rPr>
          <w:i/>
        </w:rPr>
        <w:t xml:space="preserve"> </w:t>
      </w:r>
      <w:r w:rsidRPr="0099710C">
        <w:t>lire :</w:t>
      </w:r>
    </w:p>
    <w:p w14:paraId="44977DB3" w14:textId="77777777" w:rsidR="0099710C" w:rsidRPr="0099710C" w:rsidRDefault="0099710C" w:rsidP="00736A40">
      <w:pPr>
        <w:tabs>
          <w:tab w:val="left" w:pos="2835"/>
        </w:tabs>
        <w:kinsoku/>
        <w:overflowPunct/>
        <w:autoSpaceDE/>
        <w:autoSpaceDN/>
        <w:adjustRightInd/>
        <w:snapToGrid/>
        <w:spacing w:after="120"/>
        <w:ind w:left="2268" w:right="1134" w:hanging="1134"/>
        <w:jc w:val="both"/>
      </w:pPr>
      <w:r w:rsidRPr="0099710C">
        <w:t>« 1.2.4.5.2</w:t>
      </w:r>
      <w:r w:rsidRPr="0099710C">
        <w:tab/>
        <w:t>Détendeur(s) GNC : oui/non</w:t>
      </w:r>
      <w:r w:rsidRPr="0099710C">
        <w:rPr>
          <w:vertAlign w:val="superscript"/>
        </w:rPr>
        <w:t>1</w:t>
      </w:r>
    </w:p>
    <w:p w14:paraId="02BE13B3" w14:textId="77777777" w:rsidR="0099710C" w:rsidRPr="0099710C" w:rsidRDefault="0099710C" w:rsidP="00736A40">
      <w:pPr>
        <w:pStyle w:val="SingleTxtG"/>
        <w:ind w:left="2268"/>
      </w:pPr>
      <w:r w:rsidRPr="0099710C">
        <w:t>Compresseur de GNC : oui/non</w:t>
      </w:r>
      <w:r w:rsidRPr="0099710C">
        <w:rPr>
          <w:vertAlign w:val="superscript"/>
        </w:rPr>
        <w:t>1</w:t>
      </w:r>
      <w:r w:rsidRPr="0099710C">
        <w:t> ».</w:t>
      </w:r>
    </w:p>
    <w:p w14:paraId="51065B12" w14:textId="77777777" w:rsidR="0099710C" w:rsidRPr="0099710C" w:rsidRDefault="0099710C" w:rsidP="0099710C">
      <w:pPr>
        <w:pStyle w:val="SingleTxtG"/>
      </w:pPr>
      <w:r w:rsidRPr="0099710C">
        <w:rPr>
          <w:i/>
        </w:rPr>
        <w:t>Paragraphe 1.2.4.5.7</w:t>
      </w:r>
      <w:r w:rsidRPr="0099710C">
        <w:t>, lire :</w:t>
      </w:r>
    </w:p>
    <w:p w14:paraId="7BE09F59" w14:textId="77777777" w:rsidR="0099710C" w:rsidRPr="0099710C" w:rsidRDefault="0099710C" w:rsidP="00736A40">
      <w:pPr>
        <w:tabs>
          <w:tab w:val="left" w:pos="2835"/>
        </w:tabs>
        <w:kinsoku/>
        <w:overflowPunct/>
        <w:autoSpaceDE/>
        <w:autoSpaceDN/>
        <w:adjustRightInd/>
        <w:snapToGrid/>
        <w:spacing w:after="120"/>
        <w:ind w:left="2268" w:right="1134" w:hanging="1134"/>
        <w:jc w:val="both"/>
      </w:pPr>
      <w:r w:rsidRPr="0099710C">
        <w:t>« 1.2.4.5.7</w:t>
      </w:r>
      <w:r w:rsidRPr="0099710C">
        <w:tab/>
        <w:t>Réservoir(s) ou bouteille(s) à GNC : oui/non</w:t>
      </w:r>
      <w:r w:rsidRPr="0099710C">
        <w:rPr>
          <w:vertAlign w:val="superscript"/>
        </w:rPr>
        <w:t>1</w:t>
      </w:r>
    </w:p>
    <w:p w14:paraId="734E1A0E" w14:textId="77777777" w:rsidR="00736A40" w:rsidRDefault="0099710C" w:rsidP="00736A40">
      <w:pPr>
        <w:pStyle w:val="SingleTxtG"/>
        <w:ind w:left="2268"/>
      </w:pPr>
      <w:r w:rsidRPr="0099710C">
        <w:t>Réservoir(s) ou récipient(s) à GNL : oui/non</w:t>
      </w:r>
      <w:r w:rsidRPr="0099710C">
        <w:rPr>
          <w:vertAlign w:val="superscript"/>
        </w:rPr>
        <w:t>1</w:t>
      </w:r>
    </w:p>
    <w:p w14:paraId="164A8DB0" w14:textId="77777777" w:rsidR="0099710C" w:rsidRPr="0099710C" w:rsidRDefault="0099710C" w:rsidP="00736A40">
      <w:pPr>
        <w:pStyle w:val="SingleTxtG"/>
        <w:ind w:left="2268"/>
      </w:pPr>
      <w:r w:rsidRPr="0099710C">
        <w:t>Accumulateur(s) de GNC : oui/non</w:t>
      </w:r>
      <w:r w:rsidRPr="0099710C">
        <w:rPr>
          <w:vertAlign w:val="superscript"/>
        </w:rPr>
        <w:t>1</w:t>
      </w:r>
      <w:r w:rsidRPr="0099710C">
        <w:t> ».</w:t>
      </w:r>
    </w:p>
    <w:p w14:paraId="452A637E" w14:textId="77777777" w:rsidR="0099710C" w:rsidRPr="0099710C" w:rsidRDefault="0099710C" w:rsidP="0099710C">
      <w:pPr>
        <w:pStyle w:val="SingleTxtG"/>
      </w:pPr>
      <w:r w:rsidRPr="0099710C">
        <w:rPr>
          <w:i/>
        </w:rPr>
        <w:t>Points 1.2.4.5.15 à 1.2.4.5.15.3</w:t>
      </w:r>
      <w:r w:rsidRPr="0099710C">
        <w:t xml:space="preserve">, lire (la note de bas de page </w:t>
      </w:r>
      <w:r w:rsidRPr="0099710C">
        <w:rPr>
          <w:vertAlign w:val="superscript"/>
        </w:rPr>
        <w:t>1</w:t>
      </w:r>
      <w:r w:rsidRPr="0099710C">
        <w:t xml:space="preserve"> demeure inchangée) :</w:t>
      </w:r>
    </w:p>
    <w:p w14:paraId="0637A85A" w14:textId="77777777" w:rsidR="0099710C" w:rsidRPr="0099710C" w:rsidRDefault="0099710C" w:rsidP="00736A40">
      <w:pPr>
        <w:tabs>
          <w:tab w:val="left" w:pos="2835"/>
        </w:tabs>
        <w:kinsoku/>
        <w:overflowPunct/>
        <w:autoSpaceDE/>
        <w:autoSpaceDN/>
        <w:adjustRightInd/>
        <w:snapToGrid/>
        <w:spacing w:after="120"/>
        <w:ind w:left="2268" w:right="1134" w:hanging="1134"/>
        <w:jc w:val="both"/>
      </w:pPr>
      <w:r w:rsidRPr="0099710C">
        <w:t>« 1.2.4.5.15</w:t>
      </w:r>
      <w:r w:rsidRPr="0099710C">
        <w:tab/>
        <w:t>Deuxième moteur raccordé au système GNC/GNL : oui/non</w:t>
      </w:r>
      <w:r w:rsidRPr="0099710C">
        <w:rPr>
          <w:vertAlign w:val="superscript"/>
        </w:rPr>
        <w:t>1</w:t>
      </w:r>
    </w:p>
    <w:p w14:paraId="2042346D" w14:textId="77777777" w:rsidR="00736A40" w:rsidRDefault="0099710C" w:rsidP="00736A40">
      <w:pPr>
        <w:tabs>
          <w:tab w:val="left" w:pos="2268"/>
          <w:tab w:val="left" w:leader="dot" w:pos="8505"/>
        </w:tabs>
        <w:kinsoku/>
        <w:overflowPunct/>
        <w:autoSpaceDE/>
        <w:autoSpaceDN/>
        <w:adjustRightInd/>
        <w:snapToGrid/>
        <w:spacing w:after="120"/>
        <w:ind w:left="1134" w:right="1134"/>
        <w:jc w:val="both"/>
      </w:pPr>
      <w:r w:rsidRPr="0099710C">
        <w:t>1.2.4.5.15.1</w:t>
      </w:r>
      <w:r w:rsidRPr="0099710C">
        <w:tab/>
      </w:r>
      <w:r w:rsidRPr="0099710C">
        <w:rPr>
          <w:rFonts w:eastAsia="Times New Roman"/>
          <w:lang w:val="en-GB"/>
        </w:rPr>
        <w:t>Marque</w:t>
      </w:r>
      <w:r w:rsidRPr="0099710C">
        <w:t xml:space="preserve">(s) du deuxième moteur : </w:t>
      </w:r>
      <w:r w:rsidRPr="0099710C">
        <w:tab/>
      </w:r>
    </w:p>
    <w:p w14:paraId="26E20820" w14:textId="77777777" w:rsidR="00736A40" w:rsidRDefault="0099710C" w:rsidP="00736A40">
      <w:pPr>
        <w:tabs>
          <w:tab w:val="left" w:pos="2268"/>
          <w:tab w:val="left" w:leader="dot" w:pos="8505"/>
        </w:tabs>
        <w:kinsoku/>
        <w:overflowPunct/>
        <w:autoSpaceDE/>
        <w:autoSpaceDN/>
        <w:adjustRightInd/>
        <w:snapToGrid/>
        <w:spacing w:after="120"/>
        <w:ind w:left="1134" w:right="1134"/>
        <w:jc w:val="both"/>
      </w:pPr>
      <w:r w:rsidRPr="0099710C">
        <w:t>1.2.4.5.15.2</w:t>
      </w:r>
      <w:r w:rsidRPr="0099710C">
        <w:tab/>
        <w:t xml:space="preserve">Type(s) du deuxième moteur : </w:t>
      </w:r>
      <w:r w:rsidRPr="0099710C">
        <w:tab/>
      </w:r>
    </w:p>
    <w:p w14:paraId="485E74E3" w14:textId="77777777" w:rsidR="0099710C" w:rsidRPr="0099710C" w:rsidRDefault="0099710C" w:rsidP="00736A40">
      <w:pPr>
        <w:tabs>
          <w:tab w:val="left" w:pos="2268"/>
          <w:tab w:val="left" w:leader="dot" w:pos="8505"/>
        </w:tabs>
        <w:kinsoku/>
        <w:overflowPunct/>
        <w:autoSpaceDE/>
        <w:autoSpaceDN/>
        <w:adjustRightInd/>
        <w:snapToGrid/>
        <w:spacing w:after="120"/>
        <w:ind w:left="1134" w:right="1134"/>
        <w:jc w:val="both"/>
      </w:pPr>
      <w:r w:rsidRPr="0099710C">
        <w:t>1.2.4.5.15.3</w:t>
      </w:r>
      <w:r w:rsidRPr="0099710C">
        <w:tab/>
        <w:t xml:space="preserve">Description et schémas de l’installation du deuxième moteur : </w:t>
      </w:r>
      <w:r w:rsidRPr="0099710C">
        <w:tab/>
        <w:t> ».</w:t>
      </w:r>
    </w:p>
    <w:p w14:paraId="6AB70A52" w14:textId="77777777" w:rsidR="0099710C" w:rsidRPr="0099710C" w:rsidRDefault="0099710C" w:rsidP="0099710C">
      <w:pPr>
        <w:pStyle w:val="SingleTxtG"/>
      </w:pPr>
      <w:r w:rsidRPr="0099710C">
        <w:rPr>
          <w:i/>
          <w:iCs/>
        </w:rPr>
        <w:t>Points 1.2.4.5.15.4 à 1.2.4.5.15.6,</w:t>
      </w:r>
      <w:r w:rsidRPr="0099710C">
        <w:t xml:space="preserve"> supprimer.</w:t>
      </w:r>
    </w:p>
    <w:p w14:paraId="0B13CE2C" w14:textId="77777777" w:rsidR="0099710C" w:rsidRPr="0099710C" w:rsidRDefault="0099710C" w:rsidP="0099710C">
      <w:pPr>
        <w:pStyle w:val="SingleTxtG"/>
        <w:rPr>
          <w:i/>
        </w:rPr>
      </w:pPr>
      <w:r w:rsidRPr="0099710C">
        <w:rPr>
          <w:i/>
        </w:rPr>
        <w:t>Annexe 1B</w:t>
      </w:r>
      <w:r w:rsidRPr="0099710C">
        <w:t>,</w:t>
      </w:r>
    </w:p>
    <w:p w14:paraId="11D9346C" w14:textId="77777777" w:rsidR="0099710C" w:rsidRPr="0099710C" w:rsidRDefault="0099710C" w:rsidP="0099710C">
      <w:pPr>
        <w:pStyle w:val="SingleTxtG"/>
        <w:rPr>
          <w:i/>
        </w:rPr>
      </w:pPr>
      <w:r w:rsidRPr="0099710C">
        <w:rPr>
          <w:i/>
        </w:rPr>
        <w:t>Paragraphe 1.2.4.5.2</w:t>
      </w:r>
      <w:r w:rsidRPr="0099710C">
        <w:t>,</w:t>
      </w:r>
      <w:r w:rsidRPr="0099710C">
        <w:rPr>
          <w:i/>
        </w:rPr>
        <w:t xml:space="preserve"> </w:t>
      </w:r>
      <w:r w:rsidRPr="0099710C">
        <w:t>lire :</w:t>
      </w:r>
    </w:p>
    <w:p w14:paraId="54BCBCD2" w14:textId="77777777" w:rsidR="0099710C" w:rsidRPr="0099710C" w:rsidRDefault="0099710C" w:rsidP="00736A40">
      <w:pPr>
        <w:tabs>
          <w:tab w:val="left" w:pos="2835"/>
        </w:tabs>
        <w:kinsoku/>
        <w:overflowPunct/>
        <w:autoSpaceDE/>
        <w:autoSpaceDN/>
        <w:adjustRightInd/>
        <w:snapToGrid/>
        <w:spacing w:after="120"/>
        <w:ind w:left="2268" w:right="1134" w:hanging="1134"/>
        <w:jc w:val="both"/>
      </w:pPr>
      <w:r w:rsidRPr="0099710C">
        <w:t>« 1.2.4.5.2</w:t>
      </w:r>
      <w:r w:rsidRPr="0099710C">
        <w:tab/>
        <w:t>Détendeur(s) GNC :</w:t>
      </w:r>
    </w:p>
    <w:p w14:paraId="67A496DC" w14:textId="77777777" w:rsidR="0099710C" w:rsidRPr="0099710C" w:rsidRDefault="0099710C" w:rsidP="00736A40">
      <w:pPr>
        <w:pStyle w:val="SingleTxtG"/>
        <w:ind w:left="2268"/>
      </w:pPr>
      <w:r w:rsidRPr="0099710C">
        <w:t>Compresseur de GNC : ».</w:t>
      </w:r>
    </w:p>
    <w:p w14:paraId="303C5635" w14:textId="77777777" w:rsidR="0099710C" w:rsidRPr="0099710C" w:rsidRDefault="0099710C" w:rsidP="0099710C">
      <w:pPr>
        <w:pStyle w:val="SingleTxtG"/>
        <w:rPr>
          <w:i/>
        </w:rPr>
      </w:pPr>
      <w:r w:rsidRPr="0099710C">
        <w:rPr>
          <w:i/>
        </w:rPr>
        <w:t>Paragraphe 1.2.4.5.7</w:t>
      </w:r>
      <w:r w:rsidRPr="0099710C">
        <w:t>, lire :</w:t>
      </w:r>
    </w:p>
    <w:p w14:paraId="15C3F264" w14:textId="77777777" w:rsidR="0099710C" w:rsidRPr="0099710C" w:rsidRDefault="0099710C" w:rsidP="00736A40">
      <w:pPr>
        <w:tabs>
          <w:tab w:val="left" w:pos="2835"/>
        </w:tabs>
        <w:kinsoku/>
        <w:overflowPunct/>
        <w:autoSpaceDE/>
        <w:autoSpaceDN/>
        <w:adjustRightInd/>
        <w:snapToGrid/>
        <w:spacing w:after="120"/>
        <w:ind w:left="2268" w:right="1134" w:hanging="1134"/>
        <w:jc w:val="both"/>
      </w:pPr>
      <w:r w:rsidRPr="0099710C">
        <w:t>« 1.2.4.5.7</w:t>
      </w:r>
      <w:r w:rsidRPr="0099710C">
        <w:tab/>
        <w:t>Réservoir(s) ou bouteille(s) à GNC : oui/non</w:t>
      </w:r>
      <w:r w:rsidRPr="0099710C">
        <w:rPr>
          <w:vertAlign w:val="superscript"/>
        </w:rPr>
        <w:t>1</w:t>
      </w:r>
    </w:p>
    <w:p w14:paraId="1936B694" w14:textId="77777777" w:rsidR="0099710C" w:rsidRPr="0099710C" w:rsidRDefault="0099710C" w:rsidP="00736A40">
      <w:pPr>
        <w:pStyle w:val="SingleTxtG"/>
        <w:ind w:left="2268"/>
      </w:pPr>
      <w:r w:rsidRPr="0099710C">
        <w:t>Réservoir(s) ou récipient(s) à GNL : oui/non</w:t>
      </w:r>
      <w:r w:rsidRPr="0099710C">
        <w:rPr>
          <w:vertAlign w:val="superscript"/>
        </w:rPr>
        <w:t>1</w:t>
      </w:r>
    </w:p>
    <w:p w14:paraId="630713D8" w14:textId="77777777" w:rsidR="0099710C" w:rsidRPr="0099710C" w:rsidRDefault="0099710C" w:rsidP="00736A40">
      <w:pPr>
        <w:pStyle w:val="SingleTxtG"/>
        <w:ind w:left="2268"/>
        <w:rPr>
          <w:bCs/>
        </w:rPr>
      </w:pPr>
      <w:r w:rsidRPr="0099710C">
        <w:rPr>
          <w:bCs/>
        </w:rPr>
        <w:t>Accumulateur(s) de GNC : oui/non</w:t>
      </w:r>
      <w:r w:rsidRPr="0099710C">
        <w:rPr>
          <w:bCs/>
          <w:vertAlign w:val="superscript"/>
        </w:rPr>
        <w:t>1</w:t>
      </w:r>
      <w:r w:rsidRPr="0099710C">
        <w:rPr>
          <w:bCs/>
        </w:rPr>
        <w:t> ».</w:t>
      </w:r>
    </w:p>
    <w:p w14:paraId="21913BA2" w14:textId="77777777" w:rsidR="0099710C" w:rsidRPr="0099710C" w:rsidRDefault="0099710C" w:rsidP="0099710C">
      <w:pPr>
        <w:pStyle w:val="SingleTxtG"/>
      </w:pPr>
      <w:r w:rsidRPr="0099710C">
        <w:rPr>
          <w:i/>
        </w:rPr>
        <w:t>Points 1.2.4.5.15 à 1.2.4.5.15.3</w:t>
      </w:r>
      <w:r w:rsidRPr="0099710C">
        <w:t xml:space="preserve">, lire (la note de bas de page </w:t>
      </w:r>
      <w:r w:rsidRPr="0099710C">
        <w:rPr>
          <w:vertAlign w:val="superscript"/>
        </w:rPr>
        <w:t>2</w:t>
      </w:r>
      <w:r w:rsidRPr="0099710C">
        <w:t xml:space="preserve"> demeure inchangée) :</w:t>
      </w:r>
    </w:p>
    <w:p w14:paraId="5BA97A7C" w14:textId="77777777" w:rsidR="0099710C" w:rsidRPr="0099710C" w:rsidRDefault="0099710C" w:rsidP="00736A40">
      <w:pPr>
        <w:tabs>
          <w:tab w:val="left" w:pos="2835"/>
        </w:tabs>
        <w:kinsoku/>
        <w:overflowPunct/>
        <w:autoSpaceDE/>
        <w:autoSpaceDN/>
        <w:adjustRightInd/>
        <w:snapToGrid/>
        <w:spacing w:after="120"/>
        <w:ind w:left="2268" w:right="1134" w:hanging="1134"/>
        <w:jc w:val="both"/>
      </w:pPr>
      <w:r w:rsidRPr="0099710C">
        <w:t>« 1.2.4.5.15</w:t>
      </w:r>
      <w:r w:rsidRPr="0099710C">
        <w:tab/>
        <w:t>Deuxième moteur raccordé au système GNC/GNL : oui/non</w:t>
      </w:r>
      <w:r w:rsidRPr="0099710C">
        <w:rPr>
          <w:vertAlign w:val="superscript"/>
        </w:rPr>
        <w:t>2</w:t>
      </w:r>
    </w:p>
    <w:p w14:paraId="0FCCCF93" w14:textId="77777777" w:rsidR="0099710C" w:rsidRPr="0099710C" w:rsidRDefault="0099710C" w:rsidP="00736A40">
      <w:pPr>
        <w:tabs>
          <w:tab w:val="left" w:pos="2268"/>
          <w:tab w:val="left" w:leader="dot" w:pos="8505"/>
        </w:tabs>
        <w:kinsoku/>
        <w:overflowPunct/>
        <w:autoSpaceDE/>
        <w:autoSpaceDN/>
        <w:adjustRightInd/>
        <w:snapToGrid/>
        <w:spacing w:after="120"/>
        <w:ind w:left="1134" w:right="1134"/>
        <w:jc w:val="both"/>
      </w:pPr>
      <w:r w:rsidRPr="0099710C">
        <w:t>1.2.4.5.15.1</w:t>
      </w:r>
      <w:r w:rsidRPr="0099710C">
        <w:tab/>
        <w:t xml:space="preserve">Marque(s) : </w:t>
      </w:r>
      <w:r w:rsidRPr="0099710C">
        <w:tab/>
      </w:r>
    </w:p>
    <w:p w14:paraId="3F43FCCA" w14:textId="77777777" w:rsidR="0099710C" w:rsidRPr="0099710C" w:rsidRDefault="0099710C" w:rsidP="00736A40">
      <w:pPr>
        <w:tabs>
          <w:tab w:val="left" w:pos="2268"/>
          <w:tab w:val="left" w:leader="dot" w:pos="8505"/>
        </w:tabs>
        <w:kinsoku/>
        <w:overflowPunct/>
        <w:autoSpaceDE/>
        <w:autoSpaceDN/>
        <w:adjustRightInd/>
        <w:snapToGrid/>
        <w:spacing w:after="120"/>
        <w:ind w:left="1134" w:right="1134"/>
        <w:jc w:val="both"/>
      </w:pPr>
      <w:r w:rsidRPr="0099710C">
        <w:t>1.2.4.5.15.2</w:t>
      </w:r>
      <w:r w:rsidRPr="0099710C">
        <w:tab/>
        <w:t xml:space="preserve">Type(s) : </w:t>
      </w:r>
      <w:r w:rsidRPr="0099710C">
        <w:tab/>
      </w:r>
    </w:p>
    <w:p w14:paraId="2E45A8AD" w14:textId="77777777" w:rsidR="0099710C" w:rsidRPr="0099710C" w:rsidRDefault="0099710C" w:rsidP="00736A40">
      <w:pPr>
        <w:tabs>
          <w:tab w:val="left" w:pos="2268"/>
          <w:tab w:val="left" w:leader="dot" w:pos="8505"/>
        </w:tabs>
        <w:kinsoku/>
        <w:overflowPunct/>
        <w:autoSpaceDE/>
        <w:autoSpaceDN/>
        <w:adjustRightInd/>
        <w:snapToGrid/>
        <w:spacing w:after="120"/>
        <w:ind w:left="1134" w:right="1134"/>
        <w:jc w:val="both"/>
      </w:pPr>
      <w:r w:rsidRPr="0099710C">
        <w:t>1.2.4.5.15.3</w:t>
      </w:r>
      <w:r w:rsidRPr="0099710C">
        <w:tab/>
        <w:t xml:space="preserve">Description et schémas de l’installation : </w:t>
      </w:r>
      <w:r w:rsidRPr="0099710C">
        <w:tab/>
        <w:t> ».</w:t>
      </w:r>
    </w:p>
    <w:p w14:paraId="4164BFC7" w14:textId="77777777" w:rsidR="0099710C" w:rsidRPr="0099710C" w:rsidRDefault="0099710C" w:rsidP="0099710C">
      <w:pPr>
        <w:pStyle w:val="SingleTxtG"/>
      </w:pPr>
      <w:r w:rsidRPr="0099710C">
        <w:rPr>
          <w:i/>
        </w:rPr>
        <w:t>Points 1.2.4.5.15.4 à 1.2.4.5.15.6</w:t>
      </w:r>
      <w:r w:rsidRPr="0099710C">
        <w:t>, supprimer.</w:t>
      </w:r>
    </w:p>
    <w:p w14:paraId="511E0158" w14:textId="77777777" w:rsidR="0099710C" w:rsidRPr="0099710C" w:rsidRDefault="0099710C" w:rsidP="0099710C">
      <w:pPr>
        <w:pStyle w:val="SingleTxtG"/>
        <w:rPr>
          <w:i/>
        </w:rPr>
      </w:pPr>
      <w:r w:rsidRPr="0099710C">
        <w:rPr>
          <w:i/>
        </w:rPr>
        <w:t>Annexe 2B, point 1</w:t>
      </w:r>
      <w:r w:rsidRPr="0099710C">
        <w:t>,</w:t>
      </w:r>
      <w:r w:rsidRPr="0099710C">
        <w:rPr>
          <w:i/>
        </w:rPr>
        <w:t xml:space="preserve"> </w:t>
      </w:r>
      <w:r w:rsidRPr="0099710C">
        <w:t>lire :</w:t>
      </w:r>
    </w:p>
    <w:p w14:paraId="072674D3" w14:textId="77777777" w:rsidR="0099710C" w:rsidRPr="0099710C" w:rsidRDefault="0099710C" w:rsidP="001750D2">
      <w:pPr>
        <w:tabs>
          <w:tab w:val="left" w:pos="2835"/>
        </w:tabs>
        <w:kinsoku/>
        <w:overflowPunct/>
        <w:autoSpaceDE/>
        <w:autoSpaceDN/>
        <w:adjustRightInd/>
        <w:snapToGrid/>
        <w:spacing w:after="120"/>
        <w:ind w:left="2268" w:right="1134" w:hanging="1134"/>
        <w:jc w:val="both"/>
      </w:pPr>
      <w:r w:rsidRPr="0099710C">
        <w:t>« 1.</w:t>
      </w:r>
      <w:r w:rsidRPr="0099710C">
        <w:tab/>
        <w:t>Organe GNC/GNL :</w:t>
      </w:r>
    </w:p>
    <w:p w14:paraId="695C6CAF" w14:textId="77777777" w:rsidR="001750D2" w:rsidRDefault="0099710C" w:rsidP="001750D2">
      <w:pPr>
        <w:pStyle w:val="SingleTxtG"/>
        <w:ind w:left="2268"/>
      </w:pPr>
      <w:r w:rsidRPr="0099710C">
        <w:t>Réservoir(s) ou bouteille(s)</w:t>
      </w:r>
      <w:r w:rsidRPr="0099710C">
        <w:rPr>
          <w:vertAlign w:val="superscript"/>
        </w:rPr>
        <w:t>2</w:t>
      </w:r>
    </w:p>
    <w:p w14:paraId="19C271F5" w14:textId="77777777" w:rsidR="001750D2" w:rsidRDefault="0099710C" w:rsidP="001750D2">
      <w:pPr>
        <w:pStyle w:val="SingleTxtG"/>
        <w:ind w:left="2268"/>
      </w:pPr>
      <w:r w:rsidRPr="0099710C">
        <w:t>Réservoir(s) ou récipient(s)</w:t>
      </w:r>
      <w:r w:rsidRPr="0099710C">
        <w:rPr>
          <w:vertAlign w:val="superscript"/>
        </w:rPr>
        <w:t>2</w:t>
      </w:r>
      <w:r w:rsidRPr="0099710C">
        <w:t xml:space="preserve"> </w:t>
      </w:r>
    </w:p>
    <w:p w14:paraId="539A8B8F" w14:textId="77777777" w:rsidR="001750D2" w:rsidRDefault="0099710C" w:rsidP="001750D2">
      <w:pPr>
        <w:pStyle w:val="SingleTxtG"/>
        <w:ind w:left="2268"/>
      </w:pPr>
      <w:r w:rsidRPr="0099710C">
        <w:rPr>
          <w:bCs/>
        </w:rPr>
        <w:t>Accumulateur(s) de GNC</w:t>
      </w:r>
      <w:r w:rsidRPr="0099710C">
        <w:rPr>
          <w:bCs/>
          <w:vertAlign w:val="superscript"/>
        </w:rPr>
        <w:t>2</w:t>
      </w:r>
    </w:p>
    <w:p w14:paraId="6AE8D8B2" w14:textId="77777777" w:rsidR="001750D2" w:rsidRDefault="0099710C" w:rsidP="001750D2">
      <w:pPr>
        <w:pStyle w:val="SingleTxtG"/>
        <w:ind w:left="2268"/>
      </w:pPr>
      <w:r w:rsidRPr="0099710C">
        <w:t>Témoin de pression</w:t>
      </w:r>
      <w:r w:rsidRPr="0099710C">
        <w:rPr>
          <w:vertAlign w:val="superscript"/>
        </w:rPr>
        <w:t>2</w:t>
      </w:r>
    </w:p>
    <w:p w14:paraId="01CE0626" w14:textId="77777777" w:rsidR="001750D2" w:rsidRDefault="0099710C" w:rsidP="001750D2">
      <w:pPr>
        <w:pStyle w:val="SingleTxtG"/>
        <w:ind w:left="2268"/>
      </w:pPr>
      <w:r w:rsidRPr="0099710C">
        <w:t>Soupape de surpression</w:t>
      </w:r>
      <w:r w:rsidRPr="0099710C">
        <w:rPr>
          <w:vertAlign w:val="superscript"/>
        </w:rPr>
        <w:t>2</w:t>
      </w:r>
    </w:p>
    <w:p w14:paraId="57CE9F6B" w14:textId="77777777" w:rsidR="001750D2" w:rsidRDefault="0099710C" w:rsidP="001750D2">
      <w:pPr>
        <w:pStyle w:val="SingleTxtG"/>
        <w:ind w:left="2268"/>
      </w:pPr>
      <w:r w:rsidRPr="0099710C">
        <w:t>…</w:t>
      </w:r>
    </w:p>
    <w:p w14:paraId="2CC6ADE2" w14:textId="77777777" w:rsidR="001750D2" w:rsidRDefault="0099710C" w:rsidP="001750D2">
      <w:pPr>
        <w:pStyle w:val="SingleTxtG"/>
        <w:ind w:left="2268"/>
      </w:pPr>
      <w:r w:rsidRPr="0099710C">
        <w:t>Injecteur(s) de gaz</w:t>
      </w:r>
      <w:r w:rsidRPr="0099710C">
        <w:rPr>
          <w:vertAlign w:val="superscript"/>
        </w:rPr>
        <w:t>2</w:t>
      </w:r>
    </w:p>
    <w:p w14:paraId="5D0971B2" w14:textId="77777777" w:rsidR="001750D2" w:rsidRDefault="0099710C" w:rsidP="001750D2">
      <w:pPr>
        <w:pStyle w:val="SingleTxtG"/>
        <w:ind w:left="2268"/>
      </w:pPr>
      <w:r w:rsidRPr="0099710C">
        <w:rPr>
          <w:bCs/>
        </w:rPr>
        <w:t>Compresseur de GNC</w:t>
      </w:r>
      <w:r w:rsidRPr="0099710C">
        <w:rPr>
          <w:bCs/>
          <w:vertAlign w:val="superscript"/>
        </w:rPr>
        <w:t>2</w:t>
      </w:r>
    </w:p>
    <w:p w14:paraId="4E5B9527" w14:textId="77777777" w:rsidR="001750D2" w:rsidRDefault="0099710C" w:rsidP="001750D2">
      <w:pPr>
        <w:pStyle w:val="SingleTxtG"/>
        <w:ind w:left="2268"/>
      </w:pPr>
      <w:r w:rsidRPr="0099710C">
        <w:t>Régulateur de débit de gaz</w:t>
      </w:r>
      <w:r w:rsidRPr="0099710C">
        <w:rPr>
          <w:vertAlign w:val="superscript"/>
        </w:rPr>
        <w:t>2</w:t>
      </w:r>
    </w:p>
    <w:p w14:paraId="2A75CAB1" w14:textId="77777777" w:rsidR="0099710C" w:rsidRPr="0099710C" w:rsidRDefault="0099710C" w:rsidP="001750D2">
      <w:pPr>
        <w:pStyle w:val="SingleTxtG"/>
        <w:ind w:left="2268"/>
      </w:pPr>
      <w:r w:rsidRPr="0099710C">
        <w:t>… ».</w:t>
      </w:r>
    </w:p>
    <w:p w14:paraId="03EDB3C2" w14:textId="77777777" w:rsidR="0099710C" w:rsidRPr="0099710C" w:rsidRDefault="0099710C" w:rsidP="0099710C">
      <w:pPr>
        <w:pStyle w:val="SingleTxtG"/>
        <w:rPr>
          <w:i/>
        </w:rPr>
      </w:pPr>
      <w:r w:rsidRPr="0099710C">
        <w:rPr>
          <w:i/>
        </w:rPr>
        <w:t>Annexe 2B, additif</w:t>
      </w:r>
      <w:r w:rsidRPr="0099710C">
        <w:t>,</w:t>
      </w:r>
    </w:p>
    <w:p w14:paraId="5115C994" w14:textId="77777777" w:rsidR="0099710C" w:rsidRPr="0099710C" w:rsidRDefault="0099710C" w:rsidP="0099710C">
      <w:pPr>
        <w:pStyle w:val="SingleTxtG"/>
        <w:rPr>
          <w:i/>
        </w:rPr>
      </w:pPr>
      <w:r w:rsidRPr="0099710C">
        <w:rPr>
          <w:i/>
        </w:rPr>
        <w:lastRenderedPageBreak/>
        <w:t>Ajouter les nouveaux points 1.1.3 à 1.1.3.3</w:t>
      </w:r>
      <w:r w:rsidRPr="0099710C">
        <w:t>, libellés comme suit :</w:t>
      </w:r>
    </w:p>
    <w:p w14:paraId="4BE32422" w14:textId="77777777" w:rsidR="0099710C" w:rsidRPr="0099710C" w:rsidRDefault="0099710C" w:rsidP="001750D2">
      <w:pPr>
        <w:tabs>
          <w:tab w:val="left" w:pos="2835"/>
        </w:tabs>
        <w:kinsoku/>
        <w:overflowPunct/>
        <w:autoSpaceDE/>
        <w:autoSpaceDN/>
        <w:adjustRightInd/>
        <w:snapToGrid/>
        <w:spacing w:after="120"/>
        <w:ind w:left="2268" w:right="1134" w:hanging="1134"/>
        <w:jc w:val="both"/>
      </w:pPr>
      <w:r w:rsidRPr="0099710C">
        <w:t>« 1.1.3</w:t>
      </w:r>
      <w:r w:rsidRPr="0099710C">
        <w:tab/>
        <w:t>Accumulateur de GNC</w:t>
      </w:r>
    </w:p>
    <w:p w14:paraId="63EDFF5F" w14:textId="77777777" w:rsidR="0099710C" w:rsidRPr="0099710C" w:rsidRDefault="0099710C" w:rsidP="001750D2">
      <w:pPr>
        <w:tabs>
          <w:tab w:val="left" w:pos="2268"/>
          <w:tab w:val="left" w:leader="dot" w:pos="8505"/>
        </w:tabs>
        <w:kinsoku/>
        <w:overflowPunct/>
        <w:autoSpaceDE/>
        <w:autoSpaceDN/>
        <w:adjustRightInd/>
        <w:snapToGrid/>
        <w:spacing w:after="120"/>
        <w:ind w:left="1134" w:right="1134"/>
        <w:jc w:val="both"/>
      </w:pPr>
      <w:r w:rsidRPr="0099710C">
        <w:t>1.1.3.1</w:t>
      </w:r>
      <w:r w:rsidRPr="0099710C">
        <w:tab/>
        <w:t>Dimensions : ...................................................................................................</w:t>
      </w:r>
      <w:r w:rsidR="001750D2" w:rsidRPr="0099710C">
        <w:t>...</w:t>
      </w:r>
    </w:p>
    <w:p w14:paraId="3C6AC33E" w14:textId="77777777" w:rsidR="0099710C" w:rsidRPr="0099710C" w:rsidRDefault="0099710C" w:rsidP="001750D2">
      <w:pPr>
        <w:tabs>
          <w:tab w:val="left" w:pos="2268"/>
          <w:tab w:val="left" w:leader="dot" w:pos="8505"/>
        </w:tabs>
        <w:kinsoku/>
        <w:overflowPunct/>
        <w:autoSpaceDE/>
        <w:autoSpaceDN/>
        <w:adjustRightInd/>
        <w:snapToGrid/>
        <w:spacing w:after="120"/>
        <w:ind w:left="1134" w:right="1134"/>
        <w:jc w:val="both"/>
      </w:pPr>
      <w:r w:rsidRPr="0099710C">
        <w:t>1.1.3.2</w:t>
      </w:r>
      <w:r w:rsidRPr="0099710C">
        <w:tab/>
        <w:t>Matériau : ........................................................................................................</w:t>
      </w:r>
      <w:r w:rsidR="001750D2" w:rsidRPr="0099710C">
        <w:t>...</w:t>
      </w:r>
    </w:p>
    <w:p w14:paraId="66D0F24B" w14:textId="77777777" w:rsidR="0099710C" w:rsidRPr="0099710C" w:rsidRDefault="0099710C" w:rsidP="001750D2">
      <w:pPr>
        <w:tabs>
          <w:tab w:val="left" w:pos="2268"/>
          <w:tab w:val="left" w:leader="dot" w:pos="8505"/>
        </w:tabs>
        <w:kinsoku/>
        <w:overflowPunct/>
        <w:autoSpaceDE/>
        <w:autoSpaceDN/>
        <w:adjustRightInd/>
        <w:snapToGrid/>
        <w:spacing w:after="120"/>
        <w:ind w:left="1134" w:right="1134"/>
        <w:jc w:val="both"/>
      </w:pPr>
      <w:r w:rsidRPr="0099710C">
        <w:t>1.1.3.3</w:t>
      </w:r>
      <w:r w:rsidRPr="0099710C">
        <w:tab/>
        <w:t>Capacité :</w:t>
      </w:r>
      <w:r w:rsidR="001750D2">
        <w:t xml:space="preserve"> </w:t>
      </w:r>
      <w:r w:rsidRPr="0099710C">
        <w:tab/>
        <w:t> ».</w:t>
      </w:r>
    </w:p>
    <w:p w14:paraId="78EC201A" w14:textId="77777777" w:rsidR="0099710C" w:rsidRPr="0099710C" w:rsidRDefault="0099710C" w:rsidP="0099710C">
      <w:pPr>
        <w:pStyle w:val="SingleTxtG"/>
        <w:rPr>
          <w:i/>
        </w:rPr>
      </w:pPr>
      <w:r w:rsidRPr="0099710C">
        <w:rPr>
          <w:i/>
        </w:rPr>
        <w:t>Ajouter les nouveaux points 1.32 à 1.32.2</w:t>
      </w:r>
      <w:r w:rsidRPr="0099710C">
        <w:t>, libellés comme suit :</w:t>
      </w:r>
    </w:p>
    <w:p w14:paraId="15988520" w14:textId="77777777" w:rsidR="0099710C" w:rsidRPr="0099710C" w:rsidRDefault="0099710C" w:rsidP="001750D2">
      <w:pPr>
        <w:tabs>
          <w:tab w:val="left" w:pos="2835"/>
        </w:tabs>
        <w:kinsoku/>
        <w:overflowPunct/>
        <w:autoSpaceDE/>
        <w:autoSpaceDN/>
        <w:adjustRightInd/>
        <w:snapToGrid/>
        <w:spacing w:after="120"/>
        <w:ind w:left="2268" w:right="1134" w:hanging="1134"/>
        <w:jc w:val="both"/>
      </w:pPr>
      <w:r w:rsidRPr="0099710C">
        <w:t>« 1.32</w:t>
      </w:r>
      <w:r w:rsidRPr="0099710C">
        <w:tab/>
        <w:t xml:space="preserve">Compresseur de GNC </w:t>
      </w:r>
    </w:p>
    <w:p w14:paraId="1737E3E2" w14:textId="77777777" w:rsidR="0099710C" w:rsidRPr="0099710C" w:rsidRDefault="0099710C" w:rsidP="001750D2">
      <w:pPr>
        <w:tabs>
          <w:tab w:val="left" w:pos="2268"/>
          <w:tab w:val="left" w:leader="dot" w:pos="8505"/>
        </w:tabs>
        <w:kinsoku/>
        <w:overflowPunct/>
        <w:autoSpaceDE/>
        <w:autoSpaceDN/>
        <w:adjustRightInd/>
        <w:snapToGrid/>
        <w:spacing w:after="120"/>
        <w:ind w:left="1134" w:right="1134"/>
        <w:jc w:val="both"/>
      </w:pPr>
      <w:r w:rsidRPr="0099710C">
        <w:t>1.32.1</w:t>
      </w:r>
      <w:r w:rsidRPr="0099710C">
        <w:tab/>
        <w:t>Pression(s) maximale(s) de fonctionnement</w:t>
      </w:r>
      <w:r w:rsidRPr="0099710C">
        <w:rPr>
          <w:vertAlign w:val="superscript"/>
        </w:rPr>
        <w:t>1 </w:t>
      </w:r>
      <w:r w:rsidRPr="0099710C">
        <w:t>:</w:t>
      </w:r>
      <w:r w:rsidR="001750D2">
        <w:t xml:space="preserve"> </w:t>
      </w:r>
      <w:r w:rsidRPr="0099710C">
        <w:t>........................................</w:t>
      </w:r>
      <w:r w:rsidR="001750D2" w:rsidRPr="0099710C">
        <w:t>..</w:t>
      </w:r>
      <w:r w:rsidRPr="0099710C">
        <w:t xml:space="preserve"> MPa</w:t>
      </w:r>
    </w:p>
    <w:p w14:paraId="562E24F9" w14:textId="77777777" w:rsidR="0099710C" w:rsidRPr="0099710C" w:rsidRDefault="0099710C" w:rsidP="001750D2">
      <w:pPr>
        <w:tabs>
          <w:tab w:val="left" w:pos="2268"/>
          <w:tab w:val="left" w:leader="dot" w:pos="8505"/>
        </w:tabs>
        <w:kinsoku/>
        <w:overflowPunct/>
        <w:autoSpaceDE/>
        <w:autoSpaceDN/>
        <w:adjustRightInd/>
        <w:snapToGrid/>
        <w:spacing w:after="120"/>
        <w:ind w:left="1134" w:right="1134"/>
        <w:jc w:val="both"/>
      </w:pPr>
      <w:r w:rsidRPr="0099710C">
        <w:t>1.32.2</w:t>
      </w:r>
      <w:r w:rsidRPr="0099710C">
        <w:tab/>
        <w:t xml:space="preserve">Matériau : </w:t>
      </w:r>
      <w:r w:rsidRPr="0099710C">
        <w:tab/>
        <w:t> ».</w:t>
      </w:r>
    </w:p>
    <w:p w14:paraId="434D566C" w14:textId="77777777" w:rsidR="0099710C" w:rsidRPr="0099710C" w:rsidRDefault="0099710C" w:rsidP="0099710C">
      <w:pPr>
        <w:pStyle w:val="SingleTxtG"/>
        <w:rPr>
          <w:i/>
        </w:rPr>
      </w:pPr>
      <w:r w:rsidRPr="0099710C">
        <w:rPr>
          <w:i/>
        </w:rPr>
        <w:t>Annexe 4D</w:t>
      </w:r>
      <w:r w:rsidRPr="0099710C">
        <w:t>,</w:t>
      </w:r>
    </w:p>
    <w:p w14:paraId="08F951A4" w14:textId="77777777" w:rsidR="0099710C" w:rsidRPr="0099710C" w:rsidRDefault="0099710C" w:rsidP="0099710C">
      <w:pPr>
        <w:pStyle w:val="SingleTxtG"/>
        <w:rPr>
          <w:i/>
        </w:rPr>
      </w:pPr>
      <w:r w:rsidRPr="0099710C">
        <w:rPr>
          <w:i/>
        </w:rPr>
        <w:t>Titre</w:t>
      </w:r>
      <w:r w:rsidRPr="0099710C">
        <w:t>,</w:t>
      </w:r>
      <w:r w:rsidRPr="0099710C">
        <w:rPr>
          <w:i/>
        </w:rPr>
        <w:t xml:space="preserve"> </w:t>
      </w:r>
      <w:r w:rsidRPr="0099710C">
        <w:t>lire :</w:t>
      </w:r>
    </w:p>
    <w:p w14:paraId="5FBDC356" w14:textId="77777777" w:rsidR="0099710C" w:rsidRPr="0099710C" w:rsidRDefault="0099710C" w:rsidP="0099710C">
      <w:pPr>
        <w:pStyle w:val="SingleTxtG"/>
      </w:pPr>
      <w:r w:rsidRPr="0099710C">
        <w:t>« Prescriptions relatives à l’homologation du détendeur GNC et du compresseur de GNC. ».</w:t>
      </w:r>
    </w:p>
    <w:p w14:paraId="0DFBB461" w14:textId="77777777" w:rsidR="0099710C" w:rsidRPr="0099710C" w:rsidRDefault="0099710C" w:rsidP="0099710C">
      <w:pPr>
        <w:pStyle w:val="SingleTxtG"/>
        <w:rPr>
          <w:i/>
        </w:rPr>
      </w:pPr>
      <w:r w:rsidRPr="0099710C">
        <w:rPr>
          <w:i/>
        </w:rPr>
        <w:t>Paragraphe 1</w:t>
      </w:r>
      <w:r w:rsidRPr="0099710C">
        <w:t>, lire :</w:t>
      </w:r>
    </w:p>
    <w:p w14:paraId="0C43A391" w14:textId="77777777" w:rsidR="0099710C" w:rsidRPr="0099710C" w:rsidRDefault="0099710C" w:rsidP="001750D2">
      <w:pPr>
        <w:tabs>
          <w:tab w:val="left" w:pos="2835"/>
        </w:tabs>
        <w:kinsoku/>
        <w:overflowPunct/>
        <w:autoSpaceDE/>
        <w:autoSpaceDN/>
        <w:adjustRightInd/>
        <w:snapToGrid/>
        <w:spacing w:after="120"/>
        <w:ind w:left="2268" w:right="1134" w:hanging="1134"/>
        <w:jc w:val="both"/>
      </w:pPr>
      <w:r w:rsidRPr="0099710C">
        <w:t>« 1.</w:t>
      </w:r>
      <w:r w:rsidRPr="0099710C">
        <w:tab/>
        <w:t>La présente annexe contient les prescriptions relatives à l’homologation du détendeur GNC et du compresseur de GNC. ».</w:t>
      </w:r>
    </w:p>
    <w:p w14:paraId="19E6993E" w14:textId="77777777" w:rsidR="0099710C" w:rsidRPr="0099710C" w:rsidRDefault="0099710C" w:rsidP="0099710C">
      <w:pPr>
        <w:pStyle w:val="SingleTxtG"/>
        <w:rPr>
          <w:i/>
        </w:rPr>
      </w:pPr>
      <w:r w:rsidRPr="0099710C">
        <w:rPr>
          <w:i/>
        </w:rPr>
        <w:t>Paragraphe 2.2</w:t>
      </w:r>
      <w:r w:rsidRPr="0099710C">
        <w:t>,</w:t>
      </w:r>
      <w:r w:rsidRPr="0099710C">
        <w:rPr>
          <w:i/>
        </w:rPr>
        <w:t xml:space="preserve"> </w:t>
      </w:r>
      <w:r w:rsidRPr="0099710C">
        <w:t>lire (insérer une nouvelle référence à l’annexe 5Q) :</w:t>
      </w:r>
    </w:p>
    <w:p w14:paraId="3E918F67" w14:textId="77777777" w:rsidR="0099710C" w:rsidRPr="0099710C" w:rsidRDefault="0099710C" w:rsidP="001750D2">
      <w:pPr>
        <w:tabs>
          <w:tab w:val="left" w:pos="2835"/>
        </w:tabs>
        <w:kinsoku/>
        <w:overflowPunct/>
        <w:autoSpaceDE/>
        <w:autoSpaceDN/>
        <w:adjustRightInd/>
        <w:snapToGrid/>
        <w:spacing w:after="120"/>
        <w:ind w:left="2268" w:right="1134" w:hanging="1134"/>
        <w:jc w:val="both"/>
      </w:pPr>
      <w:r w:rsidRPr="0099710C">
        <w:t>« 2.2</w:t>
      </w:r>
      <w:r w:rsidRPr="0099710C">
        <w:tab/>
        <w:t xml:space="preserve">Les matériaux qui composent le détendeur et qui sont en contact avec l’agent caloporteur du détendeur lors du fonctionnement doivent être compatibles avec ce fluide. </w:t>
      </w:r>
      <w:r w:rsidRPr="0099710C">
        <w:rPr>
          <w:bCs/>
        </w:rPr>
        <w:t>Pour vérifier cette compatibilité, il faut appliquer</w:t>
      </w:r>
      <w:r w:rsidRPr="0099710C">
        <w:t xml:space="preserve"> </w:t>
      </w:r>
      <w:r w:rsidRPr="0099710C">
        <w:rPr>
          <w:bCs/>
        </w:rPr>
        <w:t>la procédure décrite à l’annexe 5Q</w:t>
      </w:r>
      <w:r w:rsidRPr="0099710C">
        <w:t>. ».</w:t>
      </w:r>
    </w:p>
    <w:p w14:paraId="71373EE0" w14:textId="77777777" w:rsidR="0099710C" w:rsidRPr="0099710C" w:rsidRDefault="0099710C" w:rsidP="0099710C">
      <w:pPr>
        <w:pStyle w:val="SingleTxtG"/>
      </w:pPr>
      <w:r w:rsidRPr="0099710C">
        <w:rPr>
          <w:i/>
        </w:rPr>
        <w:t>Ajouter les nouveaux paragraphes 4 à 5.3.2</w:t>
      </w:r>
      <w:r w:rsidRPr="0099710C">
        <w:t>, libellés comme suit :</w:t>
      </w:r>
    </w:p>
    <w:p w14:paraId="6F741D1F"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 4.</w:t>
      </w:r>
      <w:r w:rsidRPr="0099710C">
        <w:tab/>
        <w:t>Compresseur de GNC</w:t>
      </w:r>
    </w:p>
    <w:p w14:paraId="548E10F1"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4.1</w:t>
      </w:r>
      <w:r w:rsidRPr="0099710C">
        <w:tab/>
        <w:t>Le matériau qui compose le compresseur de GNC et qui est en contact avec le gaz naturel comprimé lors du fonctionnement doit être compatible avec le gaz d’essai. Pour vérifier cette compatibilité, il faut appliquer la procédure décrite à l’annexe 5D.</w:t>
      </w:r>
    </w:p>
    <w:p w14:paraId="692CCFEE"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4.2</w:t>
      </w:r>
      <w:r w:rsidRPr="0099710C">
        <w:tab/>
        <w:t>Les matériaux qui composent le compresseur de GNC et qui sont en contact avec l’agent caloporteur lors du fonctionnement du compresseur doivent être compatibles avec ce fluide. Pour vérifier cette compatibilité, il faut appliquer la procédure décrite à l’annexe 5Q.</w:t>
      </w:r>
    </w:p>
    <w:p w14:paraId="7731CA41"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4.3</w:t>
      </w:r>
      <w:r w:rsidRPr="0099710C">
        <w:tab/>
        <w:t>L’organe doit satisfaire aux essais prévus pour la classe d’organes pertinente déterminée selon le diagramme de la figure 1-1 de la section 3 du présent Règlement.</w:t>
      </w:r>
    </w:p>
    <w:p w14:paraId="4C2915ED"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4.4</w:t>
      </w:r>
      <w:r w:rsidRPr="0099710C">
        <w:tab/>
        <w:t>Le circuit électrique, s’il en existe un, doit être isolé du corps du compresseur de GNC. La résistance d’isolement doit être supérieure à 10 MΩ.</w:t>
      </w:r>
    </w:p>
    <w:p w14:paraId="5F3AF7BE"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4.4.1</w:t>
      </w:r>
      <w:r w:rsidRPr="0099710C">
        <w:tab/>
        <w:t>Des dispositions doivent être prises pour garantir que l’électricité statique soit déchargée dans le compresseur en toute sécurité.</w:t>
      </w:r>
    </w:p>
    <w:p w14:paraId="743F1B46"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4.5</w:t>
      </w:r>
      <w:r w:rsidRPr="0099710C">
        <w:tab/>
        <w:t>Le compresseur de GNC doit être muni d’un régulateur de pression afin de maintenir la pression dans la plage des pressions de fonctionnement.</w:t>
      </w:r>
    </w:p>
    <w:p w14:paraId="340631CF"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4.5.1</w:t>
      </w:r>
      <w:r w:rsidRPr="0099710C">
        <w:tab/>
        <w:t>Une limitation de la force fournie par le mécanisme de déclenchement est acceptable à la place du régulateur de pression.</w:t>
      </w:r>
    </w:p>
    <w:p w14:paraId="6CB1A2E5"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4.5.2</w:t>
      </w:r>
      <w:r w:rsidRPr="0099710C">
        <w:tab/>
        <w:t>Un système de commande électronique est acceptable à la place du régulateur de pression.</w:t>
      </w:r>
    </w:p>
    <w:p w14:paraId="75C31D14"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4.5.3</w:t>
      </w:r>
      <w:r w:rsidRPr="0099710C">
        <w:tab/>
        <w:t>Le régulateur de pression peut agir en réduisant ou en fermant l’entrée du compresseur.</w:t>
      </w:r>
    </w:p>
    <w:p w14:paraId="593F8C10"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lastRenderedPageBreak/>
        <w:t>4.5.4</w:t>
      </w:r>
      <w:r w:rsidRPr="0099710C">
        <w:tab/>
        <w:t>Le régulateur de pression ne doit pas évacuer de gaz naturel dans l’atmosphère lorsqu’il fonctionne normalement.</w:t>
      </w:r>
    </w:p>
    <w:p w14:paraId="75ED2F21"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4.6</w:t>
      </w:r>
      <w:r w:rsidRPr="0099710C">
        <w:tab/>
        <w:t>Le compresseur de GNC doit être muni d’une soupape de surpression de façon à ne pas dépasser la pression maximale de fonctionnement.</w:t>
      </w:r>
    </w:p>
    <w:p w14:paraId="273605B8"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4.6.1</w:t>
      </w:r>
      <w:r w:rsidRPr="0099710C">
        <w:tab/>
        <w:t>Une soupape de surpression du système d’alimentation en carburant peut être utilisée à la place d’une soupape de surpression de la pompe si elle relâche la pression à la pompe en même temps qu’elle la relâche dans le système.</w:t>
      </w:r>
    </w:p>
    <w:p w14:paraId="5E8619B7"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4.7</w:t>
      </w:r>
      <w:r w:rsidRPr="0099710C">
        <w:tab/>
        <w:t>Le compresseur de GNC peut être démarré avant le démarrage du moteur ou au cours des phases d’arrêt commandées afin de produire la pression requise dans le système d’alimentation en carburant. Si le moteur ne tourne pas, la pompe doit alors fonctionner sans lui envoyer de carburant.</w:t>
      </w:r>
    </w:p>
    <w:p w14:paraId="59957252" w14:textId="77777777" w:rsidR="0099710C" w:rsidRPr="0099710C" w:rsidRDefault="0099710C" w:rsidP="001750D2">
      <w:pPr>
        <w:tabs>
          <w:tab w:val="left" w:pos="2835"/>
        </w:tabs>
        <w:kinsoku/>
        <w:overflowPunct/>
        <w:autoSpaceDE/>
        <w:autoSpaceDN/>
        <w:adjustRightInd/>
        <w:snapToGrid/>
        <w:spacing w:after="120"/>
        <w:ind w:left="2268" w:right="1134" w:hanging="1134"/>
        <w:jc w:val="both"/>
      </w:pPr>
      <w:r w:rsidRPr="0099710C">
        <w:t>4.8</w:t>
      </w:r>
      <w:r w:rsidRPr="0099710C">
        <w:tab/>
        <w:t>Essai de stabilité du compresseur de GNC (en continu)</w:t>
      </w:r>
    </w:p>
    <w:p w14:paraId="554FA2C2" w14:textId="77777777" w:rsidR="001750D2" w:rsidRDefault="0099710C" w:rsidP="001750D2">
      <w:pPr>
        <w:pStyle w:val="SingleTxtG"/>
        <w:ind w:left="2268"/>
      </w:pPr>
      <w:r w:rsidRPr="0099710C">
        <w:t>Le compresseur de GNC doit être capable de supporter 50 000 cycles sans aucune défaillance lorsqu’il est éprouvé conformément à la procédure ci</w:t>
      </w:r>
      <w:r w:rsidRPr="0099710C">
        <w:noBreakHyphen/>
        <w:t>dessous :</w:t>
      </w:r>
    </w:p>
    <w:p w14:paraId="6B23C6B0" w14:textId="77777777" w:rsidR="001750D2" w:rsidRDefault="0099710C" w:rsidP="001750D2">
      <w:pPr>
        <w:pStyle w:val="SingleTxtG"/>
        <w:ind w:left="2835" w:hanging="567"/>
      </w:pPr>
      <w:r w:rsidRPr="0099710C">
        <w:t>a)</w:t>
      </w:r>
      <w:r w:rsidRPr="0099710C">
        <w:tab/>
        <w:t xml:space="preserve">Soumettre le compresseur de GNC pour 95 % du nombre total de cycles à la température ambiante et à la pression de service. Chaque cycle doit commencer par l’établissement d’un flux jusqu’à obtenir une pression de sortie stable, après quoi le flux doit être coupé par une valve aval dans un délai de 1 s, jusqu’à ce que la pression de fermeture en aval soit stabilisée. On entend par pression de sortie stabilisée une pression fixée </w:t>
      </w:r>
      <w:r w:rsidRPr="0099710C">
        <w:sym w:font="Symbol" w:char="F0B1"/>
      </w:r>
      <w:r w:rsidRPr="0099710C">
        <w:t>15 % pendant au moins 5 s ;</w:t>
      </w:r>
    </w:p>
    <w:p w14:paraId="568A4273" w14:textId="77777777" w:rsidR="001750D2" w:rsidRDefault="0099710C" w:rsidP="001750D2">
      <w:pPr>
        <w:pStyle w:val="SingleTxtG"/>
        <w:ind w:left="2835" w:hanging="567"/>
      </w:pPr>
      <w:r w:rsidRPr="0099710C">
        <w:t>b)</w:t>
      </w:r>
      <w:r w:rsidRPr="0099710C">
        <w:tab/>
        <w:t>Soumettre la pression interne du compresseur de GNC pour 1 % du nombre total de cycles à la température ambiante, en passant de 100 % à 50 % de la pression de service. La durée de chaque cycle ne doit en aucun cas être inférieure à 10 s ;</w:t>
      </w:r>
    </w:p>
    <w:p w14:paraId="11242101" w14:textId="77777777" w:rsidR="001750D2" w:rsidRDefault="0099710C" w:rsidP="001750D2">
      <w:pPr>
        <w:pStyle w:val="SingleTxtG"/>
        <w:ind w:left="2835" w:hanging="567"/>
      </w:pPr>
      <w:r w:rsidRPr="0099710C">
        <w:t>c)</w:t>
      </w:r>
      <w:r w:rsidRPr="0099710C">
        <w:tab/>
        <w:t>Répéter l’opération de l’alinéa a) à la température de 85 °C, 105 °C ou 120 °C, selon le cas, et à la pression de service pour 1 % du nombre total de cycles ;</w:t>
      </w:r>
    </w:p>
    <w:p w14:paraId="3212D411" w14:textId="77777777" w:rsidR="001750D2" w:rsidRDefault="0099710C" w:rsidP="001750D2">
      <w:pPr>
        <w:pStyle w:val="SingleTxtG"/>
        <w:ind w:left="2835" w:hanging="567"/>
      </w:pPr>
      <w:r w:rsidRPr="0099710C">
        <w:t>d)</w:t>
      </w:r>
      <w:r w:rsidRPr="0099710C">
        <w:tab/>
        <w:t>Répéter l’opération de l’alinéa b) à la température de 85 °C, 105 °C ou 120 °C, selon le cas, et à la pression de service pour 1 % du nombre total de cycles ;</w:t>
      </w:r>
    </w:p>
    <w:p w14:paraId="175E6C91" w14:textId="77777777" w:rsidR="001750D2" w:rsidRDefault="0099710C" w:rsidP="001750D2">
      <w:pPr>
        <w:pStyle w:val="SingleTxtG"/>
        <w:ind w:left="2835" w:hanging="567"/>
      </w:pPr>
      <w:r w:rsidRPr="0099710C">
        <w:t>e)</w:t>
      </w:r>
      <w:r w:rsidRPr="0099710C">
        <w:tab/>
        <w:t>Répéter l’opération de l’alinéa a) à la température de -40 °C ou -20 °C selon le cas et à 50 % de la pression de service pour 1 % du nombre total de cycles ;</w:t>
      </w:r>
    </w:p>
    <w:p w14:paraId="1C77A8BB" w14:textId="77777777" w:rsidR="001750D2" w:rsidRDefault="0099710C" w:rsidP="001750D2">
      <w:pPr>
        <w:pStyle w:val="SingleTxtG"/>
        <w:ind w:left="2835" w:hanging="567"/>
      </w:pPr>
      <w:r w:rsidRPr="0099710C">
        <w:t>f)</w:t>
      </w:r>
      <w:r w:rsidRPr="0099710C">
        <w:tab/>
        <w:t>Répéter l’opération de l’alinéa b) à la température de -40 °C ou -20 °C selon le cas et à 50 % de la pression de service pour 1 % du nombre total de cycles ;</w:t>
      </w:r>
    </w:p>
    <w:p w14:paraId="3590CE4C" w14:textId="77777777" w:rsidR="0099710C" w:rsidRPr="0099710C" w:rsidRDefault="0099710C" w:rsidP="001750D2">
      <w:pPr>
        <w:pStyle w:val="SingleTxtG"/>
        <w:ind w:left="2835" w:hanging="567"/>
      </w:pPr>
      <w:r w:rsidRPr="0099710C">
        <w:t>g)</w:t>
      </w:r>
      <w:r w:rsidRPr="0099710C">
        <w:tab/>
        <w:t>À l’issue des essais décrits aux alinéas a), b), c), d), e) et f) ci-dessus, le compresseur de GNC doit être étanche (voir annexe 5B) à la température de -40 °C ou -20 °C selon le cas, à la température ambiante et à la température de 85 °C, 105 °C ou 120 °C selon le cas.</w:t>
      </w:r>
    </w:p>
    <w:p w14:paraId="0F471493"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5.</w:t>
      </w:r>
      <w:r w:rsidRPr="0099710C">
        <w:tab/>
        <w:t xml:space="preserve">Classification et pressions d’essai </w:t>
      </w:r>
    </w:p>
    <w:p w14:paraId="34ED1283"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5.1</w:t>
      </w:r>
      <w:r w:rsidRPr="0099710C">
        <w:tab/>
        <w:t>L’élément du compresseur de GNC qui est en contact avec la pression du réservoir est rangé dans la classe 0.</w:t>
      </w:r>
    </w:p>
    <w:p w14:paraId="05EBED88"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5.1.1</w:t>
      </w:r>
      <w:r w:rsidRPr="0099710C">
        <w:tab/>
        <w:t>L’élément du compresseur de GNC rangé dans la classe 0 doit être étanche (voir annexe</w:t>
      </w:r>
      <w:r w:rsidR="007D034B">
        <w:t> </w:t>
      </w:r>
      <w:r w:rsidRPr="0099710C">
        <w:t>5B) à une pression pouvant atteindre 1,5</w:t>
      </w:r>
      <w:r w:rsidR="007D034B">
        <w:t> </w:t>
      </w:r>
      <w:r w:rsidRPr="0099710C">
        <w:t>fois la pression maximale de fonctionnement (en MPa), le ou les orifices de sortie de cet élément étant fermé(s).</w:t>
      </w:r>
    </w:p>
    <w:p w14:paraId="470427E3"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lastRenderedPageBreak/>
        <w:t>5.1.2</w:t>
      </w:r>
      <w:r w:rsidRPr="0099710C">
        <w:tab/>
        <w:t>L’élément du compresseur de GNC rangé dans la classe 0 doit résister à une pression pouvant atteindre jusqu’à 1,5</w:t>
      </w:r>
      <w:r w:rsidR="001750D2">
        <w:t> </w:t>
      </w:r>
      <w:r w:rsidRPr="0099710C">
        <w:t>fois la pression maximale de fonctionnement (en MPa).</w:t>
      </w:r>
    </w:p>
    <w:p w14:paraId="057B1320"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5.1.3</w:t>
      </w:r>
      <w:r w:rsidRPr="0099710C">
        <w:tab/>
        <w:t>Les éléments du compresseur de GNC rangés dans les classes 1 et 2 doivent être étanches (voir annexe 5B) à une pression pouvant atteindre jusqu’à 2 fois la pression maximale de fonctionnement.</w:t>
      </w:r>
    </w:p>
    <w:p w14:paraId="5D995611"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5.1.4</w:t>
      </w:r>
      <w:r w:rsidRPr="0099710C">
        <w:tab/>
        <w:t>Les éléments du compresseur de GNC rangés dans les classes 1 et 2 doivent résister à une pression pouvant atteindre 2 fois la pression maximale de fonctionnement.</w:t>
      </w:r>
    </w:p>
    <w:p w14:paraId="5E87A0CB"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5.1.5</w:t>
      </w:r>
      <w:r w:rsidRPr="0099710C">
        <w:tab/>
        <w:t>L’élément du compresseur de GNC rangé dans la classe 3 doit résister à une pression pouvant atteindre jusqu’à 2 fois la pression de décompression de la soupape de surpression à laquelle il est soumis.</w:t>
      </w:r>
    </w:p>
    <w:p w14:paraId="143064B0"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5.2</w:t>
      </w:r>
      <w:r w:rsidRPr="0099710C">
        <w:tab/>
        <w:t>L’élément du compresseur de GNC qui est en contact avec une pression supérieure à 26 MPa est rangé dans la classe 6.</w:t>
      </w:r>
    </w:p>
    <w:p w14:paraId="1F937EB8"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5.2.1</w:t>
      </w:r>
      <w:r w:rsidRPr="0099710C">
        <w:tab/>
        <w:t>L’élément du compresseur de GNC rangé dans la classe 6 doit être étanche (voir annexe 5B) à une pression pouvant atteindre jusqu’à 1,5 fois la pression maximale de fonctionnement (en MPa) fixée par le fabricant, le ou les orifices de sortie de cet élément étant fermé(s).</w:t>
      </w:r>
    </w:p>
    <w:p w14:paraId="787116F5"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5.2.2</w:t>
      </w:r>
      <w:r w:rsidRPr="0099710C">
        <w:tab/>
        <w:t>L’élément du compresseur de GNC rangé dans la classe 6 doit résister à une pression pouvant atteindre jusqu’à 1,5</w:t>
      </w:r>
      <w:r w:rsidR="000A6B5B">
        <w:t> </w:t>
      </w:r>
      <w:r w:rsidRPr="0099710C">
        <w:t>fois la pression maximale de fonctionnement (en MPa) fixée par le fabriquant.</w:t>
      </w:r>
    </w:p>
    <w:p w14:paraId="258AA519"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5.2.3</w:t>
      </w:r>
      <w:r w:rsidRPr="0099710C">
        <w:tab/>
        <w:t>L’élément du compresseur de GNC qui est en contact avec une pression inférieure à 26 MPa est rangé conformément aux dispositions de la section 3 de la partie I du présent Règlement.</w:t>
      </w:r>
    </w:p>
    <w:p w14:paraId="52EC7FBB"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5.3</w:t>
      </w:r>
      <w:r w:rsidRPr="0099710C">
        <w:tab/>
        <w:t>Le compresseur de GNC doit être conçu pour fonctionner aux températures indiquées à l’annexe 5O.</w:t>
      </w:r>
    </w:p>
    <w:p w14:paraId="55ED05FE" w14:textId="77777777" w:rsidR="001750D2" w:rsidRDefault="0099710C" w:rsidP="001750D2">
      <w:pPr>
        <w:tabs>
          <w:tab w:val="left" w:pos="2835"/>
        </w:tabs>
        <w:kinsoku/>
        <w:overflowPunct/>
        <w:autoSpaceDE/>
        <w:autoSpaceDN/>
        <w:adjustRightInd/>
        <w:snapToGrid/>
        <w:spacing w:after="120"/>
        <w:ind w:left="2268" w:right="1134" w:hanging="1134"/>
        <w:jc w:val="both"/>
      </w:pPr>
      <w:r w:rsidRPr="0099710C">
        <w:t>5.3.1</w:t>
      </w:r>
      <w:r w:rsidRPr="0099710C">
        <w:tab/>
        <w:t>Lorsque le compresseur de GNC est refroidi par inclusion dans le circuit de refroidissement du moteur, il doit être considéré comme un organe du moteur relevant de l’annexe 5O.</w:t>
      </w:r>
    </w:p>
    <w:p w14:paraId="010BD20B" w14:textId="77777777" w:rsidR="0099710C" w:rsidRPr="0099710C" w:rsidRDefault="0099710C" w:rsidP="001750D2">
      <w:pPr>
        <w:tabs>
          <w:tab w:val="left" w:pos="2835"/>
        </w:tabs>
        <w:kinsoku/>
        <w:overflowPunct/>
        <w:autoSpaceDE/>
        <w:autoSpaceDN/>
        <w:adjustRightInd/>
        <w:snapToGrid/>
        <w:spacing w:after="120"/>
        <w:ind w:left="2268" w:right="1134" w:hanging="1134"/>
        <w:jc w:val="both"/>
      </w:pPr>
      <w:r w:rsidRPr="0099710C">
        <w:t>5.3.2</w:t>
      </w:r>
      <w:r w:rsidRPr="0099710C">
        <w:tab/>
        <w:t>Lorsque le compresseur de GNC utilise des fluides d’échange thermique, les parties non métalliques en contact avec le fluide doivent être conformes à l’annexe 5Q. ».</w:t>
      </w:r>
    </w:p>
    <w:p w14:paraId="3D85B1A2" w14:textId="77777777" w:rsidR="0099710C" w:rsidRPr="0099710C" w:rsidRDefault="0099710C" w:rsidP="0099710C">
      <w:pPr>
        <w:pStyle w:val="SingleTxtG"/>
        <w:rPr>
          <w:i/>
        </w:rPr>
      </w:pPr>
      <w:r w:rsidRPr="0099710C">
        <w:rPr>
          <w:i/>
        </w:rPr>
        <w:t>Annexe 4I, paragraphe 2.2</w:t>
      </w:r>
      <w:r w:rsidRPr="0099710C">
        <w:t>, lire (en référence à l’annexe 5Q) :</w:t>
      </w:r>
    </w:p>
    <w:p w14:paraId="4CFC7230" w14:textId="77777777" w:rsidR="0099710C" w:rsidRPr="0099710C" w:rsidRDefault="0099710C" w:rsidP="001750D2">
      <w:pPr>
        <w:tabs>
          <w:tab w:val="left" w:pos="2835"/>
        </w:tabs>
        <w:kinsoku/>
        <w:overflowPunct/>
        <w:autoSpaceDE/>
        <w:autoSpaceDN/>
        <w:adjustRightInd/>
        <w:snapToGrid/>
        <w:spacing w:after="120"/>
        <w:ind w:left="2268" w:right="1134" w:hanging="1134"/>
        <w:jc w:val="both"/>
      </w:pPr>
      <w:r w:rsidRPr="0099710C">
        <w:t>« 2.2</w:t>
      </w:r>
      <w:r w:rsidRPr="0099710C">
        <w:tab/>
        <w:t>Le matériau qui compose l’échangeur thermique/vaporisateur GNL et qui lors du fonctionnement est en contact avec le CNG doit être compatible avec le gaz d’essai. Pour vérifier cette compatibilité, il faut appliquer la procédure décrite à l’annexe 5D.</w:t>
      </w:r>
    </w:p>
    <w:p w14:paraId="0BB574AE" w14:textId="77777777" w:rsidR="0099710C" w:rsidRPr="0099710C" w:rsidRDefault="0099710C" w:rsidP="001750D2">
      <w:pPr>
        <w:pStyle w:val="SingleTxtG"/>
        <w:ind w:left="2268"/>
      </w:pPr>
      <w:r w:rsidRPr="0099710C">
        <w:t>Les matériaux qui composent l’échangeur thermique/vaporisateur GNL et qui sont en contact avec l’agent caloporteur du détendeur lors du fonctionnement doivent être compatibles avec ce fluide. La procédure décrite à l’annexe 5Q doit être appliquée. ».</w:t>
      </w:r>
    </w:p>
    <w:p w14:paraId="4B49F780" w14:textId="77777777" w:rsidR="0099710C" w:rsidRPr="0099710C" w:rsidRDefault="0099710C" w:rsidP="0099710C">
      <w:pPr>
        <w:pStyle w:val="SingleTxtG"/>
        <w:rPr>
          <w:i/>
        </w:rPr>
      </w:pPr>
      <w:r w:rsidRPr="0099710C">
        <w:rPr>
          <w:i/>
        </w:rPr>
        <w:t>Annexe 5, tableau 5.1</w:t>
      </w:r>
      <w:r w:rsidRPr="0099710C">
        <w:t>, lire (ajouter une nouvelle ligne faisant référence à l’annexe 5Q) :</w:t>
      </w:r>
    </w:p>
    <w:p w14:paraId="6FA8BD7E" w14:textId="77777777" w:rsidR="0099710C" w:rsidRPr="0099710C" w:rsidRDefault="0099710C" w:rsidP="0099710C">
      <w:pPr>
        <w:pStyle w:val="SingleTxtG"/>
      </w:pPr>
      <w:r w:rsidRPr="0099710C">
        <w:t>« Tableau 5.1</w:t>
      </w:r>
    </w:p>
    <w:tbl>
      <w:tblPr>
        <w:tblStyle w:val="TableNormal1"/>
        <w:tblW w:w="7370" w:type="dxa"/>
        <w:tblInd w:w="1134" w:type="dxa"/>
        <w:tblLayout w:type="fixed"/>
        <w:tblLook w:val="01E0" w:firstRow="1" w:lastRow="1" w:firstColumn="1" w:lastColumn="1" w:noHBand="0" w:noVBand="0"/>
      </w:tblPr>
      <w:tblGrid>
        <w:gridCol w:w="2650"/>
        <w:gridCol w:w="590"/>
        <w:gridCol w:w="590"/>
        <w:gridCol w:w="590"/>
        <w:gridCol w:w="590"/>
        <w:gridCol w:w="590"/>
        <w:gridCol w:w="590"/>
        <w:gridCol w:w="590"/>
        <w:gridCol w:w="590"/>
      </w:tblGrid>
      <w:tr w:rsidR="0099710C" w:rsidRPr="00EE5D2E" w14:paraId="5A7243A9" w14:textId="77777777" w:rsidTr="00EE5D2E">
        <w:trPr>
          <w:tblHeader/>
        </w:trPr>
        <w:tc>
          <w:tcPr>
            <w:tcW w:w="2650" w:type="dxa"/>
            <w:tcBorders>
              <w:top w:val="single" w:sz="4" w:space="0" w:color="auto"/>
              <w:bottom w:val="single" w:sz="12" w:space="0" w:color="auto"/>
            </w:tcBorders>
            <w:shd w:val="clear" w:color="auto" w:fill="auto"/>
            <w:vAlign w:val="bottom"/>
          </w:tcPr>
          <w:p w14:paraId="377A7C5E" w14:textId="77777777" w:rsidR="0099710C" w:rsidRPr="00EE5D2E" w:rsidRDefault="0099710C" w:rsidP="00EE5D2E">
            <w:pPr>
              <w:widowControl/>
              <w:suppressAutoHyphens w:val="0"/>
              <w:spacing w:before="80" w:after="80" w:line="200" w:lineRule="exact"/>
              <w:rPr>
                <w:rFonts w:ascii="Times New Roman" w:hAnsi="Times New Roman"/>
                <w:i/>
                <w:sz w:val="16"/>
              </w:rPr>
            </w:pPr>
            <w:r w:rsidRPr="00EE5D2E">
              <w:rPr>
                <w:rFonts w:ascii="Times New Roman" w:hAnsi="Times New Roman"/>
                <w:i/>
                <w:sz w:val="16"/>
              </w:rPr>
              <w:t>Essai</w:t>
            </w:r>
          </w:p>
        </w:tc>
        <w:tc>
          <w:tcPr>
            <w:tcW w:w="590" w:type="dxa"/>
            <w:tcBorders>
              <w:top w:val="single" w:sz="4" w:space="0" w:color="auto"/>
              <w:bottom w:val="single" w:sz="12" w:space="0" w:color="auto"/>
            </w:tcBorders>
            <w:shd w:val="clear" w:color="auto" w:fill="auto"/>
            <w:vAlign w:val="bottom"/>
          </w:tcPr>
          <w:p w14:paraId="7101E3B5" w14:textId="77777777" w:rsidR="0099710C" w:rsidRPr="00EE5D2E" w:rsidRDefault="0099710C" w:rsidP="00EE5D2E">
            <w:pPr>
              <w:widowControl/>
              <w:suppressAutoHyphens w:val="0"/>
              <w:spacing w:before="80" w:after="80" w:line="200" w:lineRule="exact"/>
              <w:jc w:val="right"/>
              <w:rPr>
                <w:rFonts w:ascii="Times New Roman" w:hAnsi="Times New Roman"/>
                <w:i/>
                <w:sz w:val="16"/>
              </w:rPr>
            </w:pPr>
            <w:r w:rsidRPr="00EE5D2E">
              <w:rPr>
                <w:rFonts w:ascii="Times New Roman" w:hAnsi="Times New Roman"/>
                <w:i/>
                <w:sz w:val="16"/>
              </w:rPr>
              <w:t>Classe 0</w:t>
            </w:r>
          </w:p>
        </w:tc>
        <w:tc>
          <w:tcPr>
            <w:tcW w:w="590" w:type="dxa"/>
            <w:tcBorders>
              <w:top w:val="single" w:sz="4" w:space="0" w:color="auto"/>
              <w:bottom w:val="single" w:sz="12" w:space="0" w:color="auto"/>
            </w:tcBorders>
            <w:shd w:val="clear" w:color="auto" w:fill="auto"/>
            <w:vAlign w:val="bottom"/>
          </w:tcPr>
          <w:p w14:paraId="7089947B" w14:textId="77777777" w:rsidR="0099710C" w:rsidRPr="00EE5D2E" w:rsidRDefault="0099710C" w:rsidP="00EE5D2E">
            <w:pPr>
              <w:widowControl/>
              <w:suppressAutoHyphens w:val="0"/>
              <w:spacing w:before="80" w:after="80" w:line="200" w:lineRule="exact"/>
              <w:jc w:val="right"/>
              <w:rPr>
                <w:rFonts w:ascii="Times New Roman" w:hAnsi="Times New Roman"/>
                <w:i/>
                <w:sz w:val="16"/>
              </w:rPr>
            </w:pPr>
            <w:r w:rsidRPr="00EE5D2E">
              <w:rPr>
                <w:rFonts w:ascii="Times New Roman" w:hAnsi="Times New Roman"/>
                <w:i/>
                <w:sz w:val="16"/>
              </w:rPr>
              <w:t>Classe 1</w:t>
            </w:r>
          </w:p>
        </w:tc>
        <w:tc>
          <w:tcPr>
            <w:tcW w:w="590" w:type="dxa"/>
            <w:tcBorders>
              <w:top w:val="single" w:sz="4" w:space="0" w:color="auto"/>
              <w:bottom w:val="single" w:sz="12" w:space="0" w:color="auto"/>
            </w:tcBorders>
            <w:shd w:val="clear" w:color="auto" w:fill="auto"/>
            <w:vAlign w:val="bottom"/>
          </w:tcPr>
          <w:p w14:paraId="69122B17" w14:textId="77777777" w:rsidR="0099710C" w:rsidRPr="00EE5D2E" w:rsidRDefault="0099710C" w:rsidP="00EE5D2E">
            <w:pPr>
              <w:widowControl/>
              <w:suppressAutoHyphens w:val="0"/>
              <w:spacing w:before="80" w:after="80" w:line="200" w:lineRule="exact"/>
              <w:jc w:val="right"/>
              <w:rPr>
                <w:rFonts w:ascii="Times New Roman" w:hAnsi="Times New Roman"/>
                <w:i/>
                <w:sz w:val="16"/>
              </w:rPr>
            </w:pPr>
            <w:r w:rsidRPr="00EE5D2E">
              <w:rPr>
                <w:rFonts w:ascii="Times New Roman" w:hAnsi="Times New Roman"/>
                <w:i/>
                <w:sz w:val="16"/>
              </w:rPr>
              <w:t>Classe 2</w:t>
            </w:r>
          </w:p>
        </w:tc>
        <w:tc>
          <w:tcPr>
            <w:tcW w:w="590" w:type="dxa"/>
            <w:tcBorders>
              <w:top w:val="single" w:sz="4" w:space="0" w:color="auto"/>
              <w:bottom w:val="single" w:sz="12" w:space="0" w:color="auto"/>
            </w:tcBorders>
            <w:shd w:val="clear" w:color="auto" w:fill="auto"/>
            <w:vAlign w:val="bottom"/>
          </w:tcPr>
          <w:p w14:paraId="790C0DA9" w14:textId="77777777" w:rsidR="0099710C" w:rsidRPr="00EE5D2E" w:rsidRDefault="0099710C" w:rsidP="00EE5D2E">
            <w:pPr>
              <w:widowControl/>
              <w:suppressAutoHyphens w:val="0"/>
              <w:spacing w:before="80" w:after="80" w:line="200" w:lineRule="exact"/>
              <w:jc w:val="right"/>
              <w:rPr>
                <w:rFonts w:ascii="Times New Roman" w:hAnsi="Times New Roman"/>
                <w:i/>
                <w:sz w:val="16"/>
              </w:rPr>
            </w:pPr>
            <w:r w:rsidRPr="00EE5D2E">
              <w:rPr>
                <w:rFonts w:ascii="Times New Roman" w:hAnsi="Times New Roman"/>
                <w:i/>
                <w:sz w:val="16"/>
              </w:rPr>
              <w:t>Classe 3</w:t>
            </w:r>
          </w:p>
        </w:tc>
        <w:tc>
          <w:tcPr>
            <w:tcW w:w="590" w:type="dxa"/>
            <w:tcBorders>
              <w:top w:val="single" w:sz="4" w:space="0" w:color="auto"/>
              <w:bottom w:val="single" w:sz="12" w:space="0" w:color="auto"/>
            </w:tcBorders>
            <w:shd w:val="clear" w:color="auto" w:fill="auto"/>
            <w:vAlign w:val="bottom"/>
          </w:tcPr>
          <w:p w14:paraId="5E74F358" w14:textId="77777777" w:rsidR="0099710C" w:rsidRPr="00EE5D2E" w:rsidRDefault="0099710C" w:rsidP="00EE5D2E">
            <w:pPr>
              <w:widowControl/>
              <w:suppressAutoHyphens w:val="0"/>
              <w:spacing w:before="80" w:after="80" w:line="200" w:lineRule="exact"/>
              <w:jc w:val="right"/>
              <w:rPr>
                <w:rFonts w:ascii="Times New Roman" w:hAnsi="Times New Roman"/>
                <w:i/>
                <w:sz w:val="16"/>
              </w:rPr>
            </w:pPr>
            <w:r w:rsidRPr="00EE5D2E">
              <w:rPr>
                <w:rFonts w:ascii="Times New Roman" w:hAnsi="Times New Roman"/>
                <w:i/>
                <w:sz w:val="16"/>
              </w:rPr>
              <w:t>Classe 4</w:t>
            </w:r>
          </w:p>
        </w:tc>
        <w:tc>
          <w:tcPr>
            <w:tcW w:w="590" w:type="dxa"/>
            <w:tcBorders>
              <w:top w:val="single" w:sz="4" w:space="0" w:color="auto"/>
              <w:bottom w:val="single" w:sz="12" w:space="0" w:color="auto"/>
            </w:tcBorders>
            <w:shd w:val="clear" w:color="auto" w:fill="auto"/>
            <w:vAlign w:val="bottom"/>
          </w:tcPr>
          <w:p w14:paraId="47A866FD" w14:textId="77777777" w:rsidR="0099710C" w:rsidRPr="00EE5D2E" w:rsidRDefault="0099710C" w:rsidP="00EE5D2E">
            <w:pPr>
              <w:widowControl/>
              <w:suppressAutoHyphens w:val="0"/>
              <w:spacing w:before="80" w:after="80" w:line="200" w:lineRule="exact"/>
              <w:jc w:val="right"/>
              <w:rPr>
                <w:rFonts w:ascii="Times New Roman" w:hAnsi="Times New Roman"/>
                <w:i/>
                <w:sz w:val="16"/>
              </w:rPr>
            </w:pPr>
            <w:r w:rsidRPr="00EE5D2E">
              <w:rPr>
                <w:rFonts w:ascii="Times New Roman" w:hAnsi="Times New Roman"/>
                <w:i/>
                <w:sz w:val="16"/>
              </w:rPr>
              <w:t>Classe 5</w:t>
            </w:r>
          </w:p>
        </w:tc>
        <w:tc>
          <w:tcPr>
            <w:tcW w:w="590" w:type="dxa"/>
            <w:tcBorders>
              <w:top w:val="single" w:sz="4" w:space="0" w:color="auto"/>
              <w:bottom w:val="single" w:sz="12" w:space="0" w:color="auto"/>
            </w:tcBorders>
            <w:shd w:val="clear" w:color="auto" w:fill="auto"/>
            <w:vAlign w:val="bottom"/>
          </w:tcPr>
          <w:p w14:paraId="2283C098" w14:textId="77777777" w:rsidR="0099710C" w:rsidRPr="00EE5D2E" w:rsidRDefault="0099710C" w:rsidP="00EE5D2E">
            <w:pPr>
              <w:widowControl/>
              <w:suppressAutoHyphens w:val="0"/>
              <w:spacing w:before="80" w:after="80" w:line="200" w:lineRule="exact"/>
              <w:jc w:val="right"/>
              <w:rPr>
                <w:rFonts w:ascii="Times New Roman" w:hAnsi="Times New Roman"/>
                <w:i/>
                <w:sz w:val="16"/>
              </w:rPr>
            </w:pPr>
            <w:r w:rsidRPr="00EE5D2E">
              <w:rPr>
                <w:rFonts w:ascii="Times New Roman" w:hAnsi="Times New Roman"/>
                <w:i/>
                <w:sz w:val="16"/>
              </w:rPr>
              <w:t>Classe 6</w:t>
            </w:r>
          </w:p>
        </w:tc>
        <w:tc>
          <w:tcPr>
            <w:tcW w:w="590" w:type="dxa"/>
            <w:tcBorders>
              <w:top w:val="single" w:sz="4" w:space="0" w:color="auto"/>
              <w:bottom w:val="single" w:sz="12" w:space="0" w:color="auto"/>
            </w:tcBorders>
            <w:shd w:val="clear" w:color="auto" w:fill="auto"/>
            <w:vAlign w:val="bottom"/>
          </w:tcPr>
          <w:p w14:paraId="3380420A" w14:textId="77777777" w:rsidR="0099710C" w:rsidRPr="00EE5D2E" w:rsidRDefault="0099710C" w:rsidP="00EE5D2E">
            <w:pPr>
              <w:widowControl/>
              <w:suppressAutoHyphens w:val="0"/>
              <w:spacing w:before="80" w:after="80" w:line="200" w:lineRule="exact"/>
              <w:jc w:val="right"/>
              <w:rPr>
                <w:rFonts w:ascii="Times New Roman" w:hAnsi="Times New Roman"/>
                <w:i/>
                <w:sz w:val="16"/>
              </w:rPr>
            </w:pPr>
            <w:r w:rsidRPr="00EE5D2E">
              <w:rPr>
                <w:rFonts w:ascii="Times New Roman" w:hAnsi="Times New Roman"/>
                <w:i/>
                <w:sz w:val="16"/>
              </w:rPr>
              <w:t>Annexe</w:t>
            </w:r>
          </w:p>
        </w:tc>
      </w:tr>
      <w:tr w:rsidR="0099710C" w:rsidRPr="00EE5D2E" w14:paraId="70E272D7" w14:textId="77777777" w:rsidTr="00EE5D2E">
        <w:tc>
          <w:tcPr>
            <w:tcW w:w="2650" w:type="dxa"/>
            <w:tcBorders>
              <w:top w:val="single" w:sz="12" w:space="0" w:color="auto"/>
            </w:tcBorders>
            <w:shd w:val="clear" w:color="auto" w:fill="auto"/>
          </w:tcPr>
          <w:p w14:paraId="6C9A95EA" w14:textId="77777777" w:rsidR="0099710C" w:rsidRPr="00EE5D2E" w:rsidRDefault="0099710C" w:rsidP="00EE5D2E">
            <w:pPr>
              <w:widowControl/>
              <w:suppressAutoHyphens w:val="0"/>
              <w:spacing w:before="40" w:after="40" w:line="220" w:lineRule="exact"/>
              <w:rPr>
                <w:rFonts w:ascii="Times New Roman" w:hAnsi="Times New Roman"/>
                <w:sz w:val="18"/>
              </w:rPr>
            </w:pPr>
            <w:r w:rsidRPr="00EE5D2E">
              <w:rPr>
                <w:rFonts w:ascii="Times New Roman" w:hAnsi="Times New Roman"/>
                <w:sz w:val="18"/>
              </w:rPr>
              <w:t xml:space="preserve">Essai de surpression </w:t>
            </w:r>
          </w:p>
        </w:tc>
        <w:tc>
          <w:tcPr>
            <w:tcW w:w="590" w:type="dxa"/>
            <w:tcBorders>
              <w:top w:val="single" w:sz="12" w:space="0" w:color="auto"/>
            </w:tcBorders>
            <w:shd w:val="clear" w:color="auto" w:fill="auto"/>
            <w:vAlign w:val="bottom"/>
          </w:tcPr>
          <w:p w14:paraId="017624F4"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X</w:t>
            </w:r>
          </w:p>
        </w:tc>
        <w:tc>
          <w:tcPr>
            <w:tcW w:w="590" w:type="dxa"/>
            <w:tcBorders>
              <w:top w:val="single" w:sz="12" w:space="0" w:color="auto"/>
            </w:tcBorders>
            <w:shd w:val="clear" w:color="auto" w:fill="auto"/>
            <w:vAlign w:val="bottom"/>
          </w:tcPr>
          <w:p w14:paraId="2C744A55"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X</w:t>
            </w:r>
          </w:p>
        </w:tc>
        <w:tc>
          <w:tcPr>
            <w:tcW w:w="590" w:type="dxa"/>
            <w:tcBorders>
              <w:top w:val="single" w:sz="12" w:space="0" w:color="auto"/>
            </w:tcBorders>
            <w:shd w:val="clear" w:color="auto" w:fill="auto"/>
            <w:vAlign w:val="bottom"/>
          </w:tcPr>
          <w:p w14:paraId="0454605F"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X</w:t>
            </w:r>
          </w:p>
        </w:tc>
        <w:tc>
          <w:tcPr>
            <w:tcW w:w="590" w:type="dxa"/>
            <w:tcBorders>
              <w:top w:val="single" w:sz="12" w:space="0" w:color="auto"/>
            </w:tcBorders>
            <w:shd w:val="clear" w:color="auto" w:fill="auto"/>
            <w:vAlign w:val="bottom"/>
          </w:tcPr>
          <w:p w14:paraId="3401D20D"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X</w:t>
            </w:r>
          </w:p>
        </w:tc>
        <w:tc>
          <w:tcPr>
            <w:tcW w:w="590" w:type="dxa"/>
            <w:tcBorders>
              <w:top w:val="single" w:sz="12" w:space="0" w:color="auto"/>
            </w:tcBorders>
            <w:shd w:val="clear" w:color="auto" w:fill="auto"/>
            <w:vAlign w:val="bottom"/>
          </w:tcPr>
          <w:p w14:paraId="44E3FB07"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O</w:t>
            </w:r>
          </w:p>
        </w:tc>
        <w:tc>
          <w:tcPr>
            <w:tcW w:w="590" w:type="dxa"/>
            <w:tcBorders>
              <w:top w:val="single" w:sz="12" w:space="0" w:color="auto"/>
            </w:tcBorders>
            <w:shd w:val="clear" w:color="auto" w:fill="auto"/>
            <w:vAlign w:val="bottom"/>
          </w:tcPr>
          <w:p w14:paraId="79220382"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X</w:t>
            </w:r>
          </w:p>
        </w:tc>
        <w:tc>
          <w:tcPr>
            <w:tcW w:w="590" w:type="dxa"/>
            <w:tcBorders>
              <w:top w:val="single" w:sz="12" w:space="0" w:color="auto"/>
            </w:tcBorders>
            <w:shd w:val="clear" w:color="auto" w:fill="auto"/>
            <w:vAlign w:val="bottom"/>
          </w:tcPr>
          <w:p w14:paraId="28ED9128"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X</w:t>
            </w:r>
          </w:p>
        </w:tc>
        <w:tc>
          <w:tcPr>
            <w:tcW w:w="590" w:type="dxa"/>
            <w:tcBorders>
              <w:top w:val="single" w:sz="12" w:space="0" w:color="auto"/>
            </w:tcBorders>
            <w:shd w:val="clear" w:color="auto" w:fill="auto"/>
            <w:vAlign w:val="bottom"/>
          </w:tcPr>
          <w:p w14:paraId="3CE679FB"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5A</w:t>
            </w:r>
          </w:p>
        </w:tc>
      </w:tr>
      <w:tr w:rsidR="0099710C" w:rsidRPr="00EE5D2E" w14:paraId="539F178F" w14:textId="77777777" w:rsidTr="00EE5D2E">
        <w:tc>
          <w:tcPr>
            <w:tcW w:w="2650" w:type="dxa"/>
            <w:shd w:val="clear" w:color="auto" w:fill="auto"/>
          </w:tcPr>
          <w:p w14:paraId="3A5C8815" w14:textId="77777777" w:rsidR="0099710C" w:rsidRPr="00EE5D2E" w:rsidRDefault="0099710C" w:rsidP="00EE5D2E">
            <w:pPr>
              <w:widowControl/>
              <w:suppressAutoHyphens w:val="0"/>
              <w:spacing w:before="40" w:after="40" w:line="220" w:lineRule="exact"/>
              <w:rPr>
                <w:rFonts w:ascii="Times New Roman" w:hAnsi="Times New Roman"/>
                <w:sz w:val="18"/>
              </w:rPr>
            </w:pPr>
            <w:r w:rsidRPr="00EE5D2E">
              <w:rPr>
                <w:rFonts w:ascii="Times New Roman" w:hAnsi="Times New Roman"/>
                <w:sz w:val="18"/>
              </w:rPr>
              <w:t>…</w:t>
            </w:r>
          </w:p>
        </w:tc>
        <w:tc>
          <w:tcPr>
            <w:tcW w:w="590" w:type="dxa"/>
            <w:shd w:val="clear" w:color="auto" w:fill="auto"/>
            <w:vAlign w:val="bottom"/>
          </w:tcPr>
          <w:p w14:paraId="0ADD6FB7" w14:textId="77777777" w:rsidR="0099710C" w:rsidRPr="00EE5D2E" w:rsidRDefault="0099710C" w:rsidP="00EE5D2E">
            <w:pPr>
              <w:widowControl/>
              <w:suppressAutoHyphens w:val="0"/>
              <w:spacing w:before="40" w:after="40" w:line="220" w:lineRule="exact"/>
              <w:jc w:val="right"/>
              <w:rPr>
                <w:rFonts w:ascii="Times New Roman" w:hAnsi="Times New Roman"/>
                <w:sz w:val="18"/>
              </w:rPr>
            </w:pPr>
          </w:p>
        </w:tc>
        <w:tc>
          <w:tcPr>
            <w:tcW w:w="590" w:type="dxa"/>
            <w:shd w:val="clear" w:color="auto" w:fill="auto"/>
            <w:vAlign w:val="bottom"/>
          </w:tcPr>
          <w:p w14:paraId="6C136A0A" w14:textId="77777777" w:rsidR="0099710C" w:rsidRPr="00EE5D2E" w:rsidRDefault="0099710C" w:rsidP="00EE5D2E">
            <w:pPr>
              <w:widowControl/>
              <w:suppressAutoHyphens w:val="0"/>
              <w:spacing w:before="40" w:after="40" w:line="220" w:lineRule="exact"/>
              <w:jc w:val="right"/>
              <w:rPr>
                <w:rFonts w:ascii="Times New Roman" w:hAnsi="Times New Roman"/>
                <w:sz w:val="18"/>
              </w:rPr>
            </w:pPr>
          </w:p>
        </w:tc>
        <w:tc>
          <w:tcPr>
            <w:tcW w:w="590" w:type="dxa"/>
            <w:shd w:val="clear" w:color="auto" w:fill="auto"/>
            <w:vAlign w:val="bottom"/>
          </w:tcPr>
          <w:p w14:paraId="3FD7E211" w14:textId="77777777" w:rsidR="0099710C" w:rsidRPr="00EE5D2E" w:rsidRDefault="0099710C" w:rsidP="00EE5D2E">
            <w:pPr>
              <w:widowControl/>
              <w:suppressAutoHyphens w:val="0"/>
              <w:spacing w:before="40" w:after="40" w:line="220" w:lineRule="exact"/>
              <w:jc w:val="right"/>
              <w:rPr>
                <w:rFonts w:ascii="Times New Roman" w:hAnsi="Times New Roman"/>
                <w:sz w:val="18"/>
              </w:rPr>
            </w:pPr>
          </w:p>
        </w:tc>
        <w:tc>
          <w:tcPr>
            <w:tcW w:w="590" w:type="dxa"/>
            <w:shd w:val="clear" w:color="auto" w:fill="auto"/>
            <w:vAlign w:val="bottom"/>
          </w:tcPr>
          <w:p w14:paraId="58087752" w14:textId="77777777" w:rsidR="0099710C" w:rsidRPr="00EE5D2E" w:rsidRDefault="0099710C" w:rsidP="00EE5D2E">
            <w:pPr>
              <w:widowControl/>
              <w:suppressAutoHyphens w:val="0"/>
              <w:spacing w:before="40" w:after="40" w:line="220" w:lineRule="exact"/>
              <w:jc w:val="right"/>
              <w:rPr>
                <w:rFonts w:ascii="Times New Roman" w:hAnsi="Times New Roman"/>
                <w:sz w:val="18"/>
              </w:rPr>
            </w:pPr>
          </w:p>
        </w:tc>
        <w:tc>
          <w:tcPr>
            <w:tcW w:w="590" w:type="dxa"/>
            <w:shd w:val="clear" w:color="auto" w:fill="auto"/>
            <w:vAlign w:val="bottom"/>
          </w:tcPr>
          <w:p w14:paraId="57D67A20" w14:textId="77777777" w:rsidR="0099710C" w:rsidRPr="00EE5D2E" w:rsidRDefault="0099710C" w:rsidP="00EE5D2E">
            <w:pPr>
              <w:widowControl/>
              <w:suppressAutoHyphens w:val="0"/>
              <w:spacing w:before="40" w:after="40" w:line="220" w:lineRule="exact"/>
              <w:jc w:val="right"/>
              <w:rPr>
                <w:rFonts w:ascii="Times New Roman" w:hAnsi="Times New Roman"/>
                <w:sz w:val="18"/>
              </w:rPr>
            </w:pPr>
          </w:p>
        </w:tc>
        <w:tc>
          <w:tcPr>
            <w:tcW w:w="590" w:type="dxa"/>
            <w:shd w:val="clear" w:color="auto" w:fill="auto"/>
            <w:vAlign w:val="bottom"/>
          </w:tcPr>
          <w:p w14:paraId="5A1808B2" w14:textId="77777777" w:rsidR="0099710C" w:rsidRPr="00EE5D2E" w:rsidRDefault="0099710C" w:rsidP="00EE5D2E">
            <w:pPr>
              <w:widowControl/>
              <w:suppressAutoHyphens w:val="0"/>
              <w:spacing w:before="40" w:after="40" w:line="220" w:lineRule="exact"/>
              <w:jc w:val="right"/>
              <w:rPr>
                <w:rFonts w:ascii="Times New Roman" w:hAnsi="Times New Roman"/>
                <w:sz w:val="18"/>
              </w:rPr>
            </w:pPr>
          </w:p>
        </w:tc>
        <w:tc>
          <w:tcPr>
            <w:tcW w:w="590" w:type="dxa"/>
            <w:shd w:val="clear" w:color="auto" w:fill="auto"/>
            <w:vAlign w:val="bottom"/>
          </w:tcPr>
          <w:p w14:paraId="67128428" w14:textId="77777777" w:rsidR="0099710C" w:rsidRPr="00EE5D2E" w:rsidRDefault="0099710C" w:rsidP="00EE5D2E">
            <w:pPr>
              <w:widowControl/>
              <w:suppressAutoHyphens w:val="0"/>
              <w:spacing w:before="40" w:after="40" w:line="220" w:lineRule="exact"/>
              <w:jc w:val="right"/>
              <w:rPr>
                <w:rFonts w:ascii="Times New Roman" w:hAnsi="Times New Roman"/>
                <w:sz w:val="18"/>
              </w:rPr>
            </w:pPr>
          </w:p>
        </w:tc>
        <w:tc>
          <w:tcPr>
            <w:tcW w:w="590" w:type="dxa"/>
            <w:shd w:val="clear" w:color="auto" w:fill="auto"/>
            <w:vAlign w:val="bottom"/>
          </w:tcPr>
          <w:p w14:paraId="4C64D729" w14:textId="77777777" w:rsidR="0099710C" w:rsidRPr="00EE5D2E" w:rsidRDefault="0099710C" w:rsidP="00EE5D2E">
            <w:pPr>
              <w:widowControl/>
              <w:suppressAutoHyphens w:val="0"/>
              <w:spacing w:before="40" w:after="40" w:line="220" w:lineRule="exact"/>
              <w:jc w:val="right"/>
              <w:rPr>
                <w:rFonts w:ascii="Times New Roman" w:hAnsi="Times New Roman"/>
                <w:sz w:val="18"/>
              </w:rPr>
            </w:pPr>
          </w:p>
        </w:tc>
      </w:tr>
      <w:tr w:rsidR="0099710C" w:rsidRPr="00EE5D2E" w14:paraId="692137C4" w14:textId="77777777" w:rsidTr="00EE5D2E">
        <w:tc>
          <w:tcPr>
            <w:tcW w:w="2650" w:type="dxa"/>
            <w:shd w:val="clear" w:color="auto" w:fill="auto"/>
          </w:tcPr>
          <w:p w14:paraId="1957B6B9" w14:textId="77777777" w:rsidR="0099710C" w:rsidRPr="00EE5D2E" w:rsidRDefault="0099710C" w:rsidP="00EE5D2E">
            <w:pPr>
              <w:widowControl/>
              <w:suppressAutoHyphens w:val="0"/>
              <w:spacing w:before="40" w:after="40" w:line="220" w:lineRule="exact"/>
              <w:rPr>
                <w:rFonts w:ascii="Times New Roman" w:hAnsi="Times New Roman"/>
                <w:sz w:val="18"/>
              </w:rPr>
            </w:pPr>
            <w:r w:rsidRPr="00EE5D2E">
              <w:rPr>
                <w:rFonts w:ascii="Times New Roman" w:hAnsi="Times New Roman"/>
                <w:sz w:val="18"/>
              </w:rPr>
              <w:t>Essai du GNL à basse température</w:t>
            </w:r>
          </w:p>
        </w:tc>
        <w:tc>
          <w:tcPr>
            <w:tcW w:w="590" w:type="dxa"/>
            <w:shd w:val="clear" w:color="auto" w:fill="auto"/>
            <w:vAlign w:val="bottom"/>
          </w:tcPr>
          <w:p w14:paraId="55098EA7"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O</w:t>
            </w:r>
          </w:p>
        </w:tc>
        <w:tc>
          <w:tcPr>
            <w:tcW w:w="590" w:type="dxa"/>
            <w:shd w:val="clear" w:color="auto" w:fill="auto"/>
            <w:vAlign w:val="bottom"/>
          </w:tcPr>
          <w:p w14:paraId="6AB28664"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O</w:t>
            </w:r>
          </w:p>
        </w:tc>
        <w:tc>
          <w:tcPr>
            <w:tcW w:w="590" w:type="dxa"/>
            <w:shd w:val="clear" w:color="auto" w:fill="auto"/>
            <w:vAlign w:val="bottom"/>
          </w:tcPr>
          <w:p w14:paraId="5DDA8F7B"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O</w:t>
            </w:r>
          </w:p>
        </w:tc>
        <w:tc>
          <w:tcPr>
            <w:tcW w:w="590" w:type="dxa"/>
            <w:shd w:val="clear" w:color="auto" w:fill="auto"/>
            <w:vAlign w:val="bottom"/>
          </w:tcPr>
          <w:p w14:paraId="24BF43C4"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O</w:t>
            </w:r>
          </w:p>
        </w:tc>
        <w:tc>
          <w:tcPr>
            <w:tcW w:w="590" w:type="dxa"/>
            <w:shd w:val="clear" w:color="auto" w:fill="auto"/>
            <w:vAlign w:val="bottom"/>
          </w:tcPr>
          <w:p w14:paraId="58978720"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O</w:t>
            </w:r>
          </w:p>
        </w:tc>
        <w:tc>
          <w:tcPr>
            <w:tcW w:w="590" w:type="dxa"/>
            <w:shd w:val="clear" w:color="auto" w:fill="auto"/>
            <w:vAlign w:val="bottom"/>
          </w:tcPr>
          <w:p w14:paraId="4827B70F"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X</w:t>
            </w:r>
          </w:p>
        </w:tc>
        <w:tc>
          <w:tcPr>
            <w:tcW w:w="590" w:type="dxa"/>
            <w:shd w:val="clear" w:color="auto" w:fill="auto"/>
            <w:vAlign w:val="bottom"/>
          </w:tcPr>
          <w:p w14:paraId="36A68B86"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O</w:t>
            </w:r>
          </w:p>
        </w:tc>
        <w:tc>
          <w:tcPr>
            <w:tcW w:w="590" w:type="dxa"/>
            <w:shd w:val="clear" w:color="auto" w:fill="auto"/>
            <w:vAlign w:val="bottom"/>
          </w:tcPr>
          <w:p w14:paraId="2E435BB0"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5P</w:t>
            </w:r>
          </w:p>
        </w:tc>
      </w:tr>
      <w:tr w:rsidR="0099710C" w:rsidRPr="00EE5D2E" w14:paraId="4E9D7D49" w14:textId="77777777" w:rsidTr="00EE5D2E">
        <w:tc>
          <w:tcPr>
            <w:tcW w:w="2650" w:type="dxa"/>
            <w:tcBorders>
              <w:bottom w:val="single" w:sz="12" w:space="0" w:color="auto"/>
            </w:tcBorders>
            <w:shd w:val="clear" w:color="auto" w:fill="auto"/>
          </w:tcPr>
          <w:p w14:paraId="3A654953" w14:textId="77777777" w:rsidR="0099710C" w:rsidRPr="00EE5D2E" w:rsidRDefault="0099710C" w:rsidP="00EE5D2E">
            <w:pPr>
              <w:widowControl/>
              <w:suppressAutoHyphens w:val="0"/>
              <w:spacing w:before="40" w:after="40" w:line="220" w:lineRule="exact"/>
              <w:rPr>
                <w:rFonts w:ascii="Times New Roman" w:hAnsi="Times New Roman"/>
                <w:sz w:val="18"/>
              </w:rPr>
            </w:pPr>
            <w:r w:rsidRPr="00EE5D2E">
              <w:rPr>
                <w:rFonts w:ascii="Times New Roman" w:hAnsi="Times New Roman"/>
                <w:sz w:val="18"/>
              </w:rPr>
              <w:lastRenderedPageBreak/>
              <w:t xml:space="preserve">Essai de compatibilité des éléments non métalliques avec les fluides d’échange thermique </w:t>
            </w:r>
          </w:p>
        </w:tc>
        <w:tc>
          <w:tcPr>
            <w:tcW w:w="590" w:type="dxa"/>
            <w:tcBorders>
              <w:bottom w:val="single" w:sz="12" w:space="0" w:color="auto"/>
            </w:tcBorders>
            <w:shd w:val="clear" w:color="auto" w:fill="auto"/>
            <w:vAlign w:val="bottom"/>
          </w:tcPr>
          <w:p w14:paraId="5ABAB6F0"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A</w:t>
            </w:r>
          </w:p>
        </w:tc>
        <w:tc>
          <w:tcPr>
            <w:tcW w:w="590" w:type="dxa"/>
            <w:tcBorders>
              <w:bottom w:val="single" w:sz="12" w:space="0" w:color="auto"/>
            </w:tcBorders>
            <w:shd w:val="clear" w:color="auto" w:fill="auto"/>
            <w:vAlign w:val="bottom"/>
          </w:tcPr>
          <w:p w14:paraId="48090175"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A</w:t>
            </w:r>
          </w:p>
        </w:tc>
        <w:tc>
          <w:tcPr>
            <w:tcW w:w="590" w:type="dxa"/>
            <w:tcBorders>
              <w:bottom w:val="single" w:sz="12" w:space="0" w:color="auto"/>
            </w:tcBorders>
            <w:shd w:val="clear" w:color="auto" w:fill="auto"/>
            <w:vAlign w:val="bottom"/>
          </w:tcPr>
          <w:p w14:paraId="1C89D167"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A</w:t>
            </w:r>
          </w:p>
        </w:tc>
        <w:tc>
          <w:tcPr>
            <w:tcW w:w="590" w:type="dxa"/>
            <w:tcBorders>
              <w:bottom w:val="single" w:sz="12" w:space="0" w:color="auto"/>
            </w:tcBorders>
            <w:shd w:val="clear" w:color="auto" w:fill="auto"/>
            <w:vAlign w:val="bottom"/>
          </w:tcPr>
          <w:p w14:paraId="6E332578"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A</w:t>
            </w:r>
          </w:p>
        </w:tc>
        <w:tc>
          <w:tcPr>
            <w:tcW w:w="590" w:type="dxa"/>
            <w:tcBorders>
              <w:bottom w:val="single" w:sz="12" w:space="0" w:color="auto"/>
            </w:tcBorders>
            <w:shd w:val="clear" w:color="auto" w:fill="auto"/>
            <w:vAlign w:val="bottom"/>
          </w:tcPr>
          <w:p w14:paraId="3B31709E"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A</w:t>
            </w:r>
          </w:p>
        </w:tc>
        <w:tc>
          <w:tcPr>
            <w:tcW w:w="590" w:type="dxa"/>
            <w:tcBorders>
              <w:bottom w:val="single" w:sz="12" w:space="0" w:color="auto"/>
            </w:tcBorders>
            <w:shd w:val="clear" w:color="auto" w:fill="auto"/>
            <w:vAlign w:val="bottom"/>
          </w:tcPr>
          <w:p w14:paraId="72BA3955"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A</w:t>
            </w:r>
          </w:p>
        </w:tc>
        <w:tc>
          <w:tcPr>
            <w:tcW w:w="590" w:type="dxa"/>
            <w:tcBorders>
              <w:bottom w:val="single" w:sz="12" w:space="0" w:color="auto"/>
            </w:tcBorders>
            <w:shd w:val="clear" w:color="auto" w:fill="auto"/>
            <w:vAlign w:val="bottom"/>
          </w:tcPr>
          <w:p w14:paraId="6D366D35"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A</w:t>
            </w:r>
          </w:p>
        </w:tc>
        <w:tc>
          <w:tcPr>
            <w:tcW w:w="590" w:type="dxa"/>
            <w:tcBorders>
              <w:bottom w:val="single" w:sz="12" w:space="0" w:color="auto"/>
            </w:tcBorders>
            <w:shd w:val="clear" w:color="auto" w:fill="auto"/>
            <w:vAlign w:val="bottom"/>
          </w:tcPr>
          <w:p w14:paraId="5C0889DB" w14:textId="77777777" w:rsidR="0099710C" w:rsidRPr="00EE5D2E" w:rsidRDefault="0099710C" w:rsidP="00EE5D2E">
            <w:pPr>
              <w:widowControl/>
              <w:suppressAutoHyphens w:val="0"/>
              <w:spacing w:before="40" w:after="40" w:line="220" w:lineRule="exact"/>
              <w:jc w:val="right"/>
              <w:rPr>
                <w:rFonts w:ascii="Times New Roman" w:hAnsi="Times New Roman"/>
                <w:sz w:val="18"/>
              </w:rPr>
            </w:pPr>
            <w:r w:rsidRPr="00EE5D2E">
              <w:rPr>
                <w:rFonts w:ascii="Times New Roman" w:hAnsi="Times New Roman"/>
                <w:sz w:val="18"/>
              </w:rPr>
              <w:t>5Q</w:t>
            </w:r>
          </w:p>
        </w:tc>
      </w:tr>
    </w:tbl>
    <w:p w14:paraId="0ADC347C" w14:textId="77777777" w:rsidR="00EE5D2E" w:rsidRPr="00EE5D2E" w:rsidRDefault="0099710C" w:rsidP="00EE5D2E">
      <w:pPr>
        <w:pStyle w:val="SingleTxtG"/>
        <w:spacing w:before="120" w:after="0"/>
        <w:ind w:firstLine="170"/>
        <w:rPr>
          <w:sz w:val="18"/>
          <w:szCs w:val="18"/>
        </w:rPr>
      </w:pPr>
      <w:r w:rsidRPr="0099710C">
        <w:rPr>
          <w:sz w:val="18"/>
          <w:szCs w:val="18"/>
        </w:rPr>
        <w:t>X = Applicable</w:t>
      </w:r>
    </w:p>
    <w:p w14:paraId="3CD64028" w14:textId="77777777" w:rsidR="00EE5D2E" w:rsidRPr="00EE5D2E" w:rsidRDefault="0099710C" w:rsidP="00EE5D2E">
      <w:pPr>
        <w:pStyle w:val="SingleTxtG"/>
        <w:spacing w:after="0"/>
        <w:ind w:firstLine="170"/>
        <w:rPr>
          <w:sz w:val="18"/>
          <w:szCs w:val="18"/>
        </w:rPr>
      </w:pPr>
      <w:r w:rsidRPr="0099710C">
        <w:rPr>
          <w:sz w:val="18"/>
          <w:szCs w:val="18"/>
        </w:rPr>
        <w:t>O = Non applicable</w:t>
      </w:r>
    </w:p>
    <w:p w14:paraId="02680079" w14:textId="77777777" w:rsidR="0099710C" w:rsidRPr="0099710C" w:rsidRDefault="0099710C" w:rsidP="00EE5D2E">
      <w:pPr>
        <w:pStyle w:val="SingleTxtG"/>
        <w:ind w:firstLine="170"/>
        <w:rPr>
          <w:sz w:val="18"/>
          <w:szCs w:val="18"/>
        </w:rPr>
      </w:pPr>
      <w:r w:rsidRPr="0099710C">
        <w:rPr>
          <w:sz w:val="18"/>
          <w:szCs w:val="18"/>
        </w:rPr>
        <w:t>A = S’il y a lieu.</w:t>
      </w:r>
    </w:p>
    <w:p w14:paraId="6AE6CF70" w14:textId="77777777" w:rsidR="00C82D10" w:rsidRDefault="0099710C" w:rsidP="00C82D10">
      <w:pPr>
        <w:pStyle w:val="SingleTxtG"/>
        <w:ind w:left="2268"/>
      </w:pPr>
      <w:r w:rsidRPr="0099710C">
        <w:t>Remarques :</w:t>
      </w:r>
    </w:p>
    <w:p w14:paraId="33B0DF58" w14:textId="77777777" w:rsidR="00C82D10" w:rsidRDefault="0099710C" w:rsidP="00C82D10">
      <w:pPr>
        <w:pStyle w:val="SingleTxtG"/>
        <w:ind w:left="2268"/>
      </w:pPr>
      <w:r w:rsidRPr="0099710C">
        <w:t>a)</w:t>
      </w:r>
      <w:r w:rsidRPr="0099710C">
        <w:tab/>
        <w:t>Essai d’étanchéité vers l’intérieur :</w:t>
      </w:r>
      <w:r w:rsidR="00EE5D2E">
        <w:t xml:space="preserve"> </w:t>
      </w:r>
      <w:r w:rsidRPr="0099710C">
        <w:t>… ;</w:t>
      </w:r>
    </w:p>
    <w:p w14:paraId="237513DA" w14:textId="77777777" w:rsidR="00C82D10" w:rsidRDefault="0099710C" w:rsidP="00C82D10">
      <w:pPr>
        <w:pStyle w:val="SingleTxtG"/>
        <w:ind w:left="2268"/>
      </w:pPr>
      <w:r w:rsidRPr="0099710C">
        <w:t>…</w:t>
      </w:r>
    </w:p>
    <w:p w14:paraId="5D8766B7" w14:textId="77777777" w:rsidR="00C82D10" w:rsidRDefault="0099710C" w:rsidP="00C82D10">
      <w:pPr>
        <w:pStyle w:val="SingleTxtG"/>
        <w:ind w:left="2835" w:hanging="567"/>
      </w:pPr>
      <w:r w:rsidRPr="0099710C">
        <w:t>e)</w:t>
      </w:r>
      <w:r w:rsidRPr="0099710C">
        <w:tab/>
        <w:t>Essai de résistance aux vibrations : Applicable si l’organe de la classe considérée comporte des éléments complets qui sont mis en mouvement de façon répétée lorsque le moteur fonctionne ;</w:t>
      </w:r>
    </w:p>
    <w:p w14:paraId="2E7C5020" w14:textId="77777777" w:rsidR="00C82D10" w:rsidRDefault="0099710C" w:rsidP="00C82D10">
      <w:pPr>
        <w:pStyle w:val="SingleTxtG"/>
        <w:ind w:left="2835" w:hanging="567"/>
      </w:pPr>
      <w:r w:rsidRPr="0099710C">
        <w:t>f)</w:t>
      </w:r>
      <w:r w:rsidRPr="0099710C">
        <w:tab/>
        <w:t>Essai de compatibilité des parties non métalliques avec les fluides d’échange thermique : Applicable si l’organe de la classe considérée est constitué de matières en contact avec le fluide caloporteur.</w:t>
      </w:r>
    </w:p>
    <w:p w14:paraId="721AA6B3" w14:textId="77777777" w:rsidR="0099710C" w:rsidRPr="0099710C" w:rsidRDefault="0099710C" w:rsidP="00C82D10">
      <w:pPr>
        <w:pStyle w:val="SingleTxtG"/>
        <w:ind w:left="2835" w:hanging="567"/>
      </w:pPr>
      <w:r w:rsidRPr="0099710C">
        <w:t>Les matériaux</w:t>
      </w:r>
      <w:r w:rsidR="00EE5D2E">
        <w:t xml:space="preserve"> </w:t>
      </w:r>
      <w:r w:rsidRPr="0099710C">
        <w:t>… ».</w:t>
      </w:r>
    </w:p>
    <w:p w14:paraId="037A2162" w14:textId="77777777" w:rsidR="0099710C" w:rsidRPr="0099710C" w:rsidRDefault="0099710C" w:rsidP="0099710C">
      <w:pPr>
        <w:pStyle w:val="SingleTxtG"/>
        <w:spacing w:before="240" w:after="0"/>
        <w:jc w:val="center"/>
        <w:rPr>
          <w:u w:val="single"/>
        </w:rPr>
      </w:pPr>
      <w:r>
        <w:rPr>
          <w:u w:val="single"/>
        </w:rPr>
        <w:tab/>
      </w:r>
      <w:r>
        <w:rPr>
          <w:u w:val="single"/>
        </w:rPr>
        <w:tab/>
      </w:r>
      <w:r>
        <w:rPr>
          <w:u w:val="single"/>
        </w:rPr>
        <w:tab/>
      </w:r>
    </w:p>
    <w:sectPr w:rsidR="0099710C" w:rsidRPr="0099710C" w:rsidSect="00965A36">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20DAA" w14:textId="77777777" w:rsidR="00BA3B12" w:rsidRDefault="00BA3B12"/>
  </w:endnote>
  <w:endnote w:type="continuationSeparator" w:id="0">
    <w:p w14:paraId="3C2508A2" w14:textId="77777777" w:rsidR="00BA3B12" w:rsidRDefault="00BA3B12">
      <w:pPr>
        <w:pStyle w:val="Footer"/>
      </w:pPr>
    </w:p>
  </w:endnote>
  <w:endnote w:type="continuationNotice" w:id="1">
    <w:p w14:paraId="7F9C1FC9" w14:textId="77777777" w:rsidR="00BA3B12" w:rsidRPr="00C451B9" w:rsidRDefault="00BA3B12"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A02FE" w14:textId="77777777" w:rsidR="00965A36" w:rsidRPr="00965A36" w:rsidRDefault="00965A36" w:rsidP="00965A36">
    <w:pPr>
      <w:pStyle w:val="Footer"/>
      <w:tabs>
        <w:tab w:val="right" w:pos="9638"/>
      </w:tabs>
    </w:pPr>
    <w:r w:rsidRPr="00965A36">
      <w:rPr>
        <w:b/>
        <w:sz w:val="18"/>
      </w:rPr>
      <w:fldChar w:fldCharType="begin"/>
    </w:r>
    <w:r w:rsidRPr="00965A36">
      <w:rPr>
        <w:b/>
        <w:sz w:val="18"/>
      </w:rPr>
      <w:instrText xml:space="preserve"> PAGE  \* MERGEFORMAT </w:instrText>
    </w:r>
    <w:r w:rsidRPr="00965A36">
      <w:rPr>
        <w:b/>
        <w:sz w:val="18"/>
      </w:rPr>
      <w:fldChar w:fldCharType="separate"/>
    </w:r>
    <w:r w:rsidRPr="00965A36">
      <w:rPr>
        <w:b/>
        <w:noProof/>
        <w:sz w:val="18"/>
      </w:rPr>
      <w:t>2</w:t>
    </w:r>
    <w:r w:rsidRPr="00965A36">
      <w:rPr>
        <w:b/>
        <w:sz w:val="18"/>
      </w:rPr>
      <w:fldChar w:fldCharType="end"/>
    </w:r>
    <w:r>
      <w:rPr>
        <w:b/>
        <w:sz w:val="18"/>
      </w:rPr>
      <w:tab/>
    </w:r>
    <w:r>
      <w:t>GE.19-20156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9D0A" w14:textId="77777777" w:rsidR="00965A36" w:rsidRPr="00965A36" w:rsidRDefault="00965A36" w:rsidP="00965A36">
    <w:pPr>
      <w:pStyle w:val="Footer"/>
      <w:tabs>
        <w:tab w:val="right" w:pos="9638"/>
      </w:tabs>
      <w:rPr>
        <w:b/>
        <w:sz w:val="18"/>
      </w:rPr>
    </w:pPr>
    <w:r>
      <w:t>GE.19-20156</w:t>
    </w:r>
    <w:r>
      <w:tab/>
    </w:r>
    <w:r w:rsidRPr="00965A36">
      <w:rPr>
        <w:b/>
        <w:sz w:val="18"/>
      </w:rPr>
      <w:fldChar w:fldCharType="begin"/>
    </w:r>
    <w:r w:rsidRPr="00965A36">
      <w:rPr>
        <w:b/>
        <w:sz w:val="18"/>
      </w:rPr>
      <w:instrText xml:space="preserve"> PAGE  \* MERGEFORMAT </w:instrText>
    </w:r>
    <w:r w:rsidRPr="00965A36">
      <w:rPr>
        <w:b/>
        <w:sz w:val="18"/>
      </w:rPr>
      <w:fldChar w:fldCharType="separate"/>
    </w:r>
    <w:r w:rsidRPr="00965A36">
      <w:rPr>
        <w:b/>
        <w:noProof/>
        <w:sz w:val="18"/>
      </w:rPr>
      <w:t>3</w:t>
    </w:r>
    <w:r w:rsidRPr="00965A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EA23" w14:textId="77777777" w:rsidR="00467F2C" w:rsidRPr="00965A36" w:rsidRDefault="00965A36" w:rsidP="00965A36">
    <w:pPr>
      <w:pStyle w:val="Footer"/>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19F77062" wp14:editId="449F1879">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20156  (</w:t>
    </w:r>
    <w:proofErr w:type="gramEnd"/>
    <w:r>
      <w:rPr>
        <w:sz w:val="20"/>
      </w:rPr>
      <w:t>F)    031219    091219</w:t>
    </w:r>
    <w:r>
      <w:rPr>
        <w:sz w:val="20"/>
      </w:rPr>
      <w:br/>
    </w:r>
    <w:r w:rsidRPr="00965A36">
      <w:rPr>
        <w:rFonts w:ascii="C39T30Lfz" w:hAnsi="C39T30Lfz"/>
        <w:sz w:val="56"/>
      </w:rPr>
      <w:t></w:t>
    </w:r>
    <w:r w:rsidRPr="00965A36">
      <w:rPr>
        <w:rFonts w:ascii="C39T30Lfz" w:hAnsi="C39T30Lfz"/>
        <w:sz w:val="56"/>
      </w:rPr>
      <w:t></w:t>
    </w:r>
    <w:r w:rsidRPr="00965A36">
      <w:rPr>
        <w:rFonts w:ascii="C39T30Lfz" w:hAnsi="C39T30Lfz"/>
        <w:sz w:val="56"/>
      </w:rPr>
      <w:t></w:t>
    </w:r>
    <w:r w:rsidRPr="00965A36">
      <w:rPr>
        <w:rFonts w:ascii="C39T30Lfz" w:hAnsi="C39T30Lfz"/>
        <w:sz w:val="56"/>
      </w:rPr>
      <w:t></w:t>
    </w:r>
    <w:r w:rsidRPr="00965A36">
      <w:rPr>
        <w:rFonts w:ascii="C39T30Lfz" w:hAnsi="C39T30Lfz"/>
        <w:sz w:val="56"/>
      </w:rPr>
      <w:t></w:t>
    </w:r>
    <w:r w:rsidRPr="00965A36">
      <w:rPr>
        <w:rFonts w:ascii="C39T30Lfz" w:hAnsi="C39T30Lfz"/>
        <w:sz w:val="56"/>
      </w:rPr>
      <w:t></w:t>
    </w:r>
    <w:r w:rsidRPr="00965A36">
      <w:rPr>
        <w:rFonts w:ascii="C39T30Lfz" w:hAnsi="C39T30Lfz"/>
        <w:sz w:val="56"/>
      </w:rPr>
      <w:t></w:t>
    </w:r>
    <w:r w:rsidRPr="00965A36">
      <w:rPr>
        <w:rFonts w:ascii="C39T30Lfz" w:hAnsi="C39T30Lfz"/>
        <w:sz w:val="56"/>
      </w:rPr>
      <w:t></w:t>
    </w:r>
    <w:r w:rsidRPr="00965A36">
      <w:rPr>
        <w:rFonts w:ascii="C39T30Lfz" w:hAnsi="C39T30Lfz"/>
        <w:sz w:val="56"/>
      </w:rPr>
      <w:t></w:t>
    </w:r>
    <w:r>
      <w:rPr>
        <w:noProof/>
        <w:sz w:val="20"/>
      </w:rPr>
      <w:drawing>
        <wp:anchor distT="0" distB="0" distL="114300" distR="114300" simplePos="0" relativeHeight="251658240" behindDoc="0" locked="0" layoutInCell="1" allowOverlap="1" wp14:anchorId="385F6CCE" wp14:editId="3FDDE1F1">
          <wp:simplePos x="0" y="0"/>
          <wp:positionH relativeFrom="margin">
            <wp:posOffset>5489575</wp:posOffset>
          </wp:positionH>
          <wp:positionV relativeFrom="margin">
            <wp:posOffset>8891905</wp:posOffset>
          </wp:positionV>
          <wp:extent cx="638175" cy="638175"/>
          <wp:effectExtent l="0" t="0" r="9525" b="9525"/>
          <wp:wrapNone/>
          <wp:docPr id="1" name="Picture 1" descr="https://undocs.org/m2/QRCode.ashx?DS=E/ECE/324/Rev.2/Add.109/Rev.5/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9/Rev.5/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58D87" w14:textId="77777777" w:rsidR="00BA3B12" w:rsidRPr="00D27D5E" w:rsidRDefault="00BA3B12" w:rsidP="00D27D5E">
      <w:pPr>
        <w:tabs>
          <w:tab w:val="right" w:pos="2155"/>
        </w:tabs>
        <w:spacing w:after="80"/>
        <w:ind w:left="680"/>
        <w:rPr>
          <w:u w:val="single"/>
        </w:rPr>
      </w:pPr>
      <w:r>
        <w:rPr>
          <w:u w:val="single"/>
        </w:rPr>
        <w:tab/>
      </w:r>
    </w:p>
  </w:footnote>
  <w:footnote w:type="continuationSeparator" w:id="0">
    <w:p w14:paraId="162955F4" w14:textId="77777777" w:rsidR="00BA3B12" w:rsidRPr="00D171D4" w:rsidRDefault="00BA3B12" w:rsidP="00D171D4">
      <w:pPr>
        <w:tabs>
          <w:tab w:val="right" w:pos="2155"/>
        </w:tabs>
        <w:spacing w:after="80"/>
        <w:ind w:left="680"/>
        <w:rPr>
          <w:u w:val="single"/>
        </w:rPr>
      </w:pPr>
      <w:r w:rsidRPr="00D171D4">
        <w:rPr>
          <w:u w:val="single"/>
        </w:rPr>
        <w:tab/>
      </w:r>
    </w:p>
  </w:footnote>
  <w:footnote w:type="continuationNotice" w:id="1">
    <w:p w14:paraId="1FF65093" w14:textId="77777777" w:rsidR="00BA3B12" w:rsidRPr="00C451B9" w:rsidRDefault="00BA3B12" w:rsidP="00C451B9">
      <w:pPr>
        <w:spacing w:line="240" w:lineRule="auto"/>
        <w:rPr>
          <w:sz w:val="2"/>
          <w:szCs w:val="2"/>
        </w:rPr>
      </w:pPr>
    </w:p>
  </w:footnote>
  <w:footnote w:id="2">
    <w:p w14:paraId="3E31C2DA" w14:textId="77777777"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14:paraId="160CF90B" w14:textId="77777777" w:rsidR="00591072" w:rsidRPr="00591072" w:rsidRDefault="00591072" w:rsidP="00591072">
      <w:pPr>
        <w:pStyle w:val="FootnoteText"/>
      </w:pPr>
      <w:r w:rsidRPr="00965A36">
        <w:tab/>
      </w:r>
      <w:r w:rsidRPr="00965A36">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0ABAD84B" w14:textId="77777777" w:rsidR="00442E31" w:rsidRPr="00442E31" w:rsidRDefault="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29D40" w14:textId="000E7040" w:rsidR="00965A36" w:rsidRPr="00965A36" w:rsidRDefault="00965A36">
    <w:pPr>
      <w:pStyle w:val="Header"/>
      <w:rPr>
        <w:lang w:val="en-US"/>
      </w:rPr>
    </w:pPr>
    <w:r>
      <w:fldChar w:fldCharType="begin"/>
    </w:r>
    <w:r w:rsidRPr="00965A36">
      <w:rPr>
        <w:lang w:val="en-US"/>
      </w:rPr>
      <w:instrText xml:space="preserve"> TITLE  \* MERGEFORMAT </w:instrText>
    </w:r>
    <w:r>
      <w:fldChar w:fldCharType="separate"/>
    </w:r>
    <w:r w:rsidR="005E14E3">
      <w:rPr>
        <w:lang w:val="en-US"/>
      </w:rPr>
      <w:t>E/ECE/324/Rev.2/Add.109/Rev.5/Amend.3</w:t>
    </w:r>
    <w:r>
      <w:fldChar w:fldCharType="end"/>
    </w:r>
    <w:r w:rsidRPr="00965A36">
      <w:rPr>
        <w:lang w:val="en-US"/>
      </w:rPr>
      <w:br/>
    </w:r>
    <w:r>
      <w:fldChar w:fldCharType="begin"/>
    </w:r>
    <w:r w:rsidRPr="00965A36">
      <w:rPr>
        <w:lang w:val="en-US"/>
      </w:rPr>
      <w:instrText xml:space="preserve"> KEYWORDS  \* MERGEFORMAT </w:instrText>
    </w:r>
    <w:r>
      <w:fldChar w:fldCharType="separate"/>
    </w:r>
    <w:r w:rsidR="005E14E3">
      <w:rPr>
        <w:lang w:val="en-US"/>
      </w:rPr>
      <w:t>E/ECE/TRANS/505/Rev.2/Add.109/Rev.5/Amend.3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1BEC" w14:textId="61A7284B" w:rsidR="00965A36" w:rsidRPr="00965A36" w:rsidRDefault="00965A36" w:rsidP="00965A36">
    <w:pPr>
      <w:pStyle w:val="Header"/>
      <w:jc w:val="right"/>
      <w:rPr>
        <w:lang w:val="en-US"/>
      </w:rPr>
    </w:pPr>
    <w:r>
      <w:fldChar w:fldCharType="begin"/>
    </w:r>
    <w:r w:rsidRPr="00965A36">
      <w:rPr>
        <w:lang w:val="en-US"/>
      </w:rPr>
      <w:instrText xml:space="preserve"> TITLE  \* MERGEFORMAT </w:instrText>
    </w:r>
    <w:r>
      <w:fldChar w:fldCharType="separate"/>
    </w:r>
    <w:r w:rsidR="005E14E3">
      <w:rPr>
        <w:lang w:val="en-US"/>
      </w:rPr>
      <w:t>E/ECE/324/Rev.2/Add.109/Rev.5/Amend.3</w:t>
    </w:r>
    <w:r>
      <w:fldChar w:fldCharType="end"/>
    </w:r>
    <w:r w:rsidRPr="00965A36">
      <w:rPr>
        <w:lang w:val="en-US"/>
      </w:rPr>
      <w:br/>
    </w:r>
    <w:r>
      <w:fldChar w:fldCharType="begin"/>
    </w:r>
    <w:r w:rsidRPr="00965A36">
      <w:rPr>
        <w:lang w:val="en-US"/>
      </w:rPr>
      <w:instrText xml:space="preserve"> KEYWORDS  \* MERGEFORMAT </w:instrText>
    </w:r>
    <w:r>
      <w:fldChar w:fldCharType="separate"/>
    </w:r>
    <w:r w:rsidR="005E14E3">
      <w:rPr>
        <w:lang w:val="en-US"/>
      </w:rPr>
      <w:t>E/ECE/TRANS/505/Rev.2/Add.109/Rev.5/Amend.3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12"/>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5B"/>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750D2"/>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4E4E"/>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BD4"/>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4F1BB8"/>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4E3"/>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36A40"/>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034B"/>
    <w:rsid w:val="007D222D"/>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65A36"/>
    <w:rsid w:val="009707E4"/>
    <w:rsid w:val="00973B8F"/>
    <w:rsid w:val="00974DD2"/>
    <w:rsid w:val="00977EC8"/>
    <w:rsid w:val="00996562"/>
    <w:rsid w:val="0099710C"/>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4735"/>
    <w:rsid w:val="00AE79AC"/>
    <w:rsid w:val="00B01AAD"/>
    <w:rsid w:val="00B06607"/>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A3B12"/>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82D10"/>
    <w:rsid w:val="00C95EB8"/>
    <w:rsid w:val="00CA0756"/>
    <w:rsid w:val="00CA23B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E5D2E"/>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F281B64"/>
  <w15:docId w15:val="{D297FCDB-9748-408C-88EC-2D658091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table" w:customStyle="1" w:styleId="TableNormal1">
    <w:name w:val="Table Normal1"/>
    <w:uiPriority w:val="2"/>
    <w:semiHidden/>
    <w:unhideWhenUsed/>
    <w:qFormat/>
    <w:rsid w:val="0099710C"/>
    <w:pPr>
      <w:widowControl w:val="0"/>
    </w:pPr>
    <w:rPr>
      <w:rFonts w:ascii="Calibri" w:eastAsia="Calibri" w:hAnsi="Calibr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3006</Words>
  <Characters>17136</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E/ECE/324/Rev.2/Add.109/Rev.5/Amend.3</vt:lpstr>
      <vt:lpstr>E/ECE/324/Rev</vt:lpstr>
    </vt:vector>
  </TitlesOfParts>
  <Company>CSD</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E/ECE/324/Rev.2/Add.109/Rev.5/Amend.3</dc:title>
  <dc:creator>Thi Kim Thao VU</dc:creator>
  <cp:keywords>E/ECE/TRANS/505/Rev.2/Add.109/Rev.5/Amend.3</cp:keywords>
  <cp:lastModifiedBy>Marie-Claude Collet</cp:lastModifiedBy>
  <cp:revision>3</cp:revision>
  <cp:lastPrinted>2019-12-09T14:29:00Z</cp:lastPrinted>
  <dcterms:created xsi:type="dcterms:W3CDTF">2019-12-09T14:28:00Z</dcterms:created>
  <dcterms:modified xsi:type="dcterms:W3CDTF">2019-12-09T14:29:00Z</dcterms:modified>
</cp:coreProperties>
</file>