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12686" w:rsidRPr="00D319ED" w:rsidTr="00BB50CC">
        <w:trPr>
          <w:cantSplit/>
          <w:trHeight w:hRule="exact" w:val="851"/>
        </w:trPr>
        <w:tc>
          <w:tcPr>
            <w:tcW w:w="1276" w:type="dxa"/>
            <w:tcBorders>
              <w:bottom w:val="single" w:sz="4" w:space="0" w:color="auto"/>
            </w:tcBorders>
            <w:vAlign w:val="bottom"/>
          </w:tcPr>
          <w:p w:rsidR="00212686" w:rsidRDefault="00212686" w:rsidP="00212686">
            <w:bookmarkStart w:id="0" w:name="_Hlk4776541"/>
            <w:bookmarkStart w:id="1" w:name="_Hlk22630451"/>
            <w:bookmarkStart w:id="2" w:name="_GoBack"/>
            <w:bookmarkEnd w:id="0"/>
            <w:bookmarkEnd w:id="2"/>
          </w:p>
        </w:tc>
        <w:tc>
          <w:tcPr>
            <w:tcW w:w="8363" w:type="dxa"/>
            <w:gridSpan w:val="2"/>
            <w:tcBorders>
              <w:bottom w:val="single" w:sz="4" w:space="0" w:color="auto"/>
            </w:tcBorders>
            <w:vAlign w:val="bottom"/>
          </w:tcPr>
          <w:p w:rsidR="00212686" w:rsidRPr="00212686" w:rsidRDefault="00212686" w:rsidP="00212686">
            <w:pPr>
              <w:jc w:val="right"/>
              <w:rPr>
                <w:lang w:val="en-GB"/>
              </w:rPr>
            </w:pPr>
            <w:bookmarkStart w:id="3" w:name="_Hlk22722095"/>
            <w:r w:rsidRPr="00212686">
              <w:rPr>
                <w:sz w:val="40"/>
                <w:lang w:val="en-GB"/>
              </w:rPr>
              <w:t>E</w:t>
            </w:r>
            <w:r w:rsidRPr="00212686">
              <w:rPr>
                <w:lang w:val="en-GB"/>
              </w:rPr>
              <w:t>/ECE/324/Rev.2/Add.109/Rev.5/Amend.2−</w:t>
            </w:r>
            <w:r w:rsidRPr="00212686">
              <w:rPr>
                <w:sz w:val="40"/>
                <w:lang w:val="en-GB"/>
              </w:rPr>
              <w:t>E</w:t>
            </w:r>
            <w:r w:rsidRPr="00212686">
              <w:rPr>
                <w:lang w:val="en-GB"/>
              </w:rPr>
              <w:t>/ECE/TRANS/505/Rev.2/Add.109/Rev.5/Amend.2</w:t>
            </w:r>
            <w:bookmarkEnd w:id="3"/>
          </w:p>
        </w:tc>
      </w:tr>
      <w:tr w:rsidR="00212686" w:rsidTr="00BB50CC">
        <w:trPr>
          <w:cantSplit/>
          <w:trHeight w:hRule="exact" w:val="1582"/>
        </w:trPr>
        <w:tc>
          <w:tcPr>
            <w:tcW w:w="1276" w:type="dxa"/>
            <w:tcBorders>
              <w:top w:val="single" w:sz="4" w:space="0" w:color="auto"/>
              <w:bottom w:val="single" w:sz="12" w:space="0" w:color="auto"/>
            </w:tcBorders>
          </w:tcPr>
          <w:p w:rsidR="00212686" w:rsidRPr="00212686" w:rsidRDefault="00212686" w:rsidP="00212686">
            <w:pPr>
              <w:spacing w:before="120"/>
              <w:rPr>
                <w:lang w:val="en-GB"/>
              </w:rPr>
            </w:pPr>
          </w:p>
        </w:tc>
        <w:tc>
          <w:tcPr>
            <w:tcW w:w="5528" w:type="dxa"/>
            <w:tcBorders>
              <w:top w:val="single" w:sz="4" w:space="0" w:color="auto"/>
              <w:bottom w:val="single" w:sz="12" w:space="0" w:color="auto"/>
            </w:tcBorders>
          </w:tcPr>
          <w:p w:rsidR="00212686" w:rsidRPr="00212686" w:rsidRDefault="00212686" w:rsidP="00212686">
            <w:pPr>
              <w:spacing w:before="120"/>
              <w:rPr>
                <w:lang w:val="en-GB"/>
              </w:rPr>
            </w:pPr>
          </w:p>
        </w:tc>
        <w:tc>
          <w:tcPr>
            <w:tcW w:w="2835" w:type="dxa"/>
            <w:tcBorders>
              <w:top w:val="single" w:sz="4" w:space="0" w:color="auto"/>
              <w:bottom w:val="single" w:sz="12" w:space="0" w:color="auto"/>
            </w:tcBorders>
          </w:tcPr>
          <w:p w:rsidR="00212686" w:rsidRPr="00212686" w:rsidRDefault="00212686" w:rsidP="00212686">
            <w:pPr>
              <w:spacing w:before="120"/>
              <w:rPr>
                <w:highlight w:val="yellow"/>
                <w:lang w:val="en-GB"/>
              </w:rPr>
            </w:pPr>
          </w:p>
          <w:p w:rsidR="00212686" w:rsidRPr="00212686" w:rsidRDefault="00212686" w:rsidP="00212686">
            <w:pPr>
              <w:spacing w:before="120"/>
              <w:rPr>
                <w:highlight w:val="yellow"/>
                <w:lang w:val="en-GB"/>
              </w:rPr>
            </w:pPr>
          </w:p>
          <w:p w:rsidR="00212686" w:rsidRPr="006D6E88" w:rsidRDefault="00B60D93" w:rsidP="00212686">
            <w:pPr>
              <w:spacing w:before="120"/>
              <w:rPr>
                <w:highlight w:val="yellow"/>
              </w:rPr>
            </w:pPr>
            <w:r>
              <w:t>21</w:t>
            </w:r>
            <w:r w:rsidR="009930EC">
              <w:t xml:space="preserve"> </w:t>
            </w:r>
            <w:proofErr w:type="spellStart"/>
            <w:r w:rsidR="009930EC">
              <w:t>November</w:t>
            </w:r>
            <w:proofErr w:type="spellEnd"/>
            <w:r w:rsidR="00212686" w:rsidRPr="009930EC">
              <w:t xml:space="preserve"> 2019</w:t>
            </w:r>
          </w:p>
        </w:tc>
      </w:tr>
    </w:tbl>
    <w:p w:rsidR="00212686" w:rsidRPr="00392A12" w:rsidRDefault="00212686" w:rsidP="00212686">
      <w:pPr>
        <w:pStyle w:val="HChG"/>
        <w:spacing w:before="240" w:after="120"/>
      </w:pPr>
      <w:r w:rsidRPr="00392A12">
        <w:tab/>
      </w:r>
      <w:r w:rsidRPr="00392A12">
        <w:tab/>
      </w:r>
      <w:bookmarkStart w:id="4" w:name="_Toc340666199"/>
      <w:bookmarkStart w:id="5" w:name="_Toc340745062"/>
      <w:r w:rsidRPr="00392A12">
        <w:t>Agreement</w:t>
      </w:r>
      <w:bookmarkEnd w:id="4"/>
      <w:bookmarkEnd w:id="5"/>
    </w:p>
    <w:p w:rsidR="00212686" w:rsidRPr="00212686" w:rsidRDefault="00212686" w:rsidP="00212686">
      <w:pPr>
        <w:pStyle w:val="H1G"/>
        <w:spacing w:before="240"/>
        <w:rPr>
          <w:lang w:val="en-GB"/>
        </w:rPr>
      </w:pPr>
      <w:r w:rsidRPr="00212686">
        <w:rPr>
          <w:rStyle w:val="H1GChar"/>
          <w:lang w:val="en-GB"/>
        </w:rPr>
        <w:tab/>
      </w:r>
      <w:r w:rsidRPr="00212686">
        <w:rPr>
          <w:rStyle w:val="H1GChar"/>
          <w:lang w:val="en-GB"/>
        </w:rPr>
        <w:tab/>
      </w:r>
      <w:r w:rsidRPr="00212686">
        <w:rPr>
          <w:lang w:val="en-GB"/>
        </w:rPr>
        <w:t>Concerning the</w:t>
      </w:r>
      <w:r w:rsidRPr="00212686">
        <w:rPr>
          <w:smallCaps/>
          <w:lang w:val="en-GB"/>
        </w:rPr>
        <w:t xml:space="preserve"> </w:t>
      </w:r>
      <w:r w:rsidRPr="00212686">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212686">
        <w:rPr>
          <w:lang w:val="en-GB"/>
        </w:rPr>
        <w:t>on the Basis of</w:t>
      </w:r>
      <w:proofErr w:type="gramEnd"/>
      <w:r w:rsidRPr="00212686">
        <w:rPr>
          <w:lang w:val="en-GB"/>
        </w:rPr>
        <w:t xml:space="preserve"> these United Nations Regulations</w:t>
      </w:r>
      <w:r w:rsidRPr="00212686">
        <w:rPr>
          <w:rStyle w:val="FootnoteReference"/>
          <w:b w:val="0"/>
          <w:sz w:val="20"/>
          <w:lang w:val="en-GB"/>
        </w:rPr>
        <w:footnoteReference w:customMarkFollows="1" w:id="2"/>
        <w:t>*</w:t>
      </w:r>
    </w:p>
    <w:p w:rsidR="00212686" w:rsidRPr="00212686" w:rsidRDefault="00212686" w:rsidP="00212686">
      <w:pPr>
        <w:pStyle w:val="SingleTxtG"/>
        <w:spacing w:before="120"/>
        <w:rPr>
          <w:lang w:val="en-GB"/>
        </w:rPr>
      </w:pPr>
      <w:r w:rsidRPr="00212686">
        <w:rPr>
          <w:lang w:val="en-GB"/>
        </w:rPr>
        <w:t>(Revision 3, including the amendments which entered into force on 14 September 2017)</w:t>
      </w:r>
    </w:p>
    <w:p w:rsidR="00212686" w:rsidRPr="00212686" w:rsidRDefault="00212686" w:rsidP="00212686">
      <w:pPr>
        <w:pStyle w:val="H1G"/>
        <w:spacing w:before="120"/>
        <w:ind w:left="0" w:right="0" w:firstLine="0"/>
        <w:jc w:val="center"/>
        <w:rPr>
          <w:lang w:val="en-GB"/>
        </w:rPr>
      </w:pPr>
      <w:r w:rsidRPr="00212686">
        <w:rPr>
          <w:lang w:val="en-GB"/>
        </w:rPr>
        <w:t>_________</w:t>
      </w:r>
    </w:p>
    <w:p w:rsidR="00212686" w:rsidRPr="00212686" w:rsidRDefault="00212686" w:rsidP="00212686">
      <w:pPr>
        <w:pStyle w:val="H1G"/>
        <w:spacing w:before="240" w:after="120"/>
        <w:rPr>
          <w:lang w:val="en-GB"/>
        </w:rPr>
      </w:pPr>
      <w:r w:rsidRPr="00212686">
        <w:rPr>
          <w:lang w:val="en-GB"/>
        </w:rPr>
        <w:tab/>
      </w:r>
      <w:r w:rsidRPr="00212686">
        <w:rPr>
          <w:lang w:val="en-GB"/>
        </w:rPr>
        <w:tab/>
        <w:t>Addendum 109 – UN Regulation No. 110</w:t>
      </w:r>
    </w:p>
    <w:p w:rsidR="00212686" w:rsidRPr="00212686" w:rsidRDefault="00212686" w:rsidP="00212686">
      <w:pPr>
        <w:pStyle w:val="H1G"/>
        <w:spacing w:before="240"/>
        <w:rPr>
          <w:lang w:val="en-GB"/>
        </w:rPr>
      </w:pPr>
      <w:r w:rsidRPr="00212686">
        <w:rPr>
          <w:lang w:val="en-GB"/>
        </w:rPr>
        <w:tab/>
      </w:r>
      <w:r w:rsidRPr="00212686">
        <w:rPr>
          <w:lang w:val="en-GB"/>
        </w:rPr>
        <w:tab/>
        <w:t>Revision 5 – Amendment 2</w:t>
      </w:r>
    </w:p>
    <w:p w:rsidR="00212686" w:rsidRPr="00212686" w:rsidRDefault="00212686" w:rsidP="00212686">
      <w:pPr>
        <w:pStyle w:val="SingleTxtG"/>
        <w:spacing w:after="360"/>
        <w:rPr>
          <w:spacing w:val="-2"/>
          <w:lang w:val="en-GB"/>
        </w:rPr>
      </w:pPr>
      <w:r w:rsidRPr="00212686">
        <w:rPr>
          <w:spacing w:val="-2"/>
          <w:lang w:val="en-GB"/>
        </w:rPr>
        <w:t xml:space="preserve">Supplement 2 to 03 series of amendments – Date of entry into force: </w:t>
      </w:r>
      <w:r w:rsidRPr="00212686">
        <w:rPr>
          <w:lang w:val="en-GB"/>
        </w:rPr>
        <w:t>15 October 2019</w:t>
      </w:r>
    </w:p>
    <w:p w:rsidR="00212686" w:rsidRDefault="00212686" w:rsidP="00212686">
      <w:pPr>
        <w:pStyle w:val="H1G"/>
        <w:spacing w:before="120" w:after="120" w:line="240" w:lineRule="exact"/>
        <w:rPr>
          <w:lang w:val="en-US"/>
        </w:rPr>
      </w:pPr>
      <w:r>
        <w:rPr>
          <w:lang w:val="en-US"/>
        </w:rPr>
        <w:tab/>
      </w:r>
      <w:r>
        <w:rPr>
          <w:lang w:val="en-US"/>
        </w:rPr>
        <w:tab/>
      </w:r>
      <w:r>
        <w:rPr>
          <w:lang w:val="en-GB"/>
        </w:rPr>
        <w:t>CNG and LNG vehicles</w:t>
      </w:r>
    </w:p>
    <w:p w:rsidR="00212686" w:rsidRPr="00212686" w:rsidRDefault="00212686" w:rsidP="00212686">
      <w:pPr>
        <w:pStyle w:val="SingleTxtG"/>
        <w:spacing w:after="40"/>
        <w:rPr>
          <w:lang w:val="en-GB" w:eastAsia="en-GB"/>
        </w:rPr>
      </w:pPr>
      <w:r w:rsidRPr="00212686">
        <w:rPr>
          <w:spacing w:val="-4"/>
          <w:lang w:val="en-GB" w:eastAsia="en-GB"/>
        </w:rPr>
        <w:t>This document is meant purely as documentation tool. The authentic and legal binding text is:</w:t>
      </w:r>
      <w:r w:rsidRPr="00212686">
        <w:rPr>
          <w:lang w:val="en-GB" w:eastAsia="en-GB"/>
        </w:rPr>
        <w:t xml:space="preserve"> </w:t>
      </w:r>
      <w:r w:rsidRPr="00212686">
        <w:rPr>
          <w:spacing w:val="-6"/>
          <w:lang w:val="en-GB" w:eastAsia="en-GB"/>
        </w:rPr>
        <w:t>ECE/TRANS/WP.29/2019/13</w:t>
      </w:r>
      <w:r w:rsidR="00D319ED">
        <w:rPr>
          <w:spacing w:val="-6"/>
          <w:lang w:val="en-GB" w:eastAsia="en-GB"/>
        </w:rPr>
        <w:t xml:space="preserve"> as amended by paragraph 104 in document ECE/TRANS/WP.29/1145</w:t>
      </w:r>
      <w:r w:rsidR="009930EC">
        <w:rPr>
          <w:spacing w:val="-6"/>
          <w:lang w:val="en-GB" w:eastAsia="en-GB"/>
        </w:rPr>
        <w:t>.</w:t>
      </w:r>
    </w:p>
    <w:p w:rsidR="00212686" w:rsidRPr="00D319ED" w:rsidRDefault="00212686" w:rsidP="00212686">
      <w:pPr>
        <w:suppressAutoHyphens w:val="0"/>
        <w:spacing w:line="240" w:lineRule="auto"/>
        <w:jc w:val="center"/>
        <w:rPr>
          <w:b/>
          <w:sz w:val="24"/>
          <w:lang w:val="en-GB"/>
        </w:rPr>
      </w:pPr>
      <w:r>
        <w:rPr>
          <w:b/>
          <w:noProof/>
          <w:sz w:val="24"/>
          <w:lang w:val="en-US"/>
        </w:rPr>
        <w:drawing>
          <wp:anchor distT="0" distB="137160" distL="114300" distR="114300" simplePos="0" relativeHeight="251659264" behindDoc="0" locked="0" layoutInCell="1" allowOverlap="1" wp14:anchorId="19A3C39C" wp14:editId="3A93F078">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D319ED">
        <w:rPr>
          <w:b/>
          <w:sz w:val="24"/>
          <w:lang w:val="en-GB"/>
        </w:rPr>
        <w:t>_________</w:t>
      </w:r>
    </w:p>
    <w:p w:rsidR="00212686" w:rsidRPr="00D319ED" w:rsidRDefault="00212686" w:rsidP="00212686">
      <w:pPr>
        <w:suppressAutoHyphens w:val="0"/>
        <w:spacing w:line="240" w:lineRule="auto"/>
        <w:jc w:val="center"/>
        <w:rPr>
          <w:u w:val="single"/>
          <w:lang w:val="en-GB"/>
        </w:rPr>
      </w:pPr>
      <w:r w:rsidRPr="00D319ED">
        <w:rPr>
          <w:b/>
          <w:sz w:val="24"/>
          <w:lang w:val="en-GB"/>
        </w:rPr>
        <w:t>UNITED NATIONS</w:t>
      </w:r>
      <w:bookmarkEnd w:id="1"/>
    </w:p>
    <w:p w:rsidR="00212686" w:rsidRDefault="00212686">
      <w:pPr>
        <w:suppressAutoHyphens w:val="0"/>
        <w:spacing w:line="240" w:lineRule="auto"/>
        <w:rPr>
          <w:b/>
          <w:sz w:val="28"/>
          <w:lang w:val="en-GB" w:eastAsia="ar-SA"/>
        </w:rPr>
      </w:pPr>
      <w:r>
        <w:rPr>
          <w:lang w:val="en-GB" w:eastAsia="ar-SA"/>
        </w:rPr>
        <w:br w:type="page"/>
      </w:r>
    </w:p>
    <w:p w:rsidR="00172DFB" w:rsidRDefault="00172DFB" w:rsidP="00172DFB">
      <w:pPr>
        <w:pStyle w:val="HChG"/>
        <w:rPr>
          <w:lang w:val="en-GB" w:eastAsia="ar-SA"/>
        </w:rPr>
      </w:pPr>
      <w:r>
        <w:rPr>
          <w:lang w:val="en-GB" w:eastAsia="ar-SA"/>
        </w:rPr>
        <w:lastRenderedPageBreak/>
        <w:tab/>
      </w:r>
      <w:r>
        <w:rPr>
          <w:lang w:val="en-GB" w:eastAsia="ar-SA"/>
        </w:rPr>
        <w:tab/>
      </w:r>
      <w:r w:rsidR="000A521A" w:rsidRPr="000A521A">
        <w:rPr>
          <w:lang w:val="en-GB"/>
        </w:rPr>
        <w:t>Supplement 2 to th</w:t>
      </w:r>
      <w:r w:rsidR="00EE53FA">
        <w:rPr>
          <w:lang w:val="en-GB"/>
        </w:rPr>
        <w:t>e 03 series of amendments to UN </w:t>
      </w:r>
      <w:r w:rsidR="000A521A" w:rsidRPr="000A521A">
        <w:rPr>
          <w:lang w:val="en-GB"/>
        </w:rPr>
        <w:t>Regulation No. 110 (CNG and LNG vehicles)</w:t>
      </w:r>
    </w:p>
    <w:p w:rsidR="004723B9" w:rsidRPr="00EE53FA" w:rsidRDefault="004723B9" w:rsidP="004723B9">
      <w:pPr>
        <w:tabs>
          <w:tab w:val="left" w:pos="2268"/>
        </w:tabs>
        <w:spacing w:before="120" w:after="120" w:line="240" w:lineRule="auto"/>
        <w:ind w:left="2268" w:right="1134" w:hanging="1134"/>
        <w:jc w:val="both"/>
        <w:rPr>
          <w:lang w:val="en-GB"/>
        </w:rPr>
      </w:pPr>
      <w:r w:rsidRPr="00EE53FA">
        <w:rPr>
          <w:i/>
          <w:lang w:val="en-GB"/>
        </w:rPr>
        <w:t>Paragraphs 4.32. and 4.33.</w:t>
      </w:r>
      <w:r w:rsidRPr="00EE53FA">
        <w:rPr>
          <w:lang w:val="en-GB"/>
        </w:rPr>
        <w:t>, amend to read:</w:t>
      </w:r>
    </w:p>
    <w:p w:rsidR="004723B9" w:rsidRPr="00EE53FA" w:rsidRDefault="004723B9" w:rsidP="004723B9">
      <w:pPr>
        <w:tabs>
          <w:tab w:val="left" w:pos="2268"/>
        </w:tabs>
        <w:spacing w:before="120" w:after="120" w:line="240" w:lineRule="auto"/>
        <w:ind w:left="2268" w:right="1134" w:hanging="1134"/>
        <w:jc w:val="both"/>
        <w:rPr>
          <w:lang w:val="en-GB"/>
        </w:rPr>
      </w:pPr>
      <w:r w:rsidRPr="00EE53FA">
        <w:rPr>
          <w:lang w:val="en-GB"/>
        </w:rPr>
        <w:t>"4.32.</w:t>
      </w:r>
      <w:r w:rsidRPr="00EE53FA">
        <w:rPr>
          <w:lang w:val="en-GB"/>
        </w:rPr>
        <w:tab/>
      </w:r>
      <w:r w:rsidRPr="00EE53FA">
        <w:rPr>
          <w:i/>
          <w:lang w:val="en-GB"/>
        </w:rPr>
        <w:t>"Gas injector"</w:t>
      </w:r>
      <w:r w:rsidRPr="00EE53FA">
        <w:rPr>
          <w:lang w:val="en-GB"/>
        </w:rPr>
        <w:t xml:space="preserve"> means a device for introducing gaseous fuel into the engine or associated intake system. A gas injector shall be considered as a gas flow adjuster.</w:t>
      </w:r>
    </w:p>
    <w:p w:rsidR="004723B9" w:rsidRPr="00EE53FA" w:rsidRDefault="004723B9" w:rsidP="004723B9">
      <w:pPr>
        <w:tabs>
          <w:tab w:val="left" w:pos="2268"/>
        </w:tabs>
        <w:spacing w:before="120" w:after="120" w:line="240" w:lineRule="auto"/>
        <w:ind w:left="2268" w:right="1134" w:hanging="1134"/>
        <w:jc w:val="both"/>
        <w:rPr>
          <w:lang w:val="en-GB"/>
        </w:rPr>
      </w:pPr>
      <w:r w:rsidRPr="00EE53FA">
        <w:rPr>
          <w:lang w:val="en-GB"/>
        </w:rPr>
        <w:t>4.33.</w:t>
      </w:r>
      <w:r w:rsidRPr="00EE53FA">
        <w:rPr>
          <w:lang w:val="en-GB"/>
        </w:rPr>
        <w:tab/>
      </w:r>
      <w:r w:rsidRPr="00EE53FA">
        <w:rPr>
          <w:i/>
          <w:lang w:val="en-GB"/>
        </w:rPr>
        <w:t>"Gas flow adjuster"</w:t>
      </w:r>
      <w:r w:rsidRPr="00EE53FA">
        <w:rPr>
          <w:lang w:val="en-GB"/>
        </w:rPr>
        <w:t xml:space="preserve"> means a gas flow restricting device, installed downstream of a pressure regulator, controlling gas flow to the engine. The function of a gas flow adjuster can be performed by another component (e.g. gas injector)."</w:t>
      </w:r>
    </w:p>
    <w:p w:rsidR="004723B9" w:rsidRPr="00EE53FA" w:rsidRDefault="004723B9" w:rsidP="004723B9">
      <w:pPr>
        <w:tabs>
          <w:tab w:val="left" w:pos="2268"/>
        </w:tabs>
        <w:spacing w:before="120" w:after="120" w:line="240" w:lineRule="auto"/>
        <w:ind w:left="2268" w:right="1134" w:hanging="1134"/>
        <w:jc w:val="both"/>
        <w:rPr>
          <w:lang w:val="en-GB"/>
        </w:rPr>
      </w:pPr>
      <w:r w:rsidRPr="00EE53FA">
        <w:rPr>
          <w:i/>
          <w:lang w:val="en-GB"/>
        </w:rPr>
        <w:t>Pa</w:t>
      </w:r>
      <w:r w:rsidRPr="00EE53FA">
        <w:rPr>
          <w:i/>
          <w:spacing w:val="1"/>
          <w:lang w:val="en-GB"/>
        </w:rPr>
        <w:t>r</w:t>
      </w:r>
      <w:r w:rsidRPr="00EE53FA">
        <w:rPr>
          <w:i/>
          <w:spacing w:val="-1"/>
          <w:lang w:val="en-GB"/>
        </w:rPr>
        <w:t>a</w:t>
      </w:r>
      <w:r w:rsidRPr="00EE53FA">
        <w:rPr>
          <w:i/>
          <w:spacing w:val="1"/>
          <w:lang w:val="en-GB"/>
        </w:rPr>
        <w:t>g</w:t>
      </w:r>
      <w:r w:rsidRPr="00EE53FA">
        <w:rPr>
          <w:i/>
          <w:lang w:val="en-GB"/>
        </w:rPr>
        <w:t>ra</w:t>
      </w:r>
      <w:r w:rsidRPr="00EE53FA">
        <w:rPr>
          <w:i/>
          <w:spacing w:val="1"/>
          <w:lang w:val="en-GB"/>
        </w:rPr>
        <w:t>p</w:t>
      </w:r>
      <w:r w:rsidRPr="00EE53FA">
        <w:rPr>
          <w:i/>
          <w:spacing w:val="-1"/>
          <w:lang w:val="en-GB"/>
        </w:rPr>
        <w:t>h 4.56.</w:t>
      </w:r>
      <w:r w:rsidRPr="00EE53FA">
        <w:rPr>
          <w:lang w:val="en-GB"/>
        </w:rPr>
        <w:t>,</w:t>
      </w:r>
      <w:r w:rsidRPr="00EE53FA">
        <w:rPr>
          <w:spacing w:val="25"/>
          <w:lang w:val="en-GB"/>
        </w:rPr>
        <w:t xml:space="preserve"> </w:t>
      </w:r>
      <w:r w:rsidRPr="00EE53FA">
        <w:rPr>
          <w:spacing w:val="1"/>
          <w:lang w:val="en-GB"/>
        </w:rPr>
        <w:t>a</w:t>
      </w:r>
      <w:r w:rsidRPr="00EE53FA">
        <w:rPr>
          <w:spacing w:val="-2"/>
          <w:lang w:val="en-GB"/>
        </w:rPr>
        <w:t>m</w:t>
      </w:r>
      <w:r w:rsidRPr="00EE53FA">
        <w:rPr>
          <w:spacing w:val="1"/>
          <w:lang w:val="en-GB"/>
        </w:rPr>
        <w:t>e</w:t>
      </w:r>
      <w:r w:rsidRPr="00EE53FA">
        <w:rPr>
          <w:lang w:val="en-GB"/>
        </w:rPr>
        <w:t>nd</w:t>
      </w:r>
      <w:r w:rsidRPr="00EE53FA">
        <w:rPr>
          <w:spacing w:val="18"/>
          <w:lang w:val="en-GB"/>
        </w:rPr>
        <w:t xml:space="preserve"> </w:t>
      </w:r>
      <w:r w:rsidRPr="00EE53FA">
        <w:rPr>
          <w:spacing w:val="1"/>
          <w:lang w:val="en-GB"/>
        </w:rPr>
        <w:t>t</w:t>
      </w:r>
      <w:r w:rsidRPr="00EE53FA">
        <w:rPr>
          <w:lang w:val="en-GB"/>
        </w:rPr>
        <w:t>o</w:t>
      </w:r>
      <w:r w:rsidRPr="00EE53FA">
        <w:rPr>
          <w:spacing w:val="7"/>
          <w:lang w:val="en-GB"/>
        </w:rPr>
        <w:t xml:space="preserve"> </w:t>
      </w:r>
      <w:r w:rsidRPr="00EE53FA">
        <w:rPr>
          <w:w w:val="103"/>
          <w:lang w:val="en-GB"/>
        </w:rPr>
        <w:t>re</w:t>
      </w:r>
      <w:r w:rsidRPr="00EE53FA">
        <w:rPr>
          <w:spacing w:val="1"/>
          <w:w w:val="103"/>
          <w:lang w:val="en-GB"/>
        </w:rPr>
        <w:t>a</w:t>
      </w:r>
      <w:r w:rsidRPr="00EE53FA">
        <w:rPr>
          <w:w w:val="103"/>
          <w:lang w:val="en-GB"/>
        </w:rPr>
        <w:t>d:</w:t>
      </w:r>
    </w:p>
    <w:p w:rsidR="004723B9" w:rsidRPr="00EE53FA" w:rsidRDefault="004723B9" w:rsidP="004723B9">
      <w:pPr>
        <w:tabs>
          <w:tab w:val="left" w:pos="2268"/>
          <w:tab w:val="left" w:pos="2835"/>
        </w:tabs>
        <w:spacing w:before="120" w:after="120" w:line="240" w:lineRule="auto"/>
        <w:ind w:left="2268" w:right="1134" w:hanging="1134"/>
        <w:jc w:val="both"/>
        <w:outlineLvl w:val="1"/>
        <w:rPr>
          <w:lang w:val="en-GB"/>
        </w:rPr>
      </w:pPr>
      <w:r w:rsidRPr="00EE53FA">
        <w:rPr>
          <w:lang w:val="en-GB"/>
        </w:rPr>
        <w:t>"4.56.</w:t>
      </w:r>
      <w:r w:rsidRPr="00EE53FA">
        <w:rPr>
          <w:lang w:val="en-GB"/>
        </w:rPr>
        <w:tab/>
      </w:r>
      <w:r w:rsidRPr="00EE53FA">
        <w:rPr>
          <w:i/>
          <w:lang w:val="en-GB"/>
        </w:rPr>
        <w:t>"Finished cylinders"</w:t>
      </w:r>
      <w:r w:rsidRPr="00EE53FA">
        <w:rPr>
          <w:lang w:val="en-GB"/>
        </w:rPr>
        <w:t xml:space="preserve"> means completed cylinders that are ready for use, typical of normal production, complete with identification marks and external coating including integral insulation and/or protection specified by the manufacturer </w:t>
      </w:r>
      <w:r w:rsidRPr="00CE7941">
        <w:rPr>
          <w:rFonts w:eastAsia="MS Mincho"/>
          <w:bCs/>
          <w:spacing w:val="-2"/>
          <w:lang w:val="en" w:eastAsia="ja-JP"/>
        </w:rPr>
        <w:t>on the design drawing for the cylinder</w:t>
      </w:r>
      <w:r w:rsidRPr="00EE53FA">
        <w:rPr>
          <w:lang w:val="en-GB"/>
        </w:rPr>
        <w:t>."</w:t>
      </w:r>
    </w:p>
    <w:p w:rsidR="004723B9" w:rsidRPr="00EE53FA" w:rsidRDefault="004723B9" w:rsidP="004723B9">
      <w:pPr>
        <w:tabs>
          <w:tab w:val="left" w:pos="2268"/>
          <w:tab w:val="left" w:pos="2835"/>
        </w:tabs>
        <w:spacing w:before="120" w:after="120" w:line="240" w:lineRule="auto"/>
        <w:ind w:left="2268" w:right="1134" w:hanging="1134"/>
        <w:jc w:val="both"/>
        <w:outlineLvl w:val="1"/>
        <w:rPr>
          <w:lang w:val="en-GB"/>
        </w:rPr>
      </w:pPr>
      <w:r w:rsidRPr="00EE53FA">
        <w:rPr>
          <w:i/>
          <w:lang w:val="en-GB"/>
        </w:rPr>
        <w:t>Insert a new definition 4.7</w:t>
      </w:r>
      <w:r w:rsidR="00A226A1" w:rsidRPr="00EE53FA">
        <w:rPr>
          <w:i/>
          <w:lang w:val="en-GB"/>
        </w:rPr>
        <w:t>6</w:t>
      </w:r>
      <w:r w:rsidRPr="00EE53FA">
        <w:rPr>
          <w:i/>
          <w:lang w:val="en-GB"/>
        </w:rPr>
        <w:t xml:space="preserve">., </w:t>
      </w:r>
      <w:r w:rsidRPr="00EE53FA">
        <w:rPr>
          <w:lang w:val="en-GB"/>
        </w:rPr>
        <w:t>to read:</w:t>
      </w:r>
    </w:p>
    <w:p w:rsidR="004723B9" w:rsidRPr="00EE53FA" w:rsidRDefault="004723B9" w:rsidP="00EE53FA">
      <w:pPr>
        <w:tabs>
          <w:tab w:val="left" w:pos="2268"/>
          <w:tab w:val="left" w:pos="2835"/>
        </w:tabs>
        <w:spacing w:before="120" w:after="240" w:line="240" w:lineRule="auto"/>
        <w:ind w:left="2268" w:right="1134" w:hanging="1134"/>
        <w:jc w:val="both"/>
        <w:outlineLvl w:val="1"/>
        <w:rPr>
          <w:lang w:val="en-GB"/>
        </w:rPr>
      </w:pPr>
      <w:r w:rsidRPr="00EE53FA">
        <w:rPr>
          <w:lang w:val="en-GB"/>
        </w:rPr>
        <w:t>"4.7</w:t>
      </w:r>
      <w:r w:rsidR="00A226A1" w:rsidRPr="00EE53FA">
        <w:rPr>
          <w:lang w:val="en-GB"/>
        </w:rPr>
        <w:t>6</w:t>
      </w:r>
      <w:r w:rsidRPr="00EE53FA">
        <w:rPr>
          <w:lang w:val="en-GB"/>
        </w:rPr>
        <w:t>.</w:t>
      </w:r>
      <w:r w:rsidRPr="00EE53FA">
        <w:rPr>
          <w:lang w:val="en-GB"/>
        </w:rPr>
        <w:tab/>
      </w:r>
      <w:r w:rsidRPr="00EE53FA">
        <w:rPr>
          <w:i/>
          <w:lang w:val="en-GB"/>
        </w:rPr>
        <w:t>"Certified cylinder"</w:t>
      </w:r>
      <w:r w:rsidRPr="00EE53FA">
        <w:rPr>
          <w:lang w:val="en-GB"/>
        </w:rPr>
        <w:t xml:space="preserve"> means a finished cylinder that complies with the tests described in this Regulation for finished cylinders and is approved."</w:t>
      </w:r>
    </w:p>
    <w:p w:rsidR="00CE7941" w:rsidRPr="00EE53FA" w:rsidRDefault="004723B9" w:rsidP="004723B9">
      <w:pPr>
        <w:tabs>
          <w:tab w:val="left" w:pos="2268"/>
          <w:tab w:val="left" w:pos="2835"/>
        </w:tabs>
        <w:spacing w:before="120" w:after="120" w:line="240" w:lineRule="auto"/>
        <w:ind w:left="2268" w:right="1134" w:hanging="1134"/>
        <w:jc w:val="both"/>
        <w:outlineLvl w:val="1"/>
        <w:rPr>
          <w:i/>
          <w:w w:val="103"/>
          <w:position w:val="-1"/>
          <w:lang w:val="en-GB"/>
        </w:rPr>
      </w:pPr>
      <w:r w:rsidRPr="00EE53FA">
        <w:rPr>
          <w:i/>
          <w:w w:val="103"/>
          <w:position w:val="-1"/>
          <w:lang w:val="en-GB"/>
        </w:rPr>
        <w:t>Annex 3A</w:t>
      </w:r>
    </w:p>
    <w:p w:rsidR="004723B9" w:rsidRPr="00EE53FA" w:rsidRDefault="00CE7941"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i/>
          <w:w w:val="103"/>
          <w:position w:val="-1"/>
          <w:lang w:val="en-GB"/>
        </w:rPr>
        <w:t>P</w:t>
      </w:r>
      <w:r w:rsidR="004723B9" w:rsidRPr="00EE53FA">
        <w:rPr>
          <w:i/>
          <w:w w:val="103"/>
          <w:position w:val="-1"/>
          <w:lang w:val="en-GB"/>
        </w:rPr>
        <w:t>aragraphs 4.1.2. to 4.1.4.2.,</w:t>
      </w:r>
      <w:r w:rsidR="004723B9" w:rsidRPr="00EE53FA">
        <w:rPr>
          <w:w w:val="103"/>
          <w:position w:val="-1"/>
          <w:lang w:val="en-GB"/>
        </w:rPr>
        <w:t xml:space="preserve"> amend to read:</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"4.1.2.</w:t>
      </w:r>
      <w:r w:rsidRPr="00EE53FA">
        <w:rPr>
          <w:w w:val="103"/>
          <w:position w:val="-1"/>
          <w:lang w:val="en-GB"/>
        </w:rPr>
        <w:tab/>
        <w:t>Use of cylinders</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The service conditions … may safely be used to:</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(a)</w:t>
      </w:r>
      <w:r w:rsidRPr="00EE53FA">
        <w:rPr>
          <w:w w:val="103"/>
          <w:position w:val="-1"/>
          <w:lang w:val="en-GB"/>
        </w:rPr>
        <w:tab/>
        <w:t>Manufacturers of cylinders;</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(b)</w:t>
      </w:r>
      <w:r w:rsidRPr="00EE53FA">
        <w:rPr>
          <w:w w:val="103"/>
          <w:position w:val="-1"/>
          <w:lang w:val="en-GB"/>
        </w:rPr>
        <w:tab/>
        <w:t xml:space="preserve">Owners of certified cylinders; </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4.1.3.</w:t>
      </w:r>
      <w:r w:rsidRPr="00EE53FA">
        <w:rPr>
          <w:w w:val="103"/>
          <w:position w:val="-1"/>
          <w:lang w:val="en-GB"/>
        </w:rPr>
        <w:tab/>
        <w:t>Service life</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The service life for which certified cylinders are safe … be 20 years.</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4.1.4.</w:t>
      </w:r>
      <w:r w:rsidRPr="00EE53FA">
        <w:rPr>
          <w:w w:val="103"/>
          <w:position w:val="-1"/>
          <w:lang w:val="en-GB"/>
        </w:rPr>
        <w:tab/>
        <w:t>Periodic requalification</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 xml:space="preserve">Recommendations for periodic requalification by visual inspection or testing during the service life shall be provided by the cylinder manufacturer </w:t>
      </w:r>
      <w:proofErr w:type="gramStart"/>
      <w:r w:rsidRPr="00EE53FA">
        <w:rPr>
          <w:w w:val="103"/>
          <w:position w:val="-1"/>
          <w:lang w:val="en-GB"/>
        </w:rPr>
        <w:t>on the basis of</w:t>
      </w:r>
      <w:proofErr w:type="gramEnd"/>
      <w:r w:rsidRPr="00EE53FA">
        <w:rPr>
          <w:w w:val="103"/>
          <w:position w:val="-1"/>
          <w:lang w:val="en-GB"/>
        </w:rPr>
        <w:t xml:space="preserve"> use under service conditions specified herein. Each certified cylinder shall be visually inspected at least every 48 months after the date of its entry into service on the vehicle (vehicle registration), and at the time of any reinstallation, for external damage and deterioration. It is suggested to visually inspect under the support straps as well. The visual inspection shall be performed by a competent agency approved or recognized by the Regulatory Authority, in consideration of the manufacturer's specifications: Certified cylinders without label containing mandatory information or with labels containing mandatory information that are illegible in any way shall be removed from service. If the certified cylinder can be positively identified by manufacturer and serial number, a replacement label may be applied, allowing the certified cylinder to remain in service. Contracting Parties requiring a more frequent (than every 48</w:t>
      </w:r>
      <w:r w:rsidR="00601C8E">
        <w:rPr>
          <w:w w:val="103"/>
          <w:position w:val="-1"/>
          <w:lang w:val="en-GB"/>
        </w:rPr>
        <w:t> </w:t>
      </w:r>
      <w:r w:rsidRPr="00EE53FA">
        <w:rPr>
          <w:w w:val="103"/>
          <w:position w:val="-1"/>
          <w:lang w:val="en-GB"/>
        </w:rPr>
        <w:t>months) or more stringent periodic requalification of cylinders may do so in accordance with the national or regional requirements."</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lastRenderedPageBreak/>
        <w:t>4.1.4.1.</w:t>
      </w:r>
      <w:r w:rsidRPr="00EE53FA">
        <w:rPr>
          <w:w w:val="103"/>
          <w:position w:val="-1"/>
          <w:lang w:val="en-GB"/>
        </w:rPr>
        <w:tab/>
        <w:t>Certified cylinders involved in collisions</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EE53FA">
        <w:rPr>
          <w:w w:val="103"/>
          <w:position w:val="-1"/>
          <w:lang w:val="en-GB"/>
        </w:rPr>
        <w:tab/>
        <w:t>Certified cylinders that have been … having jurisdiction. A certified cylinder that has not experienced … otherwise the certified cylinder shall be returned to the manufacturer for evaluation.</w:t>
      </w:r>
    </w:p>
    <w:p w:rsidR="004723B9" w:rsidRPr="00032609"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032609">
        <w:rPr>
          <w:w w:val="103"/>
          <w:position w:val="-1"/>
          <w:lang w:val="en-GB"/>
        </w:rPr>
        <w:t>4.1.4.2.</w:t>
      </w:r>
      <w:r w:rsidRPr="00032609">
        <w:rPr>
          <w:w w:val="103"/>
          <w:position w:val="-1"/>
          <w:lang w:val="en-GB"/>
        </w:rPr>
        <w:tab/>
        <w:t>Cylinders involved in fires</w:t>
      </w:r>
    </w:p>
    <w:p w:rsidR="004723B9" w:rsidRPr="00EE53FA" w:rsidRDefault="004723B9" w:rsidP="004723B9">
      <w:pPr>
        <w:tabs>
          <w:tab w:val="left" w:pos="2268"/>
          <w:tab w:val="left" w:pos="2835"/>
        </w:tabs>
        <w:spacing w:before="120" w:after="120" w:line="240" w:lineRule="auto"/>
        <w:ind w:left="2268" w:right="1134" w:hanging="1134"/>
        <w:jc w:val="both"/>
        <w:outlineLvl w:val="1"/>
        <w:rPr>
          <w:w w:val="103"/>
          <w:position w:val="-1"/>
          <w:lang w:val="en-GB"/>
        </w:rPr>
      </w:pPr>
      <w:r w:rsidRPr="00032609">
        <w:rPr>
          <w:w w:val="103"/>
          <w:position w:val="-1"/>
          <w:lang w:val="en-GB"/>
        </w:rPr>
        <w:tab/>
      </w:r>
      <w:r w:rsidRPr="00EE53FA">
        <w:rPr>
          <w:w w:val="103"/>
          <w:position w:val="-1"/>
          <w:lang w:val="en-GB"/>
        </w:rPr>
        <w:t xml:space="preserve">Certified cylinders that have been subject to the action of fire shall be </w:t>
      </w:r>
      <w:proofErr w:type="spellStart"/>
      <w:r w:rsidRPr="00EE53FA">
        <w:rPr>
          <w:w w:val="103"/>
          <w:position w:val="-1"/>
          <w:lang w:val="en-GB"/>
        </w:rPr>
        <w:t>reinspected</w:t>
      </w:r>
      <w:proofErr w:type="spellEnd"/>
      <w:r w:rsidRPr="00EE53FA">
        <w:rPr>
          <w:w w:val="103"/>
          <w:position w:val="-1"/>
          <w:lang w:val="en-GB"/>
        </w:rPr>
        <w:t xml:space="preserve"> by an agency authorized by the </w:t>
      </w:r>
      <w:proofErr w:type="gramStart"/>
      <w:r w:rsidRPr="00EE53FA">
        <w:rPr>
          <w:w w:val="103"/>
          <w:position w:val="-1"/>
          <w:lang w:val="en-GB"/>
        </w:rPr>
        <w:t>manufacturer, or</w:t>
      </w:r>
      <w:proofErr w:type="gramEnd"/>
      <w:r w:rsidRPr="00EE53FA">
        <w:rPr>
          <w:w w:val="103"/>
          <w:position w:val="-1"/>
          <w:lang w:val="en-GB"/>
        </w:rPr>
        <w:t xml:space="preserve"> condemned and removed from service."</w:t>
      </w:r>
    </w:p>
    <w:p w:rsidR="004723B9" w:rsidRPr="00EE53FA" w:rsidRDefault="004723B9" w:rsidP="004723B9">
      <w:pPr>
        <w:tabs>
          <w:tab w:val="left" w:pos="2268"/>
        </w:tabs>
        <w:spacing w:before="120" w:after="120" w:line="240" w:lineRule="auto"/>
        <w:ind w:left="2268" w:right="1134" w:hanging="1134"/>
        <w:jc w:val="both"/>
        <w:rPr>
          <w:spacing w:val="1"/>
          <w:w w:val="103"/>
          <w:lang w:val="en-GB"/>
        </w:rPr>
      </w:pPr>
      <w:r w:rsidRPr="00EE53FA">
        <w:rPr>
          <w:i/>
          <w:lang w:val="en-GB"/>
        </w:rPr>
        <w:t>Pa</w:t>
      </w:r>
      <w:r w:rsidRPr="00EE53FA">
        <w:rPr>
          <w:i/>
          <w:spacing w:val="1"/>
          <w:lang w:val="en-GB"/>
        </w:rPr>
        <w:t>r</w:t>
      </w:r>
      <w:r w:rsidRPr="00EE53FA">
        <w:rPr>
          <w:i/>
          <w:spacing w:val="-1"/>
          <w:lang w:val="en-GB"/>
        </w:rPr>
        <w:t>a</w:t>
      </w:r>
      <w:r w:rsidRPr="00EE53FA">
        <w:rPr>
          <w:i/>
          <w:spacing w:val="1"/>
          <w:lang w:val="en-GB"/>
        </w:rPr>
        <w:t>g</w:t>
      </w:r>
      <w:r w:rsidRPr="00EE53FA">
        <w:rPr>
          <w:i/>
          <w:lang w:val="en-GB"/>
        </w:rPr>
        <w:t>ra</w:t>
      </w:r>
      <w:r w:rsidRPr="00EE53FA">
        <w:rPr>
          <w:i/>
          <w:spacing w:val="1"/>
          <w:lang w:val="en-GB"/>
        </w:rPr>
        <w:t>p</w:t>
      </w:r>
      <w:r w:rsidRPr="00EE53FA">
        <w:rPr>
          <w:i/>
          <w:lang w:val="en-GB"/>
        </w:rPr>
        <w:t>h</w:t>
      </w:r>
      <w:r w:rsidR="00CE7941" w:rsidRPr="00EE53FA">
        <w:rPr>
          <w:i/>
          <w:lang w:val="en-GB"/>
        </w:rPr>
        <w:t xml:space="preserve"> 6.12.</w:t>
      </w:r>
      <w:r w:rsidRPr="00EE53FA">
        <w:rPr>
          <w:i/>
          <w:lang w:val="en-GB"/>
        </w:rPr>
        <w:t>,</w:t>
      </w:r>
      <w:r w:rsidRPr="00EE53FA">
        <w:rPr>
          <w:i/>
          <w:spacing w:val="23"/>
          <w:lang w:val="en-GB"/>
        </w:rPr>
        <w:t xml:space="preserve"> </w:t>
      </w:r>
      <w:r w:rsidRPr="00EE53FA">
        <w:rPr>
          <w:spacing w:val="2"/>
          <w:lang w:val="en-GB"/>
        </w:rPr>
        <w:t>a</w:t>
      </w:r>
      <w:r w:rsidRPr="00EE53FA">
        <w:rPr>
          <w:spacing w:val="-1"/>
          <w:lang w:val="en-GB"/>
        </w:rPr>
        <w:t>m</w:t>
      </w:r>
      <w:r w:rsidRPr="00EE53FA">
        <w:rPr>
          <w:spacing w:val="1"/>
          <w:lang w:val="en-GB"/>
        </w:rPr>
        <w:t>en</w:t>
      </w:r>
      <w:r w:rsidRPr="00EE53FA">
        <w:rPr>
          <w:lang w:val="en-GB"/>
        </w:rPr>
        <w:t>d</w:t>
      </w:r>
      <w:r w:rsidRPr="00EE53FA">
        <w:rPr>
          <w:spacing w:val="18"/>
          <w:lang w:val="en-GB"/>
        </w:rPr>
        <w:t xml:space="preserve"> </w:t>
      </w:r>
      <w:r w:rsidRPr="00EE53FA">
        <w:rPr>
          <w:spacing w:val="1"/>
          <w:lang w:val="en-GB"/>
        </w:rPr>
        <w:t>t</w:t>
      </w:r>
      <w:r w:rsidRPr="00EE53FA">
        <w:rPr>
          <w:lang w:val="en-GB"/>
        </w:rPr>
        <w:t>o</w:t>
      </w:r>
      <w:r w:rsidRPr="00EE53FA">
        <w:rPr>
          <w:spacing w:val="7"/>
          <w:lang w:val="en-GB"/>
        </w:rPr>
        <w:t xml:space="preserve"> </w:t>
      </w:r>
      <w:r w:rsidRPr="00EE53FA">
        <w:rPr>
          <w:w w:val="103"/>
          <w:lang w:val="en-GB"/>
        </w:rPr>
        <w:t>re</w:t>
      </w:r>
      <w:r w:rsidRPr="00EE53FA">
        <w:rPr>
          <w:spacing w:val="1"/>
          <w:w w:val="103"/>
          <w:lang w:val="en-GB"/>
        </w:rPr>
        <w:t>ad:</w:t>
      </w:r>
    </w:p>
    <w:p w:rsidR="004723B9" w:rsidRPr="00CE7941" w:rsidRDefault="004723B9" w:rsidP="004723B9">
      <w:pPr>
        <w:tabs>
          <w:tab w:val="left" w:pos="2268"/>
        </w:tabs>
        <w:spacing w:after="120" w:line="240" w:lineRule="auto"/>
        <w:ind w:left="2268" w:right="1133" w:hanging="1134"/>
        <w:jc w:val="both"/>
        <w:rPr>
          <w:rFonts w:eastAsia="MS Mincho"/>
          <w:bCs/>
          <w:spacing w:val="-2"/>
          <w:lang w:val="en" w:eastAsia="ja-JP"/>
        </w:rPr>
      </w:pPr>
      <w:r w:rsidRPr="00EE53FA">
        <w:rPr>
          <w:lang w:val="en-GB"/>
        </w:rPr>
        <w:t>"</w:t>
      </w:r>
      <w:r w:rsidRPr="00CE7941">
        <w:rPr>
          <w:rFonts w:eastAsia="MS Mincho"/>
          <w:bCs/>
          <w:spacing w:val="-2"/>
          <w:lang w:val="en" w:eastAsia="ja-JP"/>
        </w:rPr>
        <w:t>6.12.</w:t>
      </w:r>
      <w:r w:rsidRPr="00CE7941">
        <w:rPr>
          <w:rFonts w:eastAsia="MS Mincho"/>
          <w:bCs/>
          <w:spacing w:val="-2"/>
          <w:lang w:val="en" w:eastAsia="ja-JP"/>
        </w:rPr>
        <w:tab/>
        <w:t>Exterior environmental protection</w:t>
      </w:r>
    </w:p>
    <w:p w:rsidR="004723B9" w:rsidRPr="00CE7941" w:rsidRDefault="004723B9" w:rsidP="004723B9">
      <w:pPr>
        <w:tabs>
          <w:tab w:val="left" w:pos="2268"/>
        </w:tabs>
        <w:spacing w:before="120" w:after="120" w:line="240" w:lineRule="auto"/>
        <w:ind w:left="2268" w:right="1134" w:hanging="1134"/>
        <w:jc w:val="both"/>
        <w:rPr>
          <w:rFonts w:eastAsia="MS Mincho"/>
          <w:bCs/>
          <w:spacing w:val="-2"/>
          <w:lang w:val="en" w:eastAsia="ja-JP"/>
        </w:rPr>
      </w:pPr>
      <w:r w:rsidRPr="00CE7941">
        <w:rPr>
          <w:rFonts w:eastAsia="MS Mincho"/>
          <w:bCs/>
          <w:spacing w:val="-2"/>
          <w:lang w:val="en" w:eastAsia="ja-JP"/>
        </w:rPr>
        <w:tab/>
        <w:t>The exterior of ……</w:t>
      </w:r>
    </w:p>
    <w:p w:rsidR="004723B9" w:rsidRPr="00CE7941" w:rsidRDefault="004723B9" w:rsidP="004723B9">
      <w:pPr>
        <w:tabs>
          <w:tab w:val="left" w:pos="2268"/>
        </w:tabs>
        <w:spacing w:before="120" w:after="120" w:line="240" w:lineRule="auto"/>
        <w:ind w:left="2268" w:right="1134" w:hanging="1134"/>
        <w:jc w:val="both"/>
        <w:rPr>
          <w:rFonts w:eastAsia="MS Mincho"/>
          <w:bCs/>
          <w:spacing w:val="-2"/>
          <w:lang w:val="en" w:eastAsia="ja-JP"/>
        </w:rPr>
      </w:pPr>
      <w:r w:rsidRPr="00CE7941">
        <w:rPr>
          <w:rFonts w:eastAsia="MS Mincho"/>
          <w:bCs/>
          <w:spacing w:val="-2"/>
          <w:lang w:val="en" w:eastAsia="ja-JP"/>
        </w:rPr>
        <w:tab/>
        <w:t>(c)</w:t>
      </w:r>
      <w:r w:rsidRPr="00CE7941">
        <w:rPr>
          <w:rFonts w:eastAsia="MS Mincho"/>
          <w:bCs/>
          <w:spacing w:val="-2"/>
          <w:lang w:val="en" w:eastAsia="ja-JP"/>
        </w:rPr>
        <w:tab/>
        <w:t>A protective coating …… A.9. (Appendix A to this annex).</w:t>
      </w:r>
    </w:p>
    <w:p w:rsidR="004723B9" w:rsidRPr="00CE7941" w:rsidRDefault="004723B9" w:rsidP="004723B9">
      <w:pPr>
        <w:tabs>
          <w:tab w:val="left" w:pos="2268"/>
        </w:tabs>
        <w:spacing w:before="120" w:after="120" w:line="240" w:lineRule="auto"/>
        <w:ind w:left="2268" w:right="1134" w:hanging="1134"/>
        <w:jc w:val="both"/>
        <w:rPr>
          <w:rFonts w:eastAsia="MS Mincho"/>
          <w:bCs/>
          <w:spacing w:val="-2"/>
          <w:lang w:val="en" w:eastAsia="ja-JP"/>
        </w:rPr>
      </w:pPr>
      <w:r w:rsidRPr="00CE7941">
        <w:rPr>
          <w:rFonts w:eastAsia="MS Mincho"/>
          <w:bCs/>
          <w:spacing w:val="-2"/>
          <w:lang w:val="en" w:eastAsia="ja-JP"/>
        </w:rPr>
        <w:tab/>
        <w:t>Any coatings or protections applied to cylinders shall be such that the application process does not adversely affect the mechanical properties of the cylinder. The</w:t>
      </w:r>
      <w:r w:rsidRPr="00CE7941">
        <w:rPr>
          <w:rFonts w:eastAsia="MS Mincho"/>
          <w:bCs/>
          <w:color w:val="FF0000"/>
          <w:spacing w:val="-2"/>
          <w:lang w:val="en" w:eastAsia="ja-JP"/>
        </w:rPr>
        <w:t xml:space="preserve"> </w:t>
      </w:r>
      <w:r w:rsidRPr="00CE7941">
        <w:rPr>
          <w:rFonts w:eastAsia="MS Mincho"/>
          <w:bCs/>
          <w:spacing w:val="-2"/>
          <w:lang w:val="en" w:eastAsia="ja-JP"/>
        </w:rPr>
        <w:t xml:space="preserve">coating or protection shall be designed to facilitate subsequent </w:t>
      </w:r>
      <w:proofErr w:type="gramStart"/>
      <w:r w:rsidRPr="00CE7941">
        <w:rPr>
          <w:rFonts w:eastAsia="MS Mincho"/>
          <w:bCs/>
          <w:spacing w:val="-2"/>
          <w:lang w:val="en" w:eastAsia="ja-JP"/>
        </w:rPr>
        <w:t>in service</w:t>
      </w:r>
      <w:proofErr w:type="gramEnd"/>
      <w:r w:rsidRPr="00CE7941">
        <w:rPr>
          <w:rFonts w:eastAsia="MS Mincho"/>
          <w:bCs/>
          <w:spacing w:val="-2"/>
          <w:lang w:val="en" w:eastAsia="ja-JP"/>
        </w:rPr>
        <w:t xml:space="preserve"> inspection and the manufacturer shall provide guidance on</w:t>
      </w:r>
      <w:r w:rsidRPr="00CE7941">
        <w:rPr>
          <w:rFonts w:eastAsia="MS Mincho"/>
          <w:bCs/>
          <w:color w:val="FF0000"/>
          <w:spacing w:val="-2"/>
          <w:lang w:val="en" w:eastAsia="ja-JP"/>
        </w:rPr>
        <w:t xml:space="preserve"> </w:t>
      </w:r>
      <w:r w:rsidRPr="00CE7941">
        <w:rPr>
          <w:rFonts w:eastAsia="MS Mincho"/>
          <w:bCs/>
          <w:spacing w:val="-2"/>
          <w:lang w:val="en" w:eastAsia="ja-JP"/>
        </w:rPr>
        <w:t>coating or protection treatment during such inspection to ensure the continued integrity of the cylinder.</w:t>
      </w:r>
    </w:p>
    <w:p w:rsidR="004723B9" w:rsidRPr="00EE53FA" w:rsidRDefault="004723B9" w:rsidP="004723B9">
      <w:pPr>
        <w:tabs>
          <w:tab w:val="left" w:pos="2268"/>
        </w:tabs>
        <w:spacing w:before="120" w:after="120" w:line="240" w:lineRule="auto"/>
        <w:ind w:left="2268" w:right="1134" w:hanging="1134"/>
        <w:jc w:val="both"/>
        <w:rPr>
          <w:bCs/>
          <w:lang w:val="en-GB"/>
        </w:rPr>
      </w:pPr>
      <w:r w:rsidRPr="00CE7941">
        <w:rPr>
          <w:rFonts w:eastAsia="MS Mincho"/>
          <w:bCs/>
          <w:spacing w:val="-2"/>
          <w:lang w:val="en" w:eastAsia="ja-JP"/>
        </w:rPr>
        <w:tab/>
      </w:r>
      <w:r w:rsidRPr="00EE53FA">
        <w:rPr>
          <w:lang w:val="en-GB"/>
        </w:rPr>
        <w:t>"</w:t>
      </w:r>
    </w:p>
    <w:p w:rsidR="00CE7941" w:rsidRPr="00CE7941" w:rsidRDefault="00CE7941" w:rsidP="00CE7941">
      <w:pPr>
        <w:spacing w:after="120" w:line="240" w:lineRule="auto"/>
        <w:ind w:left="1134" w:right="1133"/>
        <w:jc w:val="both"/>
        <w:rPr>
          <w:rFonts w:eastAsia="MS Mincho"/>
          <w:bCs/>
          <w:spacing w:val="-2"/>
          <w:lang w:val="en" w:eastAsia="ja-JP"/>
        </w:rPr>
      </w:pPr>
      <w:r w:rsidRPr="00CE7941">
        <w:rPr>
          <w:rFonts w:eastAsia="MS Mincho"/>
          <w:bCs/>
          <w:i/>
          <w:spacing w:val="-2"/>
          <w:lang w:val="en" w:eastAsia="ja-JP"/>
        </w:rPr>
        <w:t>Paragraph 6.17., Table 6.7 (Change of design), twelfth row</w:t>
      </w:r>
      <w:r w:rsidRPr="00CE7941">
        <w:rPr>
          <w:rFonts w:eastAsia="MS Mincho"/>
          <w:bCs/>
          <w:spacing w:val="-2"/>
          <w:lang w:val="en" w:eastAsia="ja-JP"/>
        </w:rPr>
        <w:t>, in the first column replace "Dome shape" by "Dome design" and in the eighth column insert the figure "X</w:t>
      </w:r>
      <w:r w:rsidRPr="00CE7941">
        <w:rPr>
          <w:rFonts w:eastAsia="MS Mincho"/>
          <w:bCs/>
          <w:spacing w:val="-2"/>
          <w:vertAlign w:val="superscript"/>
          <w:lang w:val="en" w:eastAsia="ja-JP"/>
        </w:rPr>
        <w:t>**</w:t>
      </w:r>
      <w:r w:rsidRPr="00CE7941">
        <w:rPr>
          <w:rFonts w:eastAsia="MS Mincho"/>
          <w:bCs/>
          <w:spacing w:val="-2"/>
          <w:lang w:val="en" w:eastAsia="ja-JP"/>
        </w:rPr>
        <w:t>" including a new note</w:t>
      </w:r>
      <w:r w:rsidRPr="00CE7941">
        <w:rPr>
          <w:rFonts w:eastAsia="MS Mincho"/>
          <w:bCs/>
          <w:spacing w:val="-2"/>
          <w:vertAlign w:val="superscript"/>
          <w:lang w:val="en" w:eastAsia="ja-JP"/>
        </w:rPr>
        <w:t>**</w:t>
      </w:r>
      <w:r w:rsidRPr="00CE7941">
        <w:rPr>
          <w:rFonts w:eastAsia="MS Mincho"/>
          <w:bCs/>
          <w:spacing w:val="-2"/>
          <w:lang w:val="en" w:eastAsia="ja-JP"/>
        </w:rPr>
        <w:t xml:space="preserve"> to read: "</w:t>
      </w:r>
      <w:r w:rsidRPr="00C734F7">
        <w:rPr>
          <w:rFonts w:eastAsia="MS Mincho"/>
          <w:bCs/>
          <w:spacing w:val="-2"/>
          <w:vertAlign w:val="superscript"/>
          <w:lang w:val="en" w:eastAsia="ja-JP"/>
        </w:rPr>
        <w:t>**</w:t>
      </w:r>
      <w:r w:rsidRPr="00CE7941">
        <w:rPr>
          <w:rFonts w:eastAsia="MS Mincho"/>
          <w:bCs/>
          <w:spacing w:val="-2"/>
          <w:lang w:val="en" w:eastAsia="ja-JP"/>
        </w:rPr>
        <w:t xml:space="preserve"> Drop test A.20 only required for CNG-3 and CNG-4 designs".</w:t>
      </w:r>
    </w:p>
    <w:p w:rsidR="004723B9" w:rsidRPr="00CE7941" w:rsidRDefault="004723B9" w:rsidP="004723B9">
      <w:pPr>
        <w:tabs>
          <w:tab w:val="left" w:pos="2268"/>
        </w:tabs>
        <w:spacing w:after="120" w:line="240" w:lineRule="auto"/>
        <w:ind w:left="1134" w:right="1133"/>
        <w:jc w:val="both"/>
        <w:rPr>
          <w:rFonts w:eastAsia="MS Mincho"/>
          <w:bCs/>
          <w:i/>
          <w:spacing w:val="-2"/>
          <w:lang w:val="en" w:eastAsia="ja-JP"/>
        </w:rPr>
      </w:pPr>
      <w:r w:rsidRPr="00CE7941">
        <w:rPr>
          <w:rFonts w:eastAsia="MS Mincho"/>
          <w:bCs/>
          <w:i/>
          <w:spacing w:val="-2"/>
          <w:lang w:val="en" w:eastAsia="ja-JP"/>
        </w:rPr>
        <w:t>Paragraph 10.7.1.</w:t>
      </w:r>
      <w:r w:rsidRPr="00CE7941">
        <w:rPr>
          <w:rFonts w:eastAsia="MS Mincho"/>
          <w:bCs/>
          <w:spacing w:val="-2"/>
          <w:lang w:val="en" w:eastAsia="ja-JP"/>
        </w:rPr>
        <w:t>, amend to read:</w:t>
      </w:r>
    </w:p>
    <w:p w:rsidR="004723B9" w:rsidRPr="00CE7941" w:rsidRDefault="004723B9" w:rsidP="004723B9">
      <w:pPr>
        <w:tabs>
          <w:tab w:val="left" w:pos="2268"/>
        </w:tabs>
        <w:spacing w:after="120" w:line="240" w:lineRule="auto"/>
        <w:ind w:left="1134" w:right="1133"/>
        <w:jc w:val="both"/>
        <w:rPr>
          <w:rFonts w:eastAsia="MS Mincho"/>
          <w:bCs/>
          <w:spacing w:val="-2"/>
          <w:lang w:val="en" w:eastAsia="ja-JP"/>
        </w:rPr>
      </w:pPr>
      <w:r w:rsidRPr="00CE7941">
        <w:rPr>
          <w:rFonts w:eastAsia="MS Mincho"/>
          <w:bCs/>
          <w:spacing w:val="-2"/>
          <w:lang w:val="en" w:eastAsia="ja-JP"/>
        </w:rPr>
        <w:t>"10.7.1.</w:t>
      </w:r>
      <w:r w:rsidRPr="00CE7941">
        <w:rPr>
          <w:rFonts w:eastAsia="MS Mincho"/>
          <w:bCs/>
          <w:spacing w:val="-2"/>
          <w:lang w:val="en" w:eastAsia="ja-JP"/>
        </w:rPr>
        <w:tab/>
        <w:t>General</w:t>
      </w:r>
    </w:p>
    <w:p w:rsidR="004723B9" w:rsidRPr="00CE7941" w:rsidRDefault="004723B9" w:rsidP="004723B9">
      <w:pPr>
        <w:tabs>
          <w:tab w:val="left" w:pos="2268"/>
        </w:tabs>
        <w:spacing w:after="120" w:line="240" w:lineRule="auto"/>
        <w:ind w:left="2268" w:right="1133" w:hanging="1134"/>
        <w:jc w:val="both"/>
        <w:rPr>
          <w:rFonts w:eastAsia="MS Mincho"/>
          <w:bCs/>
          <w:spacing w:val="-2"/>
          <w:lang w:val="en" w:eastAsia="ja-JP"/>
        </w:rPr>
      </w:pPr>
      <w:r w:rsidRPr="00CE7941">
        <w:rPr>
          <w:rFonts w:eastAsia="MS Mincho"/>
          <w:bCs/>
          <w:spacing w:val="-2"/>
          <w:lang w:val="en" w:eastAsia="ja-JP"/>
        </w:rPr>
        <w:tab/>
        <w:t>Cylinder design qualification tests shall be in accordance with the requirements of paragraphs 8.6., 10.7.2., 10.7.3., 10.7.4. and 10.7.5. of this annex, except that the LBB performance in paragraph 8.6.10. above is not required."</w:t>
      </w:r>
    </w:p>
    <w:p w:rsidR="004723B9" w:rsidRPr="00CE7941" w:rsidRDefault="004723B9" w:rsidP="004723B9">
      <w:pPr>
        <w:tabs>
          <w:tab w:val="left" w:pos="2268"/>
        </w:tabs>
        <w:spacing w:after="120" w:line="240" w:lineRule="auto"/>
        <w:ind w:left="1134" w:right="1133"/>
        <w:jc w:val="both"/>
        <w:rPr>
          <w:rFonts w:eastAsia="MS Mincho"/>
          <w:bCs/>
          <w:i/>
          <w:spacing w:val="-2"/>
          <w:lang w:val="en" w:eastAsia="ja-JP"/>
        </w:rPr>
      </w:pPr>
      <w:r w:rsidRPr="00CE7941">
        <w:rPr>
          <w:rFonts w:eastAsia="MS Mincho"/>
          <w:bCs/>
          <w:i/>
          <w:spacing w:val="-2"/>
          <w:lang w:val="en" w:eastAsia="ja-JP"/>
        </w:rPr>
        <w:t>Add a new paragraph 10.7.5.</w:t>
      </w:r>
      <w:r w:rsidRPr="00CE7941">
        <w:rPr>
          <w:rFonts w:eastAsia="MS Mincho"/>
          <w:bCs/>
          <w:spacing w:val="-2"/>
          <w:lang w:val="en" w:eastAsia="ja-JP"/>
        </w:rPr>
        <w:t>, to read:</w:t>
      </w:r>
    </w:p>
    <w:p w:rsidR="004723B9" w:rsidRPr="00CE7941" w:rsidRDefault="004723B9" w:rsidP="004723B9">
      <w:pPr>
        <w:tabs>
          <w:tab w:val="left" w:pos="2268"/>
        </w:tabs>
        <w:spacing w:after="120" w:line="240" w:lineRule="auto"/>
        <w:ind w:left="2268" w:right="1133" w:hanging="1134"/>
        <w:jc w:val="both"/>
        <w:rPr>
          <w:rFonts w:eastAsia="MS Mincho"/>
          <w:bCs/>
          <w:spacing w:val="-2"/>
          <w:lang w:val="en" w:eastAsia="ja-JP"/>
        </w:rPr>
      </w:pPr>
      <w:r w:rsidRPr="00CE7941">
        <w:rPr>
          <w:rFonts w:eastAsia="MS Mincho"/>
          <w:bCs/>
          <w:spacing w:val="-2"/>
          <w:lang w:val="en" w:eastAsia="ja-JP"/>
        </w:rPr>
        <w:t>"10.7.5.</w:t>
      </w:r>
      <w:r w:rsidRPr="00CE7941">
        <w:rPr>
          <w:rFonts w:eastAsia="MS Mincho"/>
          <w:bCs/>
          <w:spacing w:val="-2"/>
          <w:lang w:val="en" w:eastAsia="ja-JP"/>
        </w:rPr>
        <w:tab/>
        <w:t>Impact damage test</w:t>
      </w:r>
    </w:p>
    <w:p w:rsidR="004723B9" w:rsidRPr="00CE7941" w:rsidRDefault="004723B9" w:rsidP="00EE53FA">
      <w:pPr>
        <w:tabs>
          <w:tab w:val="left" w:pos="2268"/>
        </w:tabs>
        <w:spacing w:after="240" w:line="240" w:lineRule="auto"/>
        <w:ind w:left="2268" w:right="1133" w:hanging="1134"/>
        <w:jc w:val="both"/>
        <w:rPr>
          <w:rFonts w:eastAsia="MS Mincho"/>
          <w:bCs/>
          <w:spacing w:val="-2"/>
          <w:lang w:val="en" w:eastAsia="ja-JP"/>
        </w:rPr>
      </w:pPr>
      <w:r w:rsidRPr="00CE7941">
        <w:rPr>
          <w:rFonts w:eastAsia="MS Mincho"/>
          <w:bCs/>
          <w:spacing w:val="-2"/>
          <w:lang w:val="en" w:eastAsia="ja-JP"/>
        </w:rPr>
        <w:tab/>
        <w:t>One or more finished cylinders shall be subjected to an impact damage test according to Appendix A, paragraph A.20."</w:t>
      </w:r>
    </w:p>
    <w:p w:rsidR="004723B9" w:rsidRPr="00CE7941" w:rsidRDefault="004723B9" w:rsidP="004723B9">
      <w:pPr>
        <w:tabs>
          <w:tab w:val="left" w:pos="2268"/>
        </w:tabs>
        <w:spacing w:before="120" w:after="120" w:line="240" w:lineRule="auto"/>
        <w:ind w:left="2268" w:right="1134" w:hanging="1134"/>
        <w:jc w:val="both"/>
        <w:rPr>
          <w:rFonts w:eastAsia="MS Mincho"/>
          <w:bCs/>
          <w:i/>
          <w:spacing w:val="-2"/>
          <w:lang w:val="en" w:eastAsia="ja-JP"/>
        </w:rPr>
      </w:pPr>
      <w:r w:rsidRPr="00EE53FA">
        <w:rPr>
          <w:i/>
          <w:lang w:val="en-GB"/>
        </w:rPr>
        <w:t xml:space="preserve">Annex 3A, Appendix A, </w:t>
      </w:r>
      <w:r w:rsidRPr="00CE7941">
        <w:rPr>
          <w:rFonts w:eastAsia="MS Mincho"/>
          <w:bCs/>
          <w:i/>
          <w:spacing w:val="-2"/>
          <w:lang w:val="en" w:eastAsia="ja-JP"/>
        </w:rPr>
        <w:t>paragraph A.17.</w:t>
      </w:r>
      <w:r w:rsidRPr="00CE7941">
        <w:rPr>
          <w:rFonts w:eastAsia="MS Mincho"/>
          <w:bCs/>
          <w:spacing w:val="-2"/>
          <w:lang w:val="en" w:eastAsia="ja-JP"/>
        </w:rPr>
        <w:t>, amend to read:</w:t>
      </w:r>
    </w:p>
    <w:p w:rsidR="004723B9" w:rsidRPr="00CE7941" w:rsidRDefault="004723B9" w:rsidP="004723B9">
      <w:pPr>
        <w:tabs>
          <w:tab w:val="left" w:pos="2268"/>
        </w:tabs>
        <w:spacing w:after="120" w:line="240" w:lineRule="auto"/>
        <w:ind w:left="2268" w:right="1133" w:hanging="1134"/>
        <w:jc w:val="both"/>
        <w:rPr>
          <w:rFonts w:eastAsia="MS Mincho"/>
          <w:bCs/>
          <w:spacing w:val="-2"/>
          <w:lang w:val="en" w:eastAsia="ja-JP"/>
        </w:rPr>
      </w:pPr>
      <w:r w:rsidRPr="00CE7941">
        <w:rPr>
          <w:rFonts w:eastAsia="MS Mincho"/>
          <w:bCs/>
          <w:spacing w:val="-2"/>
          <w:lang w:val="en" w:eastAsia="ja-JP"/>
        </w:rPr>
        <w:t>"A.17.</w:t>
      </w:r>
      <w:r w:rsidRPr="00CE7941">
        <w:rPr>
          <w:rFonts w:eastAsia="MS Mincho"/>
          <w:bCs/>
          <w:spacing w:val="-2"/>
          <w:lang w:val="en" w:eastAsia="ja-JP"/>
        </w:rPr>
        <w:tab/>
        <w:t>Composite flaw tolerance tests</w:t>
      </w:r>
    </w:p>
    <w:p w:rsidR="004723B9" w:rsidRPr="00CE7941" w:rsidRDefault="004723B9" w:rsidP="004723B9">
      <w:pPr>
        <w:tabs>
          <w:tab w:val="left" w:pos="2268"/>
        </w:tabs>
        <w:spacing w:after="120" w:line="240" w:lineRule="auto"/>
        <w:ind w:left="2268" w:right="1133" w:hanging="1134"/>
        <w:jc w:val="both"/>
        <w:rPr>
          <w:rFonts w:eastAsia="MS Mincho"/>
          <w:bCs/>
          <w:spacing w:val="-2"/>
          <w:lang w:val="en" w:eastAsia="ja-JP"/>
        </w:rPr>
      </w:pPr>
      <w:r w:rsidRPr="00CE7941">
        <w:rPr>
          <w:rFonts w:eastAsia="MS Mincho"/>
          <w:bCs/>
          <w:spacing w:val="-2"/>
          <w:lang w:val="en" w:eastAsia="ja-JP"/>
        </w:rPr>
        <w:tab/>
        <w:t xml:space="preserve">For type CNG-2, CNG-3 and CNG-4 designs only, one finished cylinder, complete with protective coating, a flaw tolerance test shall be performed on the cylindrical wall as well as on the minimum composite wall thickness of the weakest part(s) of the container as identified by an appropriate stress analysis as determined in Annex 3A, Appendix F, paragraph F.1. or </w:t>
      </w:r>
      <w:proofErr w:type="gramStart"/>
      <w:r w:rsidRPr="00CE7941">
        <w:rPr>
          <w:rFonts w:eastAsia="MS Mincho"/>
          <w:bCs/>
          <w:spacing w:val="-2"/>
          <w:lang w:val="en" w:eastAsia="ja-JP"/>
        </w:rPr>
        <w:t>full scale</w:t>
      </w:r>
      <w:proofErr w:type="gramEnd"/>
      <w:r w:rsidRPr="00CE7941">
        <w:rPr>
          <w:rFonts w:eastAsia="MS Mincho"/>
          <w:bCs/>
          <w:spacing w:val="-2"/>
          <w:lang w:val="en" w:eastAsia="ja-JP"/>
        </w:rPr>
        <w:t xml:space="preserve"> tests on finished cylinders. The flaws shall be cut in the longitudinal direction into the composite. The flaws shall be greater than the visual inspection limits as specified by the manufacturer.</w:t>
      </w:r>
    </w:p>
    <w:p w:rsidR="004723B9" w:rsidRPr="00CE7941" w:rsidRDefault="004723B9" w:rsidP="004723B9">
      <w:pPr>
        <w:tabs>
          <w:tab w:val="left" w:pos="2268"/>
        </w:tabs>
        <w:spacing w:after="120" w:line="240" w:lineRule="auto"/>
        <w:ind w:left="2268" w:right="1133" w:hanging="1134"/>
        <w:jc w:val="both"/>
        <w:rPr>
          <w:rFonts w:eastAsia="MS Mincho"/>
          <w:bCs/>
          <w:spacing w:val="-2"/>
          <w:lang w:val="en" w:eastAsia="ja-JP"/>
        </w:rPr>
      </w:pPr>
      <w:r w:rsidRPr="00EE53FA">
        <w:rPr>
          <w:lang w:val="en-GB"/>
        </w:rPr>
        <w:tab/>
        <w:t>The flawed cylinder shall then …… be destroyed.</w:t>
      </w:r>
      <w:r w:rsidRPr="00CE7941">
        <w:rPr>
          <w:rFonts w:eastAsia="MS Mincho"/>
          <w:bCs/>
          <w:spacing w:val="-2"/>
          <w:lang w:val="en" w:eastAsia="ja-JP"/>
        </w:rPr>
        <w:t>"</w:t>
      </w:r>
    </w:p>
    <w:p w:rsidR="004723B9" w:rsidRPr="00CE7941" w:rsidRDefault="004723B9" w:rsidP="004723B9">
      <w:pPr>
        <w:tabs>
          <w:tab w:val="left" w:pos="2268"/>
        </w:tabs>
        <w:spacing w:before="120" w:after="120" w:line="240" w:lineRule="auto"/>
        <w:ind w:left="2268" w:right="1134" w:hanging="1134"/>
        <w:jc w:val="both"/>
        <w:rPr>
          <w:rFonts w:eastAsia="MS Mincho"/>
          <w:bCs/>
          <w:spacing w:val="-2"/>
          <w:lang w:val="en" w:eastAsia="ja-JP"/>
        </w:rPr>
      </w:pPr>
      <w:r w:rsidRPr="00CE7941">
        <w:rPr>
          <w:rFonts w:eastAsia="MS Mincho"/>
          <w:bCs/>
          <w:i/>
          <w:spacing w:val="-2"/>
          <w:lang w:val="en" w:eastAsia="ja-JP"/>
        </w:rPr>
        <w:t>Annex 3B, paragraph 2.1.3</w:t>
      </w:r>
      <w:r w:rsidRPr="00CE7941">
        <w:rPr>
          <w:rFonts w:eastAsia="MS Mincho"/>
          <w:bCs/>
          <w:spacing w:val="-2"/>
          <w:lang w:val="en" w:eastAsia="ja-JP"/>
        </w:rPr>
        <w:t>., amend to read:</w:t>
      </w:r>
    </w:p>
    <w:p w:rsidR="004723B9" w:rsidRPr="00CE7941" w:rsidRDefault="004723B9" w:rsidP="004723B9">
      <w:pPr>
        <w:tabs>
          <w:tab w:val="left" w:pos="2268"/>
        </w:tabs>
        <w:spacing w:before="120" w:after="120" w:line="240" w:lineRule="auto"/>
        <w:ind w:left="2268" w:right="1134" w:hanging="1134"/>
        <w:jc w:val="both"/>
        <w:rPr>
          <w:rFonts w:eastAsia="MS Mincho"/>
          <w:bCs/>
          <w:spacing w:val="-2"/>
          <w:lang w:val="en" w:eastAsia="ja-JP"/>
        </w:rPr>
      </w:pPr>
      <w:r w:rsidRPr="00CE7941">
        <w:rPr>
          <w:rFonts w:eastAsia="MS Mincho"/>
          <w:bCs/>
          <w:spacing w:val="-2"/>
          <w:lang w:val="en" w:eastAsia="ja-JP"/>
        </w:rPr>
        <w:t>"2.1.3.</w:t>
      </w:r>
      <w:r w:rsidRPr="00CE7941">
        <w:rPr>
          <w:rFonts w:eastAsia="MS Mincho"/>
          <w:bCs/>
          <w:spacing w:val="-2"/>
          <w:lang w:val="en" w:eastAsia="ja-JP"/>
        </w:rPr>
        <w:tab/>
        <w:t>Periodic requalification</w:t>
      </w:r>
    </w:p>
    <w:p w:rsidR="004723B9" w:rsidRPr="00EE53FA" w:rsidRDefault="004723B9" w:rsidP="00EE53FA">
      <w:pPr>
        <w:tabs>
          <w:tab w:val="left" w:pos="2268"/>
        </w:tabs>
        <w:spacing w:before="120" w:after="360" w:line="240" w:lineRule="auto"/>
        <w:ind w:left="2268" w:right="1134" w:hanging="1134"/>
        <w:jc w:val="both"/>
        <w:rPr>
          <w:i/>
          <w:lang w:val="en-GB"/>
        </w:rPr>
      </w:pPr>
      <w:r w:rsidRPr="00CE7941">
        <w:rPr>
          <w:rFonts w:eastAsia="Calibri"/>
          <w:bCs/>
          <w:lang w:val="en-US"/>
        </w:rPr>
        <w:lastRenderedPageBreak/>
        <w:tab/>
        <w:t xml:space="preserve">Recommendations for periodic requalification by visual inspection or testing during the service life shall be provided by the tank manufacturer </w:t>
      </w:r>
      <w:proofErr w:type="gramStart"/>
      <w:r w:rsidRPr="00CE7941">
        <w:rPr>
          <w:rFonts w:eastAsia="Calibri"/>
          <w:bCs/>
          <w:lang w:val="en-US"/>
        </w:rPr>
        <w:t>on the basis of</w:t>
      </w:r>
      <w:proofErr w:type="gramEnd"/>
      <w:r w:rsidRPr="00CE7941">
        <w:rPr>
          <w:rFonts w:eastAsia="Calibri"/>
          <w:bCs/>
          <w:lang w:val="en-US"/>
        </w:rPr>
        <w:t xml:space="preserve"> use under service conditions specified herein. Each tank shall be visually inspected at least every 120 months after the date of its entry into service on the vehicle (vehicle registration), and at the time of any reinstallation, for external damage and deterioration. It is suggested to visually inspect under the support straps as well. The visual inspection shall be performed by a Technical Service designated or recognized by the Type Approval Authority, in consideration of the manufacturer's specifications: tanks without label containing mandatory information, or with labels containing mandatory information that are illegible in any way shall be removed from service. If the tank can be positively identified by manufacturer and serial number, a replacement label may be applied, allowing the tank to remain in service. Contracting Parties requiring a more frequent (than every 120 months) or more stringent periodic requalification of tanks may do so in accordance with the national or regional requirements."</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44A09">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144A09">
      <w:rPr>
        <w:b/>
        <w:noProof/>
        <w:sz w:val="18"/>
      </w:rPr>
      <w:t>3</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212686" w:rsidRPr="00A153B0" w:rsidRDefault="00212686" w:rsidP="00212686">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rsidR="00212686" w:rsidRPr="00A153B0" w:rsidRDefault="00212686" w:rsidP="00212686">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rsidR="00212686" w:rsidRPr="00E964DF" w:rsidRDefault="00212686" w:rsidP="00212686">
      <w:pPr>
        <w:pStyle w:val="FootnoteText"/>
        <w:rPr>
          <w:lang w:val="en-US"/>
        </w:rPr>
      </w:pPr>
      <w:r w:rsidRPr="00A153B0">
        <w:rPr>
          <w:lang w:val="en-US"/>
        </w:rPr>
        <w:tab/>
      </w:r>
      <w:r w:rsidRPr="00A153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153B0">
        <w:rPr>
          <w:lang w:val="en-US"/>
        </w:rPr>
        <w:t>on the Basis of</w:t>
      </w:r>
      <w:proofErr w:type="gramEnd"/>
      <w:r w:rsidRPr="00A153B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86" w:rsidRDefault="00212686" w:rsidP="00212686">
    <w:pPr>
      <w:pStyle w:val="Header"/>
      <w:rPr>
        <w:lang w:val="en-US"/>
      </w:rPr>
    </w:pPr>
    <w:r w:rsidRPr="00212686">
      <w:rPr>
        <w:lang w:val="en-US"/>
      </w:rPr>
      <w:t>E/ECE/324/Rev.2/Add.109/Rev.5/Amend.2</w:t>
    </w:r>
  </w:p>
  <w:p w:rsidR="0017484D" w:rsidRPr="00212686" w:rsidRDefault="00212686" w:rsidP="00212686">
    <w:pPr>
      <w:pStyle w:val="Header"/>
      <w:rPr>
        <w:lang w:val="en-GB"/>
      </w:rPr>
    </w:pPr>
    <w:r w:rsidRPr="00212686">
      <w:rPr>
        <w:lang w:val="en-US"/>
      </w:rPr>
      <w:t>E/ECE/TRANS/505/Rev.2/Add.109/Rev.5/Amend.2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86" w:rsidRDefault="00212686" w:rsidP="00212686">
    <w:pPr>
      <w:pStyle w:val="Header"/>
      <w:jc w:val="right"/>
      <w:rPr>
        <w:lang w:val="en-US"/>
      </w:rPr>
    </w:pPr>
    <w:r w:rsidRPr="00212686">
      <w:rPr>
        <w:lang w:val="en-US"/>
      </w:rPr>
      <w:t>E/ECE/324/Rev.2/Add.109/Rev.5/Amend.2</w:t>
    </w:r>
  </w:p>
  <w:p w:rsidR="00212686" w:rsidRPr="00212686" w:rsidRDefault="00212686" w:rsidP="00212686">
    <w:pPr>
      <w:pStyle w:val="Header"/>
      <w:jc w:val="right"/>
      <w:rPr>
        <w:lang w:val="en-GB"/>
      </w:rPr>
    </w:pPr>
    <w:r w:rsidRPr="00212686">
      <w:rPr>
        <w:lang w:val="en-US"/>
      </w:rPr>
      <w:t>E/ECE/TRANS/505/Rev.2/Add.109/Rev.5/Amend.2</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comment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64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609"/>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21A"/>
    <w:rsid w:val="000A5442"/>
    <w:rsid w:val="000A59AC"/>
    <w:rsid w:val="000B016E"/>
    <w:rsid w:val="000B2475"/>
    <w:rsid w:val="000B422A"/>
    <w:rsid w:val="000B45D5"/>
    <w:rsid w:val="000B4C98"/>
    <w:rsid w:val="000B62BC"/>
    <w:rsid w:val="000B6A12"/>
    <w:rsid w:val="000B6EE4"/>
    <w:rsid w:val="000B76AC"/>
    <w:rsid w:val="000B7BE9"/>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A09"/>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2686"/>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4F67"/>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B8"/>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23B9"/>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2CF"/>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1C8E"/>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27E8F"/>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845E2"/>
    <w:rsid w:val="00990EAE"/>
    <w:rsid w:val="00991117"/>
    <w:rsid w:val="0099167F"/>
    <w:rsid w:val="009930EC"/>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26A1"/>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6B7"/>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0D93"/>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34F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E7941"/>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19ED"/>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0D0F"/>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53FA"/>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15:docId w15:val="{C0F25C61-511E-4308-BF9F-19BBCF24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70C2-1750-43AB-A372-75F96DA1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7</cp:revision>
  <cp:lastPrinted>2019-11-19T07:45:00Z</cp:lastPrinted>
  <dcterms:created xsi:type="dcterms:W3CDTF">2019-10-22T07:30:00Z</dcterms:created>
  <dcterms:modified xsi:type="dcterms:W3CDTF">2019-11-21T10:28:00Z</dcterms:modified>
</cp:coreProperties>
</file>