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641F81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D93F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D93FD6" w:rsidRPr="00D93FD6" w:rsidRDefault="00D93FD6" w:rsidP="00D93FD6">
            <w:pPr>
              <w:jc w:val="right"/>
              <w:rPr>
                <w:lang w:val="en-US"/>
              </w:rPr>
            </w:pPr>
            <w:r w:rsidRPr="00D93FD6">
              <w:rPr>
                <w:sz w:val="40"/>
                <w:lang w:val="en-US"/>
              </w:rPr>
              <w:t>E</w:t>
            </w:r>
            <w:r w:rsidRPr="00D93FD6">
              <w:rPr>
                <w:lang w:val="en-US"/>
              </w:rPr>
              <w:t>/ECE/324/Rev.2/Add.142/Amend.1</w:t>
            </w:r>
            <w:r w:rsidRPr="00D93FD6">
              <w:rPr>
                <w:rFonts w:cs="Times New Roman"/>
                <w:lang w:val="en-US"/>
              </w:rPr>
              <w:t>−</w:t>
            </w:r>
            <w:r w:rsidRPr="00D93FD6">
              <w:rPr>
                <w:sz w:val="40"/>
                <w:lang w:val="en-US"/>
              </w:rPr>
              <w:t>E</w:t>
            </w:r>
            <w:r w:rsidRPr="00D93FD6">
              <w:rPr>
                <w:lang w:val="en-US"/>
              </w:rPr>
              <w:t>/ECE/TRANS/505/Rev.2/Add.142/Amend.1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D93FD6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D93FD6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D93FD6" w:rsidRDefault="00D93FD6" w:rsidP="00D93FD6">
            <w:pPr>
              <w:spacing w:before="120"/>
              <w:rPr>
                <w:szCs w:val="20"/>
                <w:lang w:val="en-US"/>
              </w:rPr>
            </w:pPr>
          </w:p>
          <w:p w:rsidR="00D93FD6" w:rsidRDefault="00D93FD6" w:rsidP="00D93FD6">
            <w:pPr>
              <w:spacing w:before="120"/>
              <w:rPr>
                <w:szCs w:val="20"/>
                <w:lang w:val="en-US"/>
              </w:rPr>
            </w:pPr>
          </w:p>
          <w:p w:rsidR="00D93FD6" w:rsidRPr="009D084C" w:rsidRDefault="00D93FD6" w:rsidP="00D93FD6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27 April 2018 </w:t>
            </w:r>
          </w:p>
        </w:tc>
      </w:tr>
    </w:tbl>
    <w:p w:rsidR="00D93FD6" w:rsidRPr="00886230" w:rsidRDefault="00D93FD6" w:rsidP="002377D8">
      <w:pPr>
        <w:pStyle w:val="HChGR"/>
        <w:spacing w:before="240" w:line="240" w:lineRule="exact"/>
      </w:pPr>
      <w:r>
        <w:tab/>
      </w: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D93FD6" w:rsidRPr="00886230" w:rsidRDefault="00D93FD6" w:rsidP="002377D8">
      <w:pPr>
        <w:pStyle w:val="H1GR"/>
        <w:spacing w:before="240" w:line="240" w:lineRule="exact"/>
      </w:pPr>
      <w:r>
        <w:tab/>
      </w: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377D8">
        <w:rPr>
          <w:b w:val="0"/>
          <w:sz w:val="20"/>
        </w:rPr>
        <w:footnoteReference w:customMarkFollows="1" w:id="1"/>
        <w:t>*</w:t>
      </w:r>
    </w:p>
    <w:p w:rsidR="00D93FD6" w:rsidRPr="00886230" w:rsidRDefault="00D93FD6" w:rsidP="00D93FD6">
      <w:pPr>
        <w:pStyle w:val="SingleTxtGR"/>
      </w:pPr>
      <w:r>
        <w:t>(Пересмотр 3, включающий поправки, вступившие в силу 14 сентября 2017 года)</w:t>
      </w:r>
    </w:p>
    <w:p w:rsidR="00D93FD6" w:rsidRPr="00886230" w:rsidRDefault="00D93FD6" w:rsidP="002377D8">
      <w:pPr>
        <w:pStyle w:val="H1G"/>
        <w:spacing w:before="120" w:after="120" w:line="160" w:lineRule="exact"/>
        <w:ind w:left="0" w:right="0" w:firstLine="0"/>
        <w:jc w:val="center"/>
        <w:rPr>
          <w:lang w:val="ru-RU"/>
        </w:rPr>
      </w:pPr>
      <w:r>
        <w:rPr>
          <w:lang w:val="ru-RU"/>
        </w:rPr>
        <w:t>_________</w:t>
      </w:r>
    </w:p>
    <w:p w:rsidR="00D93FD6" w:rsidRPr="00886230" w:rsidRDefault="00D93FD6" w:rsidP="002377D8">
      <w:pPr>
        <w:pStyle w:val="H1GR"/>
        <w:spacing w:before="240" w:line="240" w:lineRule="exact"/>
      </w:pPr>
      <w:r>
        <w:tab/>
      </w:r>
      <w:r>
        <w:tab/>
        <w:t xml:space="preserve">Добавление </w:t>
      </w:r>
      <w:r w:rsidRPr="00F31722">
        <w:t>142</w:t>
      </w:r>
      <w:r>
        <w:t xml:space="preserve"> – Правила № </w:t>
      </w:r>
      <w:r w:rsidRPr="00F31722">
        <w:t>143</w:t>
      </w:r>
      <w:r>
        <w:t xml:space="preserve"> ООН</w:t>
      </w:r>
    </w:p>
    <w:p w:rsidR="00D93FD6" w:rsidRPr="00F31722" w:rsidRDefault="00D93FD6" w:rsidP="002377D8">
      <w:pPr>
        <w:pStyle w:val="H1GR"/>
        <w:spacing w:before="240" w:line="240" w:lineRule="exact"/>
      </w:pPr>
      <w:r>
        <w:tab/>
      </w:r>
      <w:r>
        <w:tab/>
        <w:t xml:space="preserve">Поправка </w:t>
      </w:r>
      <w:r w:rsidRPr="00F31722">
        <w:t>1</w:t>
      </w:r>
    </w:p>
    <w:p w:rsidR="00D93FD6" w:rsidRPr="00886230" w:rsidRDefault="00D93FD6" w:rsidP="002377D8">
      <w:pPr>
        <w:pStyle w:val="SingleTxtGR"/>
        <w:spacing w:after="100" w:line="230" w:lineRule="atLeast"/>
        <w:rPr>
          <w:spacing w:val="-2"/>
        </w:rPr>
      </w:pPr>
      <w:r>
        <w:t xml:space="preserve">Дополнение </w:t>
      </w:r>
      <w:r w:rsidRPr="00F31722">
        <w:t>1</w:t>
      </w:r>
      <w:r>
        <w:t xml:space="preserve"> к первоначальному варианту Правил</w:t>
      </w:r>
      <w:r w:rsidR="002377D8">
        <w:t xml:space="preserve"> − Дата вступления в силу: 10 </w:t>
      </w:r>
      <w:r>
        <w:t>февраля 2018 года</w:t>
      </w:r>
    </w:p>
    <w:p w:rsidR="00D93FD6" w:rsidRPr="00027C83" w:rsidRDefault="00D93FD6" w:rsidP="002377D8">
      <w:pPr>
        <w:pStyle w:val="H1GR"/>
        <w:spacing w:before="240" w:after="200" w:line="240" w:lineRule="exact"/>
      </w:pPr>
      <w:r>
        <w:tab/>
      </w:r>
      <w:r>
        <w:tab/>
        <w:t xml:space="preserve">Единообразные предписания, касающиеся </w:t>
      </w:r>
      <w:r w:rsidRPr="005F22C4">
        <w:t xml:space="preserve">официального </w:t>
      </w:r>
      <w:r w:rsidRPr="00027C83">
        <w:t>утверждения модифицированных систем двухтопливных двигателей большой мощно</w:t>
      </w:r>
      <w:r w:rsidR="002377D8">
        <w:t>сти (МСД-ДТБМ) для установки на </w:t>
      </w:r>
      <w:r w:rsidRPr="00027C83">
        <w:t>дизельных двигателях и транспортных средствах большой мощности</w:t>
      </w:r>
    </w:p>
    <w:p w:rsidR="00D93FD6" w:rsidRPr="00886230" w:rsidRDefault="00D93FD6" w:rsidP="002377D8">
      <w:pPr>
        <w:pStyle w:val="SingleTxtGR"/>
        <w:spacing w:after="0" w:line="216" w:lineRule="exact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ECE/TRANS/WP.29/2017/66.</w:t>
      </w:r>
    </w:p>
    <w:p w:rsidR="00D93FD6" w:rsidRPr="00886230" w:rsidRDefault="00D93FD6" w:rsidP="002377D8">
      <w:pPr>
        <w:suppressAutoHyphens w:val="0"/>
        <w:spacing w:line="240" w:lineRule="exact"/>
        <w:jc w:val="center"/>
        <w:rPr>
          <w:b/>
          <w:sz w:val="24"/>
        </w:rPr>
      </w:pPr>
      <w:r>
        <w:rPr>
          <w:b/>
          <w:noProof/>
          <w:sz w:val="24"/>
          <w:lang w:val="en-GB" w:eastAsia="zh-CN"/>
        </w:rPr>
        <w:drawing>
          <wp:anchor distT="0" distB="137160" distL="114300" distR="114300" simplePos="0" relativeHeight="251659264" behindDoc="0" locked="0" layoutInCell="1" allowOverlap="1" wp14:anchorId="28E3A5BA" wp14:editId="405994E8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</w:t>
      </w:r>
    </w:p>
    <w:p w:rsidR="00D93FD6" w:rsidRDefault="00D93FD6" w:rsidP="002377D8">
      <w:pPr>
        <w:suppressAutoHyphens w:val="0"/>
        <w:spacing w:line="180" w:lineRule="exact"/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</w:p>
    <w:p w:rsidR="00D93FD6" w:rsidRPr="00D93FD6" w:rsidRDefault="00D93FD6" w:rsidP="00D93FD6">
      <w:pPr>
        <w:pStyle w:val="SingleTxtGR"/>
        <w:rPr>
          <w:i/>
          <w:iCs/>
        </w:rPr>
      </w:pPr>
      <w:r w:rsidRPr="00D93FD6">
        <w:rPr>
          <w:i/>
          <w:iCs/>
        </w:rPr>
        <w:lastRenderedPageBreak/>
        <w:t>Приложение 6</w:t>
      </w:r>
    </w:p>
    <w:p w:rsidR="00D93FD6" w:rsidRPr="00D93FD6" w:rsidRDefault="00D93FD6" w:rsidP="00D93FD6">
      <w:pPr>
        <w:pStyle w:val="SingleTxtGR"/>
        <w:rPr>
          <w:i/>
        </w:rPr>
      </w:pPr>
      <w:r w:rsidRPr="00D93FD6">
        <w:rPr>
          <w:i/>
          <w:iCs/>
        </w:rPr>
        <w:t>Пункт 10.1</w:t>
      </w:r>
      <w:r w:rsidRPr="00D93FD6">
        <w:t xml:space="preserve"> изменить следующим образом:</w:t>
      </w:r>
    </w:p>
    <w:p w:rsidR="00D93FD6" w:rsidRPr="00D93FD6" w:rsidRDefault="00D93FD6" w:rsidP="00D93FD6">
      <w:pPr>
        <w:pStyle w:val="SingleTxtGR"/>
      </w:pPr>
      <w:r w:rsidRPr="00D93FD6">
        <w:t>«10.1</w:t>
      </w:r>
      <w:r w:rsidRPr="00D93FD6">
        <w:tab/>
      </w:r>
      <w:r>
        <w:tab/>
      </w:r>
      <w:r w:rsidRPr="00D93FD6">
        <w:t>Испытания и требования</w:t>
      </w:r>
    </w:p>
    <w:p w:rsidR="00D93FD6" w:rsidRPr="00D93FD6" w:rsidRDefault="00D93FD6" w:rsidP="00D93FD6">
      <w:pPr>
        <w:pStyle w:val="SingleTxtGR"/>
        <w:ind w:left="2268" w:hanging="1134"/>
      </w:pPr>
      <w:r>
        <w:tab/>
      </w:r>
      <w:r>
        <w:tab/>
      </w:r>
      <w:r w:rsidRPr="00D93FD6">
        <w:t>Двигатель, являющийся репрезентативным для запрашиваемого расширения диапазона применения, испытывают в соответствии с положениями пункта 5.2.2 или 10.1.1 по усмотрению изготовителя модифицированной системы двухтопливного двигателя. Испытания двигателя в соответствии с пунктом 5.2.2 всегда требуются при расширении диапазона применения путем включения в него семейства двигателей с РОГ.</w:t>
      </w:r>
    </w:p>
    <w:p w:rsidR="00D93FD6" w:rsidRPr="00D93FD6" w:rsidRDefault="00D93FD6" w:rsidP="00D93FD6">
      <w:pPr>
        <w:pStyle w:val="SingleTxtGR"/>
        <w:ind w:left="2268" w:hanging="1134"/>
      </w:pPr>
      <w:r>
        <w:tab/>
      </w:r>
      <w:r>
        <w:tab/>
      </w:r>
      <w:r w:rsidRPr="00D93FD6">
        <w:t>Испытания в соответствии с пунктом 10.1.1 проводят на репрезентативном двигателе, оборудованном системой, относящейся к семейству модифицированных систем двухтопливных двигателей.</w:t>
      </w:r>
    </w:p>
    <w:p w:rsidR="00D93FD6" w:rsidRPr="00D93FD6" w:rsidRDefault="00D93FD6" w:rsidP="00D93FD6">
      <w:pPr>
        <w:pStyle w:val="SingleTxtGR"/>
        <w:ind w:left="2268" w:hanging="1134"/>
      </w:pPr>
      <w:r>
        <w:tab/>
      </w:r>
      <w:r>
        <w:tab/>
      </w:r>
      <w:r w:rsidRPr="00D93FD6">
        <w:t>Одни и те же испытания проводят в дизельном и двухтопливном режимах при максимально возможном соответствии операционных точек и условий.</w:t>
      </w:r>
    </w:p>
    <w:p w:rsidR="00D93FD6" w:rsidRPr="00D93FD6" w:rsidRDefault="00D93FD6" w:rsidP="00D93FD6">
      <w:pPr>
        <w:pStyle w:val="SingleTxtGR"/>
        <w:ind w:left="2268" w:hanging="1134"/>
      </w:pPr>
      <w:r>
        <w:tab/>
      </w:r>
      <w:r>
        <w:tab/>
      </w:r>
      <w:r w:rsidRPr="00D93FD6">
        <w:t>Полученные по результатам испытаний значения выбросов NO</w:t>
      </w:r>
      <w:r w:rsidRPr="00D93FD6">
        <w:rPr>
          <w:vertAlign w:val="subscript"/>
        </w:rPr>
        <w:t>Х</w:t>
      </w:r>
      <w:r w:rsidRPr="00D93FD6">
        <w:t xml:space="preserve">, </w:t>
      </w:r>
      <w:proofErr w:type="spellStart"/>
      <w:r w:rsidRPr="00D93FD6">
        <w:t>неметановых</w:t>
      </w:r>
      <w:proofErr w:type="spellEnd"/>
      <w:r w:rsidRPr="00D93FD6">
        <w:t xml:space="preserve"> углеводородов (НМУВ), CO и ВЧ в двухтопливном режиме должны быть меньше или равны соответствующим значениям для дизельного режима.</w:t>
      </w:r>
    </w:p>
    <w:p w:rsidR="00D93FD6" w:rsidRPr="00D93FD6" w:rsidRDefault="00D93FD6" w:rsidP="00D93FD6">
      <w:pPr>
        <w:pStyle w:val="SingleTxtGR"/>
        <w:ind w:left="2268" w:hanging="1134"/>
      </w:pPr>
      <w:r>
        <w:tab/>
      </w:r>
      <w:r>
        <w:tab/>
      </w:r>
      <w:r w:rsidRPr="00D93FD6">
        <w:t>В качестве альтернативного варианта, по просьбе изготовителя модифицированной системы двигателя, применяются следующие положения:</w:t>
      </w:r>
    </w:p>
    <w:p w:rsidR="00D93FD6" w:rsidRPr="00D93FD6" w:rsidRDefault="00D93FD6" w:rsidP="00D93FD6">
      <w:pPr>
        <w:pStyle w:val="SingleTxtGR"/>
        <w:ind w:left="2835" w:hanging="1701"/>
      </w:pPr>
      <w:r>
        <w:tab/>
      </w:r>
      <w:r>
        <w:tab/>
      </w:r>
      <w:r w:rsidRPr="00D93FD6">
        <w:t>a)</w:t>
      </w:r>
      <w:r w:rsidRPr="00D93FD6">
        <w:tab/>
        <w:t xml:space="preserve">только для выбросов </w:t>
      </w:r>
      <w:proofErr w:type="spellStart"/>
      <w:r w:rsidRPr="00D93FD6">
        <w:t>неметановых</w:t>
      </w:r>
      <w:proofErr w:type="spellEnd"/>
      <w:r w:rsidRPr="00D93FD6">
        <w:t xml:space="preserve"> углеводородов (НМУВ) и CO значения удельных выбросов CO</w:t>
      </w:r>
      <w:r w:rsidRPr="00D93FD6">
        <w:rPr>
          <w:vertAlign w:val="subscript"/>
        </w:rPr>
        <w:t>2</w:t>
      </w:r>
      <w:r w:rsidRPr="00D93FD6">
        <w:t xml:space="preserve"> в ходе испытания в соответствии с пунктом 10.1.1.1 в двухтопливном режиме не должны превышать применимых исходных предельных значений, указанных в Правилах № 49 ООН и преобразованных в предельные значения удельных выбросов CO</w:t>
      </w:r>
      <w:r w:rsidRPr="00D93FD6">
        <w:rPr>
          <w:vertAlign w:val="subscript"/>
        </w:rPr>
        <w:t>2</w:t>
      </w:r>
      <w:r w:rsidRPr="00D93FD6">
        <w:t xml:space="preserve"> с помощью следующего уравнения:</w:t>
      </w:r>
    </w:p>
    <w:p w:rsidR="00D93FD6" w:rsidRPr="00D93FD6" w:rsidRDefault="00D93FD6" w:rsidP="00D93FD6">
      <w:pPr>
        <w:pStyle w:val="SingleTxtGR"/>
        <w:ind w:left="2268" w:hanging="1134"/>
      </w:pPr>
      <w:r>
        <w:tab/>
      </w:r>
      <w:r>
        <w:tab/>
      </w:r>
      <w:r w:rsidRPr="00D93FD6">
        <w:t>предельное значение удельных выбросов CO</w:t>
      </w:r>
      <w:r w:rsidRPr="00D93FD6">
        <w:rPr>
          <w:vertAlign w:val="subscript"/>
        </w:rPr>
        <w:t>2</w:t>
      </w:r>
      <w:r w:rsidRPr="00D93FD6">
        <w:t xml:space="preserve"> = 1,6 × 1,5 × предельное значение удельных выбросов при торможении,</w:t>
      </w:r>
    </w:p>
    <w:p w:rsidR="00D93FD6" w:rsidRPr="00D131CD" w:rsidRDefault="00D93FD6" w:rsidP="00D93FD6">
      <w:pPr>
        <w:pStyle w:val="SingleTxtGR"/>
      </w:pPr>
      <w:r>
        <w:tab/>
      </w:r>
      <w:r>
        <w:tab/>
      </w:r>
      <w:r w:rsidRPr="00D93FD6">
        <w:t>где:</w:t>
      </w:r>
    </w:p>
    <w:tbl>
      <w:tblPr>
        <w:tblStyle w:val="TableGrid"/>
        <w:tblW w:w="0" w:type="auto"/>
        <w:tblInd w:w="2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4975"/>
      </w:tblGrid>
      <w:tr w:rsidR="00D93FD6" w:rsidRPr="00F31722" w:rsidTr="00641F81">
        <w:tc>
          <w:tcPr>
            <w:tcW w:w="2507" w:type="dxa"/>
          </w:tcPr>
          <w:p w:rsidR="00D93FD6" w:rsidRPr="00D93FD6" w:rsidRDefault="00D93FD6" w:rsidP="00D022C9">
            <w:pPr>
              <w:spacing w:after="12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</w:t>
            </w:r>
            <w:r w:rsidRPr="00D93FD6">
              <w:rPr>
                <w:rFonts w:ascii="Times New Roman" w:hAnsi="Times New Roman" w:cs="Times New Roman"/>
                <w:sz w:val="20"/>
                <w:szCs w:val="20"/>
              </w:rPr>
              <w:br/>
              <w:t>удельных выбросов CO</w:t>
            </w:r>
            <w:r w:rsidRPr="00D93F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75" w:type="dxa"/>
          </w:tcPr>
          <w:p w:rsidR="00D93FD6" w:rsidRPr="00D93FD6" w:rsidRDefault="00D93FD6" w:rsidP="00C54F3B">
            <w:pPr>
              <w:spacing w:after="120"/>
              <w:ind w:left="477" w:right="1025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93FD6">
              <w:rPr>
                <w:rFonts w:ascii="Times New Roman" w:hAnsi="Times New Roman" w:cs="Times New Roman"/>
                <w:sz w:val="20"/>
                <w:szCs w:val="20"/>
              </w:rPr>
              <w:tab/>
              <w:t>эквивалентное предельное значение, выраженное в</w:t>
            </w:r>
            <w:r w:rsidRPr="00D93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93FD6">
              <w:rPr>
                <w:rFonts w:ascii="Times New Roman" w:hAnsi="Times New Roman" w:cs="Times New Roman"/>
                <w:sz w:val="20"/>
                <w:szCs w:val="20"/>
              </w:rPr>
              <w:t>[г/кгCO</w:t>
            </w:r>
            <w:r w:rsidRPr="00D93F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93FD6">
              <w:rPr>
                <w:rFonts w:ascii="Times New Roman" w:hAnsi="Times New Roman" w:cs="Times New Roman"/>
                <w:sz w:val="20"/>
                <w:szCs w:val="20"/>
              </w:rPr>
              <w:t>],</w:t>
            </w:r>
          </w:p>
        </w:tc>
      </w:tr>
      <w:tr w:rsidR="00D93FD6" w:rsidRPr="00F31722" w:rsidTr="00641F81">
        <w:tc>
          <w:tcPr>
            <w:tcW w:w="2507" w:type="dxa"/>
          </w:tcPr>
          <w:p w:rsidR="00D93FD6" w:rsidRPr="00D93FD6" w:rsidRDefault="00D93FD6" w:rsidP="00D022C9">
            <w:pPr>
              <w:spacing w:after="12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975" w:type="dxa"/>
          </w:tcPr>
          <w:p w:rsidR="00D93FD6" w:rsidRPr="00D93FD6" w:rsidRDefault="00D93FD6" w:rsidP="00C54F3B">
            <w:pPr>
              <w:spacing w:after="120"/>
              <w:ind w:left="477" w:right="1025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93FD6">
              <w:rPr>
                <w:rFonts w:ascii="Times New Roman" w:hAnsi="Times New Roman" w:cs="Times New Roman"/>
                <w:sz w:val="20"/>
                <w:szCs w:val="20"/>
              </w:rPr>
              <w:tab/>
              <w:t>коэффициент пересчета значения удельных выбросов при торможении в значение удельных выбросов CO</w:t>
            </w:r>
            <w:r w:rsidRPr="00D93F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93F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D93FD6" w:rsidTr="00641F81">
        <w:tc>
          <w:tcPr>
            <w:tcW w:w="2507" w:type="dxa"/>
          </w:tcPr>
          <w:p w:rsidR="00D93FD6" w:rsidRPr="00D93FD6" w:rsidRDefault="00D93FD6" w:rsidP="00D022C9">
            <w:pPr>
              <w:spacing w:after="12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975" w:type="dxa"/>
          </w:tcPr>
          <w:p w:rsidR="00D93FD6" w:rsidRPr="00D93FD6" w:rsidRDefault="00D93FD6" w:rsidP="00C54F3B">
            <w:pPr>
              <w:spacing w:after="120"/>
              <w:ind w:left="477" w:right="1025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93FD6">
              <w:rPr>
                <w:rFonts w:ascii="Times New Roman" w:hAnsi="Times New Roman" w:cs="Times New Roman"/>
                <w:sz w:val="20"/>
                <w:szCs w:val="20"/>
              </w:rPr>
              <w:tab/>
              <w:t>коэффициент соответствия,</w:t>
            </w:r>
          </w:p>
        </w:tc>
      </w:tr>
      <w:tr w:rsidR="00D93FD6" w:rsidRPr="00F31722" w:rsidTr="00641F81">
        <w:tc>
          <w:tcPr>
            <w:tcW w:w="2507" w:type="dxa"/>
          </w:tcPr>
          <w:p w:rsidR="00D93FD6" w:rsidRPr="00D93FD6" w:rsidRDefault="00D93FD6" w:rsidP="00D022C9">
            <w:pPr>
              <w:spacing w:after="120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удельных выбросов при торможении</w:t>
            </w:r>
          </w:p>
        </w:tc>
        <w:tc>
          <w:tcPr>
            <w:tcW w:w="4975" w:type="dxa"/>
          </w:tcPr>
          <w:p w:rsidR="00D93FD6" w:rsidRPr="00D93FD6" w:rsidRDefault="00D93FD6" w:rsidP="00C54F3B">
            <w:pPr>
              <w:spacing w:after="120"/>
              <w:ind w:left="477" w:right="1025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93FD6">
              <w:rPr>
                <w:rFonts w:ascii="Times New Roman" w:hAnsi="Times New Roman" w:cs="Times New Roman"/>
                <w:sz w:val="20"/>
                <w:szCs w:val="20"/>
              </w:rPr>
              <w:tab/>
              <w:t>применимое исходное предельное значение выбросов, указанное в Правилах №</w:t>
            </w:r>
            <w:r w:rsidRPr="00D93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93FD6">
              <w:rPr>
                <w:rFonts w:ascii="Times New Roman" w:hAnsi="Times New Roman" w:cs="Times New Roman"/>
                <w:sz w:val="20"/>
                <w:szCs w:val="20"/>
              </w:rPr>
              <w:t>49 и выраженное в [г/кВт];</w:t>
            </w:r>
          </w:p>
        </w:tc>
      </w:tr>
    </w:tbl>
    <w:p w:rsidR="00381C24" w:rsidRDefault="002377D8" w:rsidP="002377D8">
      <w:pPr>
        <w:pStyle w:val="SingleTxtGR"/>
        <w:ind w:left="2835" w:hanging="1701"/>
      </w:pPr>
      <w:r>
        <w:tab/>
      </w:r>
      <w:r>
        <w:tab/>
      </w:r>
      <w:r w:rsidR="00D93FD6" w:rsidRPr="009169FD">
        <w:t>b)</w:t>
      </w:r>
      <w:r w:rsidR="00D93FD6" w:rsidRPr="009169FD">
        <w:tab/>
        <w:t>полученные по результатам испытаний значения выбросов NO</w:t>
      </w:r>
      <w:r w:rsidR="00D93FD6" w:rsidRPr="0029542A">
        <w:rPr>
          <w:vertAlign w:val="subscript"/>
        </w:rPr>
        <w:t>Х</w:t>
      </w:r>
      <w:r w:rsidR="00D93FD6" w:rsidRPr="009169FD">
        <w:t xml:space="preserve"> и ВЧ в двухтопливном режиме должны быть меньше или равны соответствующим значениям для дизельного режима</w:t>
      </w:r>
      <w:r w:rsidR="00D93FD6">
        <w:t>».</w:t>
      </w:r>
    </w:p>
    <w:p w:rsidR="002377D8" w:rsidRPr="002377D8" w:rsidRDefault="002377D8" w:rsidP="002377D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377D8" w:rsidRPr="002377D8" w:rsidSect="00D93F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9C" w:rsidRPr="00A312BC" w:rsidRDefault="00665D9C" w:rsidP="00A312BC"/>
  </w:endnote>
  <w:endnote w:type="continuationSeparator" w:id="0">
    <w:p w:rsidR="00665D9C" w:rsidRPr="00A312BC" w:rsidRDefault="00665D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D6" w:rsidRPr="00D93FD6" w:rsidRDefault="00D93FD6">
    <w:pPr>
      <w:pStyle w:val="Footer"/>
    </w:pPr>
    <w:r w:rsidRPr="00D93FD6">
      <w:rPr>
        <w:b/>
        <w:sz w:val="18"/>
      </w:rPr>
      <w:fldChar w:fldCharType="begin"/>
    </w:r>
    <w:r w:rsidRPr="00D93FD6">
      <w:rPr>
        <w:b/>
        <w:sz w:val="18"/>
      </w:rPr>
      <w:instrText xml:space="preserve"> PAGE  \* MERGEFORMAT </w:instrText>
    </w:r>
    <w:r w:rsidRPr="00D93FD6">
      <w:rPr>
        <w:b/>
        <w:sz w:val="18"/>
      </w:rPr>
      <w:fldChar w:fldCharType="separate"/>
    </w:r>
    <w:r w:rsidR="008B093A">
      <w:rPr>
        <w:b/>
        <w:noProof/>
        <w:sz w:val="18"/>
      </w:rPr>
      <w:t>2</w:t>
    </w:r>
    <w:r w:rsidRPr="00D93FD6">
      <w:rPr>
        <w:b/>
        <w:sz w:val="18"/>
      </w:rPr>
      <w:fldChar w:fldCharType="end"/>
    </w:r>
    <w:r>
      <w:rPr>
        <w:b/>
        <w:sz w:val="18"/>
      </w:rPr>
      <w:tab/>
    </w:r>
    <w:r>
      <w:t>GE.18-06708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D6" w:rsidRPr="00D93FD6" w:rsidRDefault="00D93FD6" w:rsidP="00D93FD6">
    <w:pPr>
      <w:pStyle w:val="Footer"/>
      <w:tabs>
        <w:tab w:val="clear" w:pos="9639"/>
        <w:tab w:val="right" w:pos="9638"/>
      </w:tabs>
      <w:rPr>
        <w:b/>
        <w:sz w:val="18"/>
      </w:rPr>
    </w:pPr>
    <w:r>
      <w:t>GE.18-06708</w:t>
    </w:r>
    <w:r>
      <w:tab/>
    </w:r>
    <w:r w:rsidRPr="00D93FD6">
      <w:rPr>
        <w:b/>
        <w:sz w:val="18"/>
      </w:rPr>
      <w:fldChar w:fldCharType="begin"/>
    </w:r>
    <w:r w:rsidRPr="00D93FD6">
      <w:rPr>
        <w:b/>
        <w:sz w:val="18"/>
      </w:rPr>
      <w:instrText xml:space="preserve"> PAGE  \* MERGEFORMAT </w:instrText>
    </w:r>
    <w:r w:rsidRPr="00D93FD6">
      <w:rPr>
        <w:b/>
        <w:sz w:val="18"/>
      </w:rPr>
      <w:fldChar w:fldCharType="separate"/>
    </w:r>
    <w:r w:rsidR="00C624D6">
      <w:rPr>
        <w:b/>
        <w:noProof/>
        <w:sz w:val="18"/>
      </w:rPr>
      <w:t>3</w:t>
    </w:r>
    <w:r w:rsidRPr="00D93F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93FD6" w:rsidRDefault="00D93FD6" w:rsidP="00D93FD6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18-06708  (R)</w:t>
    </w:r>
    <w:r w:rsidR="002377D8">
      <w:rPr>
        <w:lang w:val="en-US"/>
      </w:rPr>
      <w:t xml:space="preserve">  100518  140518</w:t>
    </w:r>
    <w:r>
      <w:br/>
    </w:r>
    <w:r w:rsidRPr="00D93FD6">
      <w:rPr>
        <w:rFonts w:ascii="C39T30Lfz" w:hAnsi="C39T30Lfz"/>
        <w:kern w:val="14"/>
        <w:sz w:val="56"/>
      </w:rPr>
      <w:t></w:t>
    </w:r>
    <w:r w:rsidRPr="00D93FD6">
      <w:rPr>
        <w:rFonts w:ascii="C39T30Lfz" w:hAnsi="C39T30Lfz"/>
        <w:kern w:val="14"/>
        <w:sz w:val="56"/>
      </w:rPr>
      <w:t></w:t>
    </w:r>
    <w:r w:rsidRPr="00D93FD6">
      <w:rPr>
        <w:rFonts w:ascii="C39T30Lfz" w:hAnsi="C39T30Lfz"/>
        <w:kern w:val="14"/>
        <w:sz w:val="56"/>
      </w:rPr>
      <w:t></w:t>
    </w:r>
    <w:r w:rsidRPr="00D93FD6">
      <w:rPr>
        <w:rFonts w:ascii="C39T30Lfz" w:hAnsi="C39T30Lfz"/>
        <w:kern w:val="14"/>
        <w:sz w:val="56"/>
      </w:rPr>
      <w:t></w:t>
    </w:r>
    <w:r w:rsidRPr="00D93FD6">
      <w:rPr>
        <w:rFonts w:ascii="C39T30Lfz" w:hAnsi="C39T30Lfz"/>
        <w:kern w:val="14"/>
        <w:sz w:val="56"/>
      </w:rPr>
      <w:t></w:t>
    </w:r>
    <w:r w:rsidRPr="00D93FD6">
      <w:rPr>
        <w:rFonts w:ascii="C39T30Lfz" w:hAnsi="C39T30Lfz"/>
        <w:kern w:val="14"/>
        <w:sz w:val="56"/>
      </w:rPr>
      <w:t></w:t>
    </w:r>
    <w:r w:rsidRPr="00D93FD6">
      <w:rPr>
        <w:rFonts w:ascii="C39T30Lfz" w:hAnsi="C39T30Lfz"/>
        <w:kern w:val="14"/>
        <w:sz w:val="56"/>
      </w:rPr>
      <w:t></w:t>
    </w:r>
    <w:r w:rsidRPr="00D93FD6">
      <w:rPr>
        <w:rFonts w:ascii="C39T30Lfz" w:hAnsi="C39T30Lfz"/>
        <w:kern w:val="14"/>
        <w:sz w:val="56"/>
      </w:rPr>
      <w:t></w:t>
    </w:r>
    <w:r w:rsidRPr="00D93FD6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42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42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9C" w:rsidRPr="001075E9" w:rsidRDefault="00665D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5D9C" w:rsidRDefault="00665D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93FD6" w:rsidRPr="00886230" w:rsidRDefault="00D93FD6" w:rsidP="002377D8">
      <w:pPr>
        <w:pStyle w:val="FootnoteText"/>
        <w:spacing w:line="210" w:lineRule="exact"/>
      </w:pPr>
      <w:r>
        <w:tab/>
      </w:r>
      <w:r w:rsidRPr="002377D8">
        <w:rPr>
          <w:sz w:val="20"/>
        </w:rPr>
        <w:t>*</w:t>
      </w:r>
      <w:r>
        <w:tab/>
        <w:t>Прежние названия Соглашения:</w:t>
      </w:r>
    </w:p>
    <w:p w:rsidR="00D93FD6" w:rsidRPr="00886230" w:rsidRDefault="00D93FD6" w:rsidP="002377D8">
      <w:pPr>
        <w:pStyle w:val="FootnoteText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D93FD6" w:rsidRPr="00886230" w:rsidRDefault="00D93FD6" w:rsidP="002377D8">
      <w:pPr>
        <w:pStyle w:val="FootnoteText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2377D8">
        <w:t>едписаний, совершено в Женеве 5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D6" w:rsidRPr="00D93FD6" w:rsidRDefault="00E12BB0">
    <w:pPr>
      <w:pStyle w:val="Header"/>
    </w:pPr>
    <w:fldSimple w:instr=" TITLE  \* MERGEFORMAT ">
      <w:r w:rsidR="008B093A">
        <w:t>E/ECE/324/Rev.2/Add.142/Amend.1</w:t>
      </w:r>
    </w:fldSimple>
    <w:r w:rsidR="00D93FD6">
      <w:br/>
    </w:r>
    <w:fldSimple w:instr=" KEYWORDS  \* MERGEFORMAT ">
      <w:r w:rsidR="008B093A">
        <w:t>E/ECE/TRANS/505/Rev.2/Add.142/Amend.1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D6" w:rsidRPr="00D93FD6" w:rsidRDefault="00E12BB0" w:rsidP="00D93FD6">
    <w:pPr>
      <w:pStyle w:val="Header"/>
      <w:jc w:val="right"/>
    </w:pPr>
    <w:fldSimple w:instr=" TITLE  \* MERGEFORMAT ">
      <w:r w:rsidR="008B093A">
        <w:t>E/ECE/324/Rev.2/Add.142/Amend.1</w:t>
      </w:r>
    </w:fldSimple>
    <w:r w:rsidR="00D93FD6">
      <w:br/>
    </w:r>
    <w:fldSimple w:instr=" KEYWORDS  \* MERGEFORMAT ">
      <w:r w:rsidR="008B093A">
        <w:t>E/ECE/TRANS/505/Rev.2/Add.142/Amend.1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9C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377D8"/>
    <w:rsid w:val="00266087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41F81"/>
    <w:rsid w:val="00665D9C"/>
    <w:rsid w:val="00681A10"/>
    <w:rsid w:val="006A0927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093A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54F3B"/>
    <w:rsid w:val="00C60F0C"/>
    <w:rsid w:val="00C624D6"/>
    <w:rsid w:val="00C805C9"/>
    <w:rsid w:val="00C92939"/>
    <w:rsid w:val="00CA1679"/>
    <w:rsid w:val="00CB151C"/>
    <w:rsid w:val="00CB58E1"/>
    <w:rsid w:val="00CE073C"/>
    <w:rsid w:val="00CE5A1A"/>
    <w:rsid w:val="00CF55F6"/>
    <w:rsid w:val="00D315CA"/>
    <w:rsid w:val="00D33D63"/>
    <w:rsid w:val="00D90028"/>
    <w:rsid w:val="00D90138"/>
    <w:rsid w:val="00D93FD6"/>
    <w:rsid w:val="00DF71B9"/>
    <w:rsid w:val="00E12BB0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1135D5D-0909-416C-A2D9-C38CEF1D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uiPriority w:val="99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D93FD6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D93FD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D93FD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D93FD6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D93FD6"/>
    <w:rPr>
      <w:lang w:val="en-GB" w:eastAsia="en-US"/>
    </w:rPr>
  </w:style>
  <w:style w:type="character" w:customStyle="1" w:styleId="HChGChar">
    <w:name w:val="_ H _Ch_G Char"/>
    <w:link w:val="HChG"/>
    <w:rsid w:val="00D93FD6"/>
    <w:rPr>
      <w:b/>
      <w:sz w:val="28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D93FD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E/ECE/324/Rev.2/Add.142/Amend.1</vt:lpstr>
      <vt:lpstr>E/ECE/324/Rev.2/Add.142/Amend.1</vt:lpstr>
      <vt:lpstr>A/</vt:lpstr>
    </vt:vector>
  </TitlesOfParts>
  <Company>DCM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E/ECE/324/Rev.2/Add.142/Amend.1</dc:title>
  <dc:creator>Uliana ANTIPOVA</dc:creator>
  <cp:keywords>E/ECE/TRANS/505/Rev.2/Add.142/Amend.1</cp:keywords>
  <cp:lastModifiedBy>Marie-Claude Collet</cp:lastModifiedBy>
  <cp:revision>3</cp:revision>
  <cp:lastPrinted>2019-03-25T10:53:00Z</cp:lastPrinted>
  <dcterms:created xsi:type="dcterms:W3CDTF">2019-03-25T10:53:00Z</dcterms:created>
  <dcterms:modified xsi:type="dcterms:W3CDTF">2019-03-25T10:54:00Z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