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356" w:rsidRPr="004C206F" w14:paraId="2B049280" w14:textId="77777777" w:rsidTr="004B7E3B">
        <w:trPr>
          <w:cantSplit/>
          <w:trHeight w:hRule="exact" w:val="851"/>
        </w:trPr>
        <w:tc>
          <w:tcPr>
            <w:tcW w:w="1276" w:type="dxa"/>
            <w:tcBorders>
              <w:bottom w:val="single" w:sz="4" w:space="0" w:color="auto"/>
            </w:tcBorders>
            <w:vAlign w:val="bottom"/>
          </w:tcPr>
          <w:p w14:paraId="5E053410" w14:textId="77777777" w:rsidR="00093356" w:rsidRPr="00B61A67" w:rsidRDefault="00093356" w:rsidP="00093356">
            <w:pPr>
              <w:rPr>
                <w:lang w:val="en-GB"/>
              </w:rPr>
            </w:pPr>
            <w:bookmarkStart w:id="0" w:name="_GoBack"/>
            <w:bookmarkEnd w:id="0"/>
          </w:p>
        </w:tc>
        <w:tc>
          <w:tcPr>
            <w:tcW w:w="8363" w:type="dxa"/>
            <w:gridSpan w:val="2"/>
            <w:tcBorders>
              <w:bottom w:val="single" w:sz="4" w:space="0" w:color="auto"/>
            </w:tcBorders>
            <w:vAlign w:val="bottom"/>
          </w:tcPr>
          <w:p w14:paraId="08AB345D" w14:textId="77777777" w:rsidR="00093356" w:rsidRPr="00B61A67" w:rsidRDefault="00093356" w:rsidP="00093356">
            <w:pPr>
              <w:jc w:val="right"/>
              <w:rPr>
                <w:lang w:val="en-GB"/>
              </w:rPr>
            </w:pPr>
            <w:r w:rsidRPr="00B61A67">
              <w:rPr>
                <w:sz w:val="40"/>
                <w:lang w:val="en-GB"/>
              </w:rPr>
              <w:t>E</w:t>
            </w:r>
            <w:r w:rsidRPr="00B61A67">
              <w:rPr>
                <w:lang w:val="en-GB"/>
              </w:rPr>
              <w:t>/ECE/324/Rev.2/Add.1</w:t>
            </w:r>
            <w:r>
              <w:rPr>
                <w:lang w:val="en-GB"/>
              </w:rPr>
              <w:t>41</w:t>
            </w:r>
            <w:r w:rsidR="00447099">
              <w:rPr>
                <w:lang w:val="en-GB"/>
              </w:rPr>
              <w:t>/Amend.1</w:t>
            </w:r>
            <w:r w:rsidRPr="00B61A67">
              <w:rPr>
                <w:lang w:val="en-GB"/>
              </w:rPr>
              <w:t>−</w:t>
            </w:r>
            <w:r w:rsidRPr="00B61A67">
              <w:rPr>
                <w:sz w:val="40"/>
                <w:lang w:val="en-GB"/>
              </w:rPr>
              <w:t>E</w:t>
            </w:r>
            <w:r w:rsidRPr="00B61A67">
              <w:rPr>
                <w:lang w:val="en-GB"/>
              </w:rPr>
              <w:t>/ECE/TRANS/505/Rev.2/Add.1</w:t>
            </w:r>
            <w:r>
              <w:rPr>
                <w:lang w:val="en-GB"/>
              </w:rPr>
              <w:t>41</w:t>
            </w:r>
            <w:r w:rsidR="00447099">
              <w:rPr>
                <w:lang w:val="en-GB"/>
              </w:rPr>
              <w:t>/Amend.1</w:t>
            </w:r>
          </w:p>
        </w:tc>
      </w:tr>
      <w:tr w:rsidR="00093356" w:rsidRPr="00B61A67" w14:paraId="1EBC455F" w14:textId="77777777" w:rsidTr="004C206F">
        <w:trPr>
          <w:cantSplit/>
          <w:trHeight w:hRule="exact" w:val="1671"/>
        </w:trPr>
        <w:tc>
          <w:tcPr>
            <w:tcW w:w="1276" w:type="dxa"/>
            <w:tcBorders>
              <w:top w:val="single" w:sz="4" w:space="0" w:color="auto"/>
              <w:bottom w:val="single" w:sz="12" w:space="0" w:color="auto"/>
            </w:tcBorders>
          </w:tcPr>
          <w:p w14:paraId="6975139C" w14:textId="77777777" w:rsidR="00093356" w:rsidRPr="00B61A67" w:rsidRDefault="00093356" w:rsidP="00093356">
            <w:pPr>
              <w:spacing w:before="120"/>
              <w:rPr>
                <w:lang w:val="en-GB"/>
              </w:rPr>
            </w:pPr>
          </w:p>
        </w:tc>
        <w:tc>
          <w:tcPr>
            <w:tcW w:w="5528" w:type="dxa"/>
            <w:tcBorders>
              <w:top w:val="single" w:sz="4" w:space="0" w:color="auto"/>
              <w:bottom w:val="single" w:sz="12" w:space="0" w:color="auto"/>
            </w:tcBorders>
          </w:tcPr>
          <w:p w14:paraId="4B7E4314" w14:textId="77777777" w:rsidR="00093356" w:rsidRPr="00B61A67" w:rsidRDefault="00093356" w:rsidP="00093356">
            <w:pPr>
              <w:spacing w:before="120"/>
              <w:rPr>
                <w:lang w:val="en-GB"/>
              </w:rPr>
            </w:pPr>
          </w:p>
        </w:tc>
        <w:tc>
          <w:tcPr>
            <w:tcW w:w="2835" w:type="dxa"/>
            <w:tcBorders>
              <w:top w:val="single" w:sz="4" w:space="0" w:color="auto"/>
              <w:bottom w:val="single" w:sz="12" w:space="0" w:color="auto"/>
            </w:tcBorders>
          </w:tcPr>
          <w:p w14:paraId="45E03653" w14:textId="77777777" w:rsidR="00093356" w:rsidRPr="00B61A67" w:rsidRDefault="00093356" w:rsidP="00093356">
            <w:pPr>
              <w:spacing w:before="120"/>
              <w:rPr>
                <w:lang w:val="en-GB"/>
              </w:rPr>
            </w:pPr>
          </w:p>
          <w:p w14:paraId="4590E2BF" w14:textId="77777777" w:rsidR="00093356" w:rsidRPr="00B61A67" w:rsidRDefault="00093356" w:rsidP="00093356">
            <w:pPr>
              <w:spacing w:before="120"/>
              <w:rPr>
                <w:lang w:val="en-GB"/>
              </w:rPr>
            </w:pPr>
          </w:p>
          <w:p w14:paraId="625795FF" w14:textId="1D2F5306" w:rsidR="00093356" w:rsidRPr="00B61A67" w:rsidRDefault="00F0532C" w:rsidP="00093356">
            <w:pPr>
              <w:spacing w:before="120"/>
              <w:rPr>
                <w:lang w:val="en-GB"/>
              </w:rPr>
            </w:pPr>
            <w:r>
              <w:rPr>
                <w:lang w:val="en-GB"/>
              </w:rPr>
              <w:t>2 November</w:t>
            </w:r>
            <w:r w:rsidR="00447099">
              <w:rPr>
                <w:lang w:val="en-GB"/>
              </w:rPr>
              <w:t xml:space="preserve"> 2018</w:t>
            </w:r>
          </w:p>
          <w:p w14:paraId="552244F5" w14:textId="77777777" w:rsidR="00093356" w:rsidRPr="00B61A67" w:rsidRDefault="00093356" w:rsidP="00093356">
            <w:pPr>
              <w:spacing w:before="120"/>
              <w:rPr>
                <w:lang w:val="en-GB"/>
              </w:rPr>
            </w:pPr>
          </w:p>
        </w:tc>
      </w:tr>
    </w:tbl>
    <w:p w14:paraId="37BE033C" w14:textId="77777777" w:rsidR="00093356" w:rsidRPr="00B61A67" w:rsidRDefault="00093356" w:rsidP="00093356">
      <w:pPr>
        <w:keepNext/>
        <w:keepLines/>
        <w:tabs>
          <w:tab w:val="right" w:pos="851"/>
        </w:tabs>
        <w:spacing w:before="360" w:after="240" w:line="300" w:lineRule="exact"/>
        <w:ind w:left="1134" w:right="1134" w:hanging="1134"/>
        <w:rPr>
          <w:b/>
          <w:sz w:val="28"/>
          <w:lang w:val="en-GB"/>
        </w:rPr>
      </w:pPr>
      <w:r w:rsidRPr="00B61A67">
        <w:rPr>
          <w:b/>
          <w:sz w:val="28"/>
          <w:lang w:val="en-GB"/>
        </w:rPr>
        <w:tab/>
      </w:r>
      <w:r w:rsidRPr="00B61A67">
        <w:rPr>
          <w:b/>
          <w:sz w:val="28"/>
          <w:lang w:val="en-GB"/>
        </w:rPr>
        <w:tab/>
      </w:r>
      <w:bookmarkStart w:id="1" w:name="_Toc340666199"/>
      <w:bookmarkStart w:id="2" w:name="_Toc340745062"/>
      <w:r w:rsidRPr="00B61A67">
        <w:rPr>
          <w:b/>
          <w:sz w:val="28"/>
          <w:lang w:val="en-GB"/>
        </w:rPr>
        <w:t>Agreement</w:t>
      </w:r>
      <w:bookmarkEnd w:id="1"/>
      <w:bookmarkEnd w:id="2"/>
    </w:p>
    <w:p w14:paraId="0F8EF7B5" w14:textId="77777777" w:rsidR="00447099" w:rsidRPr="007D501D" w:rsidRDefault="00447099" w:rsidP="00447099">
      <w:pPr>
        <w:pStyle w:val="H1G"/>
        <w:spacing w:before="240"/>
        <w:rPr>
          <w:lang w:val="en-US"/>
        </w:rPr>
      </w:pPr>
      <w:r w:rsidRPr="00B61A67">
        <w:rPr>
          <w:lang w:val="en-GB"/>
        </w:rPr>
        <w:tab/>
      </w:r>
      <w:r w:rsidRPr="00B61A67">
        <w:rPr>
          <w:lang w:val="en-GB"/>
        </w:rPr>
        <w:tab/>
      </w:r>
      <w:r w:rsidRPr="007D501D">
        <w:rPr>
          <w:lang w:val="en-US"/>
        </w:rPr>
        <w:t>Concerning the</w:t>
      </w:r>
      <w:r w:rsidRPr="007D501D">
        <w:rPr>
          <w:smallCaps/>
          <w:lang w:val="en-US"/>
        </w:rPr>
        <w:t xml:space="preserve"> </w:t>
      </w:r>
      <w:r w:rsidRPr="007D501D">
        <w:rPr>
          <w:lang w:val="en-US"/>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7D501D">
        <w:rPr>
          <w:lang w:val="en-US"/>
        </w:rPr>
        <w:t>on the Basis of</w:t>
      </w:r>
      <w:proofErr w:type="gramEnd"/>
      <w:r w:rsidRPr="007D501D">
        <w:rPr>
          <w:lang w:val="en-US"/>
        </w:rPr>
        <w:t xml:space="preserve"> these United Nations Regulations</w:t>
      </w:r>
      <w:r w:rsidRPr="007D501D">
        <w:rPr>
          <w:rStyle w:val="FootnoteReference"/>
          <w:b w:val="0"/>
          <w:sz w:val="20"/>
          <w:lang w:val="en-US"/>
        </w:rPr>
        <w:footnoteReference w:customMarkFollows="1" w:id="2"/>
        <w:t>*</w:t>
      </w:r>
    </w:p>
    <w:p w14:paraId="7AC1853C" w14:textId="77777777" w:rsidR="00447099" w:rsidRPr="007D501D" w:rsidRDefault="00447099" w:rsidP="00447099">
      <w:pPr>
        <w:pStyle w:val="SingleTxtG"/>
        <w:spacing w:before="120"/>
        <w:rPr>
          <w:lang w:val="en-US"/>
        </w:rPr>
      </w:pPr>
      <w:r w:rsidRPr="007D501D">
        <w:rPr>
          <w:lang w:val="en-US"/>
        </w:rPr>
        <w:t>(Revision 3, including the amendments which entered into force on 14 September 2017)</w:t>
      </w:r>
    </w:p>
    <w:p w14:paraId="65F4423C" w14:textId="77777777" w:rsidR="00093356" w:rsidRPr="00B61A67" w:rsidRDefault="00093356" w:rsidP="00093356">
      <w:pPr>
        <w:keepNext/>
        <w:keepLines/>
        <w:tabs>
          <w:tab w:val="right" w:pos="851"/>
        </w:tabs>
        <w:spacing w:before="120" w:after="240" w:line="270" w:lineRule="exact"/>
        <w:jc w:val="center"/>
        <w:rPr>
          <w:b/>
          <w:sz w:val="24"/>
          <w:lang w:val="en-GB"/>
        </w:rPr>
      </w:pPr>
      <w:r w:rsidRPr="00B61A67">
        <w:rPr>
          <w:b/>
          <w:sz w:val="24"/>
          <w:lang w:val="en-GB"/>
        </w:rPr>
        <w:t>_________</w:t>
      </w:r>
    </w:p>
    <w:p w14:paraId="669DE93C" w14:textId="6B71A197" w:rsidR="00093356" w:rsidRPr="00B61A67" w:rsidRDefault="00093356" w:rsidP="00F0532C">
      <w:pPr>
        <w:pStyle w:val="HChG"/>
        <w:rPr>
          <w:lang w:val="en-GB"/>
        </w:rPr>
      </w:pPr>
      <w:r w:rsidRPr="00B61A67">
        <w:rPr>
          <w:lang w:val="en-GB"/>
        </w:rPr>
        <w:tab/>
      </w:r>
      <w:r w:rsidRPr="00B61A67">
        <w:rPr>
          <w:lang w:val="en-GB"/>
        </w:rPr>
        <w:tab/>
        <w:t>Addendum 1</w:t>
      </w:r>
      <w:r>
        <w:rPr>
          <w:lang w:val="en-GB"/>
        </w:rPr>
        <w:t>41</w:t>
      </w:r>
      <w:r w:rsidRPr="00B61A67">
        <w:rPr>
          <w:lang w:val="en-GB"/>
        </w:rPr>
        <w:t xml:space="preserve"> – </w:t>
      </w:r>
      <w:r w:rsidR="00F0532C">
        <w:rPr>
          <w:lang w:val="en-GB"/>
        </w:rPr>
        <w:t xml:space="preserve">UN </w:t>
      </w:r>
      <w:r w:rsidRPr="00B61A67">
        <w:rPr>
          <w:lang w:val="en-GB"/>
        </w:rPr>
        <w:t xml:space="preserve">Regulation No. </w:t>
      </w:r>
      <w:r>
        <w:rPr>
          <w:lang w:val="en-GB"/>
        </w:rPr>
        <w:t>142</w:t>
      </w:r>
    </w:p>
    <w:p w14:paraId="5309A326" w14:textId="77777777" w:rsidR="003102B3" w:rsidRPr="0077547E" w:rsidRDefault="003102B3" w:rsidP="003102B3">
      <w:pPr>
        <w:pStyle w:val="H1G"/>
        <w:spacing w:before="240"/>
        <w:rPr>
          <w:lang w:val="en-US"/>
        </w:rPr>
      </w:pPr>
      <w:r>
        <w:rPr>
          <w:lang w:val="en-US"/>
        </w:rPr>
        <w:tab/>
      </w:r>
      <w:r>
        <w:rPr>
          <w:lang w:val="en-US"/>
        </w:rPr>
        <w:tab/>
      </w:r>
      <w:r w:rsidRPr="0077547E">
        <w:rPr>
          <w:lang w:val="en-US"/>
        </w:rPr>
        <w:t xml:space="preserve">Amendment </w:t>
      </w:r>
      <w:r>
        <w:rPr>
          <w:lang w:val="en-US"/>
        </w:rPr>
        <w:t>1</w:t>
      </w:r>
    </w:p>
    <w:p w14:paraId="33C4C86A" w14:textId="3C02B1A0" w:rsidR="003102B3" w:rsidRPr="009E5E38" w:rsidRDefault="003102B3" w:rsidP="003102B3">
      <w:pPr>
        <w:spacing w:after="360"/>
        <w:ind w:left="1134" w:right="1134"/>
        <w:jc w:val="both"/>
        <w:rPr>
          <w:spacing w:val="-4"/>
          <w:lang w:val="en-US"/>
        </w:rPr>
      </w:pPr>
      <w:r w:rsidRPr="009E5E38">
        <w:rPr>
          <w:spacing w:val="-4"/>
          <w:lang w:val="en-US"/>
        </w:rPr>
        <w:t xml:space="preserve">Supplement 1 to the original version of the Regulation — Date of entry into force: </w:t>
      </w:r>
      <w:r w:rsidR="009E5E38">
        <w:rPr>
          <w:spacing w:val="-4"/>
          <w:lang w:val="en-US"/>
        </w:rPr>
        <w:br/>
      </w:r>
      <w:r w:rsidRPr="009E5E38">
        <w:rPr>
          <w:spacing w:val="-4"/>
          <w:lang w:val="en-US"/>
        </w:rPr>
        <w:t>16 October 2018</w:t>
      </w:r>
    </w:p>
    <w:p w14:paraId="1F495BA8" w14:textId="77777777" w:rsidR="00093356" w:rsidRPr="00B61A67" w:rsidRDefault="00093356" w:rsidP="00093356">
      <w:pPr>
        <w:keepNext/>
        <w:keepLines/>
        <w:tabs>
          <w:tab w:val="right" w:pos="851"/>
        </w:tabs>
        <w:spacing w:before="360" w:after="240" w:line="270" w:lineRule="exact"/>
        <w:ind w:left="1134" w:right="1134" w:hanging="1134"/>
        <w:rPr>
          <w:b/>
          <w:sz w:val="24"/>
          <w:lang w:val="en-US"/>
        </w:rPr>
      </w:pPr>
      <w:r w:rsidRPr="00B61A67">
        <w:rPr>
          <w:b/>
          <w:sz w:val="24"/>
          <w:lang w:val="en-US"/>
        </w:rPr>
        <w:tab/>
      </w:r>
      <w:r w:rsidRPr="00B61A67">
        <w:rPr>
          <w:b/>
          <w:sz w:val="24"/>
          <w:lang w:val="en-US"/>
        </w:rPr>
        <w:tab/>
      </w:r>
      <w:r w:rsidRPr="00093356">
        <w:rPr>
          <w:b/>
          <w:sz w:val="24"/>
          <w:lang w:val="en-GB"/>
        </w:rPr>
        <w:t>U</w:t>
      </w:r>
      <w:proofErr w:type="spellStart"/>
      <w:r w:rsidRPr="00093356">
        <w:rPr>
          <w:b/>
          <w:sz w:val="24"/>
          <w:lang w:val="en-US"/>
        </w:rPr>
        <w:t>niform</w:t>
      </w:r>
      <w:proofErr w:type="spellEnd"/>
      <w:r w:rsidRPr="00093356">
        <w:rPr>
          <w:b/>
          <w:sz w:val="24"/>
          <w:lang w:val="en-US"/>
        </w:rPr>
        <w:t xml:space="preserve"> provisions concerning the approval of motor vehicles </w:t>
      </w:r>
      <w:proofErr w:type="gramStart"/>
      <w:r w:rsidRPr="00093356">
        <w:rPr>
          <w:b/>
          <w:sz w:val="24"/>
          <w:lang w:val="en-US"/>
        </w:rPr>
        <w:t>with regard to</w:t>
      </w:r>
      <w:proofErr w:type="gramEnd"/>
      <w:r w:rsidRPr="00093356">
        <w:rPr>
          <w:b/>
          <w:sz w:val="24"/>
          <w:lang w:val="en-US"/>
        </w:rPr>
        <w:t xml:space="preserve"> the installation of their </w:t>
      </w:r>
      <w:proofErr w:type="spellStart"/>
      <w:r w:rsidRPr="00093356">
        <w:rPr>
          <w:b/>
          <w:sz w:val="24"/>
          <w:lang w:val="en-US"/>
        </w:rPr>
        <w:t>tyres</w:t>
      </w:r>
      <w:proofErr w:type="spellEnd"/>
    </w:p>
    <w:p w14:paraId="5C4E0B01" w14:textId="6C1A79E7" w:rsidR="00093356" w:rsidRPr="00B61A67" w:rsidRDefault="00447099" w:rsidP="00093356">
      <w:pPr>
        <w:spacing w:after="40"/>
        <w:ind w:left="1134" w:right="1134"/>
        <w:jc w:val="both"/>
        <w:rPr>
          <w:lang w:val="en-GB" w:eastAsia="en-GB"/>
        </w:rPr>
      </w:pPr>
      <w:r w:rsidRPr="007D501D">
        <w:rPr>
          <w:spacing w:val="-4"/>
          <w:lang w:val="en-US" w:eastAsia="en-GB"/>
        </w:rPr>
        <w:t>This</w:t>
      </w:r>
      <w:r w:rsidR="00093356" w:rsidRPr="00B61A67">
        <w:rPr>
          <w:lang w:val="en-GB" w:eastAsia="en-GB"/>
        </w:rPr>
        <w:t>document is meant purely as documentation tool. The authentic and legal binding text is: ECE/TRANS/WP.29/</w:t>
      </w:r>
      <w:r w:rsidRPr="00B61A67">
        <w:rPr>
          <w:lang w:val="en-GB" w:eastAsia="en-GB"/>
        </w:rPr>
        <w:t>201</w:t>
      </w:r>
      <w:r>
        <w:rPr>
          <w:lang w:val="en-GB" w:eastAsia="en-GB"/>
        </w:rPr>
        <w:t>8</w:t>
      </w:r>
      <w:r w:rsidR="00093356" w:rsidRPr="00B61A67">
        <w:rPr>
          <w:lang w:val="en-GB" w:eastAsia="en-GB"/>
        </w:rPr>
        <w:t>/</w:t>
      </w:r>
      <w:r>
        <w:rPr>
          <w:lang w:val="en-GB" w:eastAsia="en-GB"/>
        </w:rPr>
        <w:t>1</w:t>
      </w:r>
      <w:r w:rsidR="00093356">
        <w:rPr>
          <w:lang w:val="en-GB" w:eastAsia="en-GB"/>
        </w:rPr>
        <w:t>4.</w:t>
      </w:r>
      <w:r w:rsidR="00093356" w:rsidRPr="00B61A67">
        <w:rPr>
          <w:lang w:val="en-GB" w:eastAsia="en-GB"/>
        </w:rPr>
        <w:t xml:space="preserve"> </w:t>
      </w:r>
    </w:p>
    <w:p w14:paraId="39091070" w14:textId="77777777" w:rsidR="00093356" w:rsidRPr="00B61A67" w:rsidRDefault="00093356" w:rsidP="00093356">
      <w:pPr>
        <w:suppressAutoHyphens w:val="0"/>
        <w:spacing w:line="240" w:lineRule="auto"/>
        <w:jc w:val="center"/>
        <w:rPr>
          <w:b/>
          <w:sz w:val="24"/>
          <w:lang w:val="en-GB"/>
        </w:rPr>
      </w:pPr>
      <w:r w:rsidRPr="00B61A67">
        <w:rPr>
          <w:b/>
          <w:noProof/>
          <w:sz w:val="24"/>
          <w:lang w:val="en-GB" w:eastAsia="en-GB"/>
        </w:rPr>
        <w:drawing>
          <wp:anchor distT="0" distB="137160" distL="114300" distR="114300" simplePos="0" relativeHeight="251660288" behindDoc="0" locked="0" layoutInCell="1" allowOverlap="1" wp14:anchorId="44453155" wp14:editId="2D826D03">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14:paraId="2BC861D2" w14:textId="77777777" w:rsidR="00093356" w:rsidRPr="00B61A67" w:rsidRDefault="00093356" w:rsidP="00093356">
      <w:pPr>
        <w:suppressAutoHyphens w:val="0"/>
        <w:spacing w:line="100" w:lineRule="atLeast"/>
        <w:rPr>
          <w:b/>
          <w:sz w:val="24"/>
          <w:lang w:val="en-GB"/>
        </w:rPr>
      </w:pPr>
    </w:p>
    <w:p w14:paraId="415D738E" w14:textId="77777777" w:rsidR="00093356" w:rsidRPr="00B61A67" w:rsidRDefault="00093356" w:rsidP="00093356">
      <w:pPr>
        <w:suppressAutoHyphens w:val="0"/>
        <w:spacing w:line="240" w:lineRule="auto"/>
        <w:jc w:val="center"/>
        <w:rPr>
          <w:b/>
          <w:sz w:val="24"/>
          <w:lang w:val="en-GB"/>
        </w:rPr>
      </w:pPr>
      <w:r w:rsidRPr="00B61A67">
        <w:rPr>
          <w:b/>
          <w:sz w:val="24"/>
          <w:lang w:val="en-GB"/>
        </w:rPr>
        <w:t>UNITED NATIONS</w:t>
      </w:r>
    </w:p>
    <w:p w14:paraId="3926E641" w14:textId="77777777" w:rsidR="00093356" w:rsidRPr="00B61A67" w:rsidRDefault="00093356" w:rsidP="00093356">
      <w:pPr>
        <w:suppressAutoHyphens w:val="0"/>
        <w:spacing w:line="240" w:lineRule="auto"/>
        <w:rPr>
          <w:lang w:val="en-GB"/>
        </w:rPr>
      </w:pPr>
    </w:p>
    <w:p w14:paraId="245C1306" w14:textId="77777777" w:rsidR="00093356" w:rsidRDefault="00093356" w:rsidP="00093356">
      <w:pPr>
        <w:suppressAutoHyphens w:val="0"/>
        <w:spacing w:line="240" w:lineRule="auto"/>
        <w:rPr>
          <w:rFonts w:eastAsia="MS Mincho"/>
          <w:lang w:val="en-GB"/>
        </w:rPr>
        <w:sectPr w:rsidR="00093356" w:rsidSect="00300A9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701" w:right="1134" w:bottom="2268" w:left="1134" w:header="964" w:footer="1701" w:gutter="0"/>
          <w:cols w:space="720"/>
          <w:titlePg/>
        </w:sectPr>
      </w:pPr>
    </w:p>
    <w:p w14:paraId="0E4AD072" w14:textId="0E2B9C18" w:rsidR="00447099" w:rsidRDefault="00447099" w:rsidP="00447099">
      <w:pPr>
        <w:pStyle w:val="SingleTxtG"/>
        <w:rPr>
          <w:lang w:val="sv-SE"/>
        </w:rPr>
      </w:pPr>
      <w:r>
        <w:rPr>
          <w:i/>
          <w:lang w:val="sv-SE"/>
        </w:rPr>
        <w:lastRenderedPageBreak/>
        <w:t>Paragraph 2.3.</w:t>
      </w:r>
      <w:r>
        <w:rPr>
          <w:lang w:val="sv-SE"/>
        </w:rPr>
        <w:t>, amend to read:</w:t>
      </w:r>
    </w:p>
    <w:p w14:paraId="672B6540" w14:textId="77777777" w:rsidR="00447099" w:rsidRDefault="00447099" w:rsidP="00447099">
      <w:pPr>
        <w:pStyle w:val="SingleTxtG"/>
        <w:ind w:left="2268" w:hanging="1134"/>
        <w:rPr>
          <w:lang w:val="sv-SE"/>
        </w:rPr>
      </w:pPr>
      <w:r>
        <w:rPr>
          <w:lang w:val="sv-SE"/>
        </w:rPr>
        <w:t>"2.3.</w:t>
      </w:r>
      <w:r>
        <w:rPr>
          <w:lang w:val="sv-SE"/>
        </w:rPr>
        <w:tab/>
        <w:t>"</w:t>
      </w:r>
      <w:r>
        <w:rPr>
          <w:i/>
          <w:lang w:val="sv-SE"/>
        </w:rPr>
        <w:t>Tyre size designation</w:t>
      </w:r>
      <w:r>
        <w:rPr>
          <w:lang w:val="sv-SE"/>
        </w:rPr>
        <w:t xml:space="preserve">" means the designation as defined in paragraph 2. of Regulation No. 30 for class C1 tyres and paragraph 2. of UN Regulation No. 54 for class C2 and C3 tyres." </w:t>
      </w:r>
    </w:p>
    <w:p w14:paraId="06D83F2A" w14:textId="77777777" w:rsidR="00447099" w:rsidRDefault="00447099" w:rsidP="00447099">
      <w:pPr>
        <w:pStyle w:val="SingleTxtG"/>
        <w:rPr>
          <w:lang w:val="sv-SE"/>
        </w:rPr>
      </w:pPr>
      <w:r>
        <w:rPr>
          <w:i/>
          <w:lang w:val="sv-SE"/>
        </w:rPr>
        <w:t>Paragraph 2.9.</w:t>
      </w:r>
      <w:r>
        <w:rPr>
          <w:lang w:val="sv-SE"/>
        </w:rPr>
        <w:t>, amend to read:</w:t>
      </w:r>
    </w:p>
    <w:p w14:paraId="30FBEBDA" w14:textId="77777777" w:rsidR="00447099" w:rsidRDefault="00447099" w:rsidP="00447099">
      <w:pPr>
        <w:pStyle w:val="SingleTxtG"/>
        <w:ind w:left="2268" w:hanging="1134"/>
        <w:rPr>
          <w:lang w:val="sv-SE"/>
        </w:rPr>
      </w:pPr>
      <w:r>
        <w:rPr>
          <w:lang w:val="sv-SE"/>
        </w:rPr>
        <w:t>"2.9.</w:t>
      </w:r>
      <w:r>
        <w:rPr>
          <w:lang w:val="sv-SE"/>
        </w:rPr>
        <w:tab/>
        <w:t>"</w:t>
      </w:r>
      <w:r>
        <w:rPr>
          <w:i/>
          <w:lang w:val="sv-SE"/>
        </w:rPr>
        <w:t>Run flat tyre</w:t>
      </w:r>
      <w:r>
        <w:rPr>
          <w:lang w:val="sv-SE"/>
        </w:rPr>
        <w:t xml:space="preserve">" is defined in paragraph 2. of Regulation No. 30." </w:t>
      </w:r>
    </w:p>
    <w:p w14:paraId="4B93C982" w14:textId="77777777" w:rsidR="00447099" w:rsidRDefault="00447099" w:rsidP="00447099">
      <w:pPr>
        <w:pStyle w:val="SingleTxtG"/>
        <w:rPr>
          <w:lang w:val="sv-SE"/>
        </w:rPr>
      </w:pPr>
      <w:r>
        <w:rPr>
          <w:i/>
          <w:lang w:val="sv-SE"/>
        </w:rPr>
        <w:t>Paragraph 2.18.</w:t>
      </w:r>
      <w:r>
        <w:rPr>
          <w:lang w:val="sv-SE"/>
        </w:rPr>
        <w:t>, amend to read:</w:t>
      </w:r>
    </w:p>
    <w:p w14:paraId="7FA66CB8" w14:textId="77777777" w:rsidR="00447099" w:rsidRDefault="00447099" w:rsidP="00447099">
      <w:pPr>
        <w:pStyle w:val="SingleTxtG"/>
        <w:ind w:left="2268" w:hanging="1134"/>
        <w:rPr>
          <w:lang w:val="sv-SE"/>
        </w:rPr>
      </w:pPr>
      <w:r>
        <w:rPr>
          <w:lang w:val="sv-SE"/>
        </w:rPr>
        <w:t>"2.18.</w:t>
      </w:r>
      <w:r>
        <w:rPr>
          <w:lang w:val="sv-SE"/>
        </w:rPr>
        <w:tab/>
        <w:t>"</w:t>
      </w:r>
      <w:r>
        <w:rPr>
          <w:i/>
          <w:lang w:val="sv-SE"/>
        </w:rPr>
        <w:t>Speed category symbol</w:t>
      </w:r>
      <w:r>
        <w:rPr>
          <w:lang w:val="sv-SE"/>
        </w:rPr>
        <w:t xml:space="preserve">" means the symbol as defined in paragraph 2. of UN Regulation No. 30 for class C1 tyres and paragraph 2. of UN Regulation No. 54 for class C2." </w:t>
      </w:r>
    </w:p>
    <w:p w14:paraId="2EA5CFA6" w14:textId="77777777" w:rsidR="00447099" w:rsidRDefault="00447099" w:rsidP="00447099">
      <w:pPr>
        <w:pStyle w:val="SingleTxtG"/>
        <w:rPr>
          <w:lang w:val="sv-SE"/>
        </w:rPr>
      </w:pPr>
      <w:r>
        <w:rPr>
          <w:i/>
          <w:lang w:val="sv-SE"/>
        </w:rPr>
        <w:t>Paragraph 2.19.</w:t>
      </w:r>
      <w:r>
        <w:rPr>
          <w:lang w:val="sv-SE"/>
        </w:rPr>
        <w:t>, amend to read:</w:t>
      </w:r>
    </w:p>
    <w:p w14:paraId="2A1BD013" w14:textId="77777777" w:rsidR="00447099" w:rsidRDefault="00447099" w:rsidP="00447099">
      <w:pPr>
        <w:pStyle w:val="SingleTxtG"/>
        <w:ind w:left="2268" w:hanging="1134"/>
        <w:rPr>
          <w:lang w:val="sv-SE"/>
        </w:rPr>
      </w:pPr>
      <w:r>
        <w:rPr>
          <w:lang w:val="sv-SE"/>
        </w:rPr>
        <w:t>"2.19.</w:t>
      </w:r>
      <w:r>
        <w:rPr>
          <w:lang w:val="sv-SE"/>
        </w:rPr>
        <w:tab/>
        <w:t>"</w:t>
      </w:r>
      <w:r>
        <w:rPr>
          <w:i/>
          <w:lang w:val="sv-SE"/>
        </w:rPr>
        <w:t>Load capacity index</w:t>
      </w:r>
      <w:r>
        <w:rPr>
          <w:lang w:val="sv-SE"/>
        </w:rPr>
        <w:t xml:space="preserve">" means a number associated to the maximum load rating of the tyre in relation to the definition in paragraph 2. of UN Regulation No. 30 for class C1 tyres and paragraph 2. of UN Regulation No. 54 for class C2 tyres." </w:t>
      </w:r>
    </w:p>
    <w:p w14:paraId="080A284C" w14:textId="77777777" w:rsidR="00447099" w:rsidRDefault="00447099" w:rsidP="00447099">
      <w:pPr>
        <w:pStyle w:val="SingleTxtG"/>
        <w:rPr>
          <w:lang w:val="en-US"/>
        </w:rPr>
      </w:pPr>
      <w:r>
        <w:rPr>
          <w:i/>
          <w:lang w:val="en-US"/>
        </w:rPr>
        <w:t>Paragraph 4.8.,</w:t>
      </w:r>
      <w:r>
        <w:rPr>
          <w:lang w:val="en-US"/>
        </w:rPr>
        <w:t xml:space="preserve"> amend to read:</w:t>
      </w:r>
    </w:p>
    <w:p w14:paraId="08B8925A" w14:textId="77777777" w:rsidR="00447099" w:rsidRDefault="00447099" w:rsidP="00447099">
      <w:pPr>
        <w:pStyle w:val="SingleTxtG"/>
        <w:ind w:left="2268" w:hanging="1134"/>
        <w:rPr>
          <w:lang w:val="en-US"/>
        </w:rPr>
      </w:pPr>
      <w:r>
        <w:rPr>
          <w:lang w:val="en-US"/>
        </w:rPr>
        <w:t>"4.8.</w:t>
      </w:r>
      <w:r>
        <w:rPr>
          <w:lang w:val="en-US"/>
        </w:rPr>
        <w:tab/>
        <w:t>Annex 2 to this Regulation gives an example of approval marks."</w:t>
      </w:r>
    </w:p>
    <w:p w14:paraId="2BD336A7" w14:textId="77777777" w:rsidR="00447099" w:rsidRDefault="00447099" w:rsidP="00447099">
      <w:pPr>
        <w:pStyle w:val="SingleTxtG"/>
        <w:rPr>
          <w:lang w:val="sv-SE"/>
        </w:rPr>
      </w:pPr>
      <w:r>
        <w:rPr>
          <w:i/>
          <w:lang w:val="sv-SE"/>
        </w:rPr>
        <w:t>Paragraph 5.2.2.2.1.</w:t>
      </w:r>
      <w:r>
        <w:rPr>
          <w:lang w:val="sv-SE"/>
        </w:rPr>
        <w:t>, amend to read:</w:t>
      </w:r>
    </w:p>
    <w:p w14:paraId="60E461BC" w14:textId="77777777" w:rsidR="00447099" w:rsidRDefault="00447099" w:rsidP="00447099">
      <w:pPr>
        <w:pStyle w:val="SingleTxtG"/>
        <w:ind w:left="2268" w:hanging="1134"/>
        <w:rPr>
          <w:lang w:val="sv-SE"/>
        </w:rPr>
      </w:pPr>
      <w:r>
        <w:rPr>
          <w:lang w:val="sv-SE"/>
        </w:rPr>
        <w:t>"5.2.2.2.1.</w:t>
      </w:r>
      <w:r>
        <w:rPr>
          <w:lang w:val="sv-SE"/>
        </w:rPr>
        <w:tab/>
        <w:t>In the case of tyres of class C1, the "</w:t>
      </w:r>
      <w:r>
        <w:rPr>
          <w:i/>
          <w:lang w:val="sv-SE"/>
        </w:rPr>
        <w:t>maximum load rating</w:t>
      </w:r>
      <w:r>
        <w:rPr>
          <w:lang w:val="sv-SE"/>
        </w:rPr>
        <w:t xml:space="preserve">" as referred to in paragraph 2. of UN Regulation No. 30 is taken into account." </w:t>
      </w:r>
    </w:p>
    <w:p w14:paraId="34864490" w14:textId="77777777" w:rsidR="00447099" w:rsidRDefault="00447099" w:rsidP="00447099">
      <w:pPr>
        <w:pStyle w:val="SingleTxtG"/>
        <w:rPr>
          <w:lang w:val="sv-SE"/>
        </w:rPr>
      </w:pPr>
      <w:r>
        <w:rPr>
          <w:i/>
          <w:lang w:val="sv-SE"/>
        </w:rPr>
        <w:t>Paragraph 5.2.2.2.2.</w:t>
      </w:r>
      <w:r>
        <w:rPr>
          <w:lang w:val="sv-SE"/>
        </w:rPr>
        <w:t>, amend to read:</w:t>
      </w:r>
    </w:p>
    <w:p w14:paraId="1E0104EF" w14:textId="77777777" w:rsidR="00447099" w:rsidRDefault="00447099" w:rsidP="00447099">
      <w:pPr>
        <w:pStyle w:val="SingleTxtG"/>
        <w:ind w:left="2268" w:hanging="1134"/>
        <w:rPr>
          <w:lang w:val="sv-SE"/>
        </w:rPr>
      </w:pPr>
      <w:r>
        <w:rPr>
          <w:lang w:val="sv-SE"/>
        </w:rPr>
        <w:t>"5.2.2.2.2.</w:t>
      </w:r>
      <w:r>
        <w:rPr>
          <w:lang w:val="sv-SE"/>
        </w:rPr>
        <w:tab/>
        <w:t>In the case of tyres of class C2, the "</w:t>
      </w:r>
      <w:r>
        <w:rPr>
          <w:i/>
          <w:lang w:val="sv-SE"/>
        </w:rPr>
        <w:t>Table load-capacity variation with speed</w:t>
      </w:r>
      <w:r>
        <w:rPr>
          <w:lang w:val="sv-SE"/>
        </w:rPr>
        <w:t xml:space="preserve">" as referred to in paragraph 2. of UN Regulation No. 54 is taken into account, which shows, as a function of the load-capacity indices and nominal-speed-category symbols, the load variations which a pneumatic tyre can withstand taking into account the maximum design speed of the vehicle." </w:t>
      </w:r>
    </w:p>
    <w:p w14:paraId="2826F647" w14:textId="77777777" w:rsidR="00447099" w:rsidRDefault="00447099" w:rsidP="00447099">
      <w:pPr>
        <w:pStyle w:val="SingleTxtG"/>
        <w:rPr>
          <w:lang w:val="sv-SE"/>
        </w:rPr>
      </w:pPr>
      <w:r>
        <w:rPr>
          <w:i/>
          <w:lang w:val="sv-SE"/>
        </w:rPr>
        <w:t>Paragraph 5.2.3.1.2.</w:t>
      </w:r>
      <w:r>
        <w:rPr>
          <w:lang w:val="sv-SE"/>
        </w:rPr>
        <w:t>, amend to read:</w:t>
      </w:r>
    </w:p>
    <w:p w14:paraId="79C2D722" w14:textId="77777777" w:rsidR="00447099" w:rsidRDefault="00447099" w:rsidP="00447099">
      <w:pPr>
        <w:pStyle w:val="SingleTxtG"/>
        <w:ind w:left="2268" w:hanging="1134"/>
        <w:rPr>
          <w:lang w:val="sv-SE"/>
        </w:rPr>
      </w:pPr>
      <w:r>
        <w:rPr>
          <w:lang w:val="sv-SE"/>
        </w:rPr>
        <w:t>"5.2.3.1.2.</w:t>
      </w:r>
      <w:r>
        <w:rPr>
          <w:lang w:val="sv-SE"/>
        </w:rPr>
        <w:tab/>
        <w:t>In the case of tyre of class C2, the speed category symbol shall be compatible with the maximum vehicle design speed and the applicable load/speed combination derived from the "</w:t>
      </w:r>
      <w:r>
        <w:rPr>
          <w:i/>
          <w:lang w:val="sv-SE"/>
        </w:rPr>
        <w:t>Table load-capacity variation with speed</w:t>
      </w:r>
      <w:r>
        <w:rPr>
          <w:lang w:val="sv-SE"/>
        </w:rPr>
        <w:t>" as described in paragraph 2. of UN Regulation No. 54."</w:t>
      </w:r>
    </w:p>
    <w:p w14:paraId="42C42F48" w14:textId="77777777" w:rsidR="00447099" w:rsidRDefault="00447099" w:rsidP="00447099">
      <w:pPr>
        <w:spacing w:before="240"/>
        <w:ind w:left="1134" w:right="1134"/>
        <w:jc w:val="center"/>
        <w:rPr>
          <w:u w:val="single"/>
          <w:lang w:val="en-GB"/>
        </w:rPr>
      </w:pPr>
      <w:r>
        <w:rPr>
          <w:u w:val="single"/>
          <w:lang w:val="en-GB"/>
        </w:rPr>
        <w:tab/>
      </w:r>
      <w:r>
        <w:rPr>
          <w:u w:val="single"/>
          <w:lang w:val="en-GB"/>
        </w:rPr>
        <w:tab/>
      </w:r>
      <w:r>
        <w:rPr>
          <w:u w:val="single"/>
          <w:lang w:val="en-GB"/>
        </w:rPr>
        <w:tab/>
      </w:r>
    </w:p>
    <w:p w14:paraId="575DCB18" w14:textId="1FCFD87B" w:rsidR="007957D1" w:rsidRPr="00183C3E" w:rsidRDefault="007957D1" w:rsidP="004C206F">
      <w:pPr>
        <w:pStyle w:val="HChG"/>
        <w:ind w:left="0" w:firstLine="0"/>
        <w:rPr>
          <w:u w:val="single"/>
          <w:lang w:val="en-US"/>
        </w:rPr>
      </w:pPr>
    </w:p>
    <w:sectPr w:rsidR="007957D1" w:rsidRPr="00183C3E" w:rsidSect="00300A9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454C" w14:textId="77777777" w:rsidR="00B00E80" w:rsidRDefault="00B00E80"/>
  </w:endnote>
  <w:endnote w:type="continuationSeparator" w:id="0">
    <w:p w14:paraId="57610638" w14:textId="77777777" w:rsidR="00B00E80" w:rsidRDefault="00B00E80"/>
  </w:endnote>
  <w:endnote w:type="continuationNotice" w:id="1">
    <w:p w14:paraId="53B169AC" w14:textId="77777777" w:rsidR="00B00E80" w:rsidRDefault="00B00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D559" w14:textId="77777777" w:rsidR="00093356" w:rsidRDefault="00093356" w:rsidP="007A13A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D885" w14:textId="77777777" w:rsidR="00093356" w:rsidRPr="001B32A6" w:rsidRDefault="00093356" w:rsidP="007A13A0">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4A09" w14:textId="03B0A5A1" w:rsidR="00093356" w:rsidRDefault="00093356" w:rsidP="00E62C1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0C51" w14:textId="77777777" w:rsidR="0091121B" w:rsidRPr="009A6A9E" w:rsidRDefault="0091121B"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87F07">
      <w:rPr>
        <w:b/>
        <w:noProof/>
        <w:sz w:val="18"/>
      </w:rPr>
      <w:t>16</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861A" w14:textId="77777777" w:rsidR="0091121B" w:rsidRPr="009A6A9E" w:rsidRDefault="0091121B"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87F07">
      <w:rPr>
        <w:b/>
        <w:noProof/>
        <w:sz w:val="18"/>
      </w:rPr>
      <w:t>17</w:t>
    </w:r>
    <w:r w:rsidRPr="009A6A9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497781"/>
      <w:docPartObj>
        <w:docPartGallery w:val="Page Numbers (Bottom of Page)"/>
        <w:docPartUnique/>
      </w:docPartObj>
    </w:sdtPr>
    <w:sdtEndPr>
      <w:rPr>
        <w:b/>
        <w:noProof/>
        <w:sz w:val="18"/>
        <w:szCs w:val="18"/>
      </w:rPr>
    </w:sdtEndPr>
    <w:sdtContent>
      <w:p w14:paraId="48E0B30E" w14:textId="77777777" w:rsidR="0091121B" w:rsidRPr="0091121B" w:rsidRDefault="0091121B" w:rsidP="00300A98">
        <w:pPr>
          <w:pStyle w:val="Footer"/>
          <w:jc w:val="right"/>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687F07">
          <w:rPr>
            <w:b/>
            <w:noProof/>
            <w:sz w:val="18"/>
            <w:szCs w:val="18"/>
          </w:rPr>
          <w:t>15</w:t>
        </w:r>
        <w:r w:rsidRPr="004D7F52">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B663" w14:textId="77777777" w:rsidR="00B00E80" w:rsidRPr="00D27D5E" w:rsidRDefault="00B00E80" w:rsidP="00D27D5E">
      <w:pPr>
        <w:tabs>
          <w:tab w:val="right" w:pos="2155"/>
        </w:tabs>
        <w:spacing w:after="80"/>
        <w:ind w:left="680"/>
        <w:rPr>
          <w:u w:val="single"/>
        </w:rPr>
      </w:pPr>
      <w:r>
        <w:rPr>
          <w:u w:val="single"/>
        </w:rPr>
        <w:tab/>
      </w:r>
    </w:p>
  </w:footnote>
  <w:footnote w:type="continuationSeparator" w:id="0">
    <w:p w14:paraId="3731C5F6" w14:textId="77777777" w:rsidR="00B00E80" w:rsidRDefault="00B00E80">
      <w:r>
        <w:rPr>
          <w:u w:val="single"/>
        </w:rPr>
        <w:tab/>
      </w:r>
      <w:r>
        <w:rPr>
          <w:u w:val="single"/>
        </w:rPr>
        <w:tab/>
      </w:r>
      <w:r>
        <w:rPr>
          <w:u w:val="single"/>
        </w:rPr>
        <w:tab/>
      </w:r>
      <w:r>
        <w:rPr>
          <w:u w:val="single"/>
        </w:rPr>
        <w:tab/>
      </w:r>
    </w:p>
  </w:footnote>
  <w:footnote w:type="continuationNotice" w:id="1">
    <w:p w14:paraId="6AA54403" w14:textId="77777777" w:rsidR="00B00E80" w:rsidRDefault="00B00E80"/>
  </w:footnote>
  <w:footnote w:id="2">
    <w:p w14:paraId="63417B7E" w14:textId="77777777" w:rsidR="00447099" w:rsidRPr="007D501D" w:rsidRDefault="00447099" w:rsidP="00447099">
      <w:pPr>
        <w:pStyle w:val="FootnoteText"/>
        <w:rPr>
          <w:lang w:val="en-US"/>
        </w:rPr>
      </w:pPr>
      <w:r>
        <w:tab/>
      </w:r>
      <w:r w:rsidRPr="007D501D">
        <w:rPr>
          <w:rStyle w:val="FootnoteReference"/>
          <w:sz w:val="20"/>
          <w:lang w:val="en-US"/>
        </w:rPr>
        <w:t>*</w:t>
      </w:r>
      <w:r w:rsidRPr="007D501D">
        <w:rPr>
          <w:sz w:val="20"/>
          <w:lang w:val="en-US"/>
        </w:rPr>
        <w:tab/>
      </w:r>
      <w:r w:rsidRPr="007D501D">
        <w:rPr>
          <w:lang w:val="en-US"/>
        </w:rPr>
        <w:t>Former titles of the Agreement:</w:t>
      </w:r>
    </w:p>
    <w:p w14:paraId="622B76D3" w14:textId="77777777" w:rsidR="00447099" w:rsidRPr="007D501D" w:rsidRDefault="00447099" w:rsidP="00447099">
      <w:pPr>
        <w:pStyle w:val="FootnoteText"/>
        <w:rPr>
          <w:sz w:val="20"/>
          <w:lang w:val="en-US"/>
        </w:rPr>
      </w:pPr>
      <w:r w:rsidRPr="007D501D">
        <w:rPr>
          <w:lang w:val="en-US"/>
        </w:rPr>
        <w:tab/>
      </w:r>
      <w:r w:rsidRPr="007D501D">
        <w:rPr>
          <w:lang w:val="en-US"/>
        </w:rPr>
        <w:tab/>
      </w:r>
      <w:r w:rsidRPr="007D501D">
        <w:rPr>
          <w:spacing w:val="-4"/>
          <w:lang w:val="en-US"/>
        </w:rPr>
        <w:t>Agreement concerning the Adoption of Uniform Conditions of Approval and Reciprocal Recognition of Approval for Motor Vehicle Equipment and Parts, done at Geneva on 20 March 1958 (original version);</w:t>
      </w:r>
    </w:p>
    <w:p w14:paraId="387A65A1" w14:textId="77777777" w:rsidR="00447099" w:rsidRPr="007D501D" w:rsidRDefault="00447099" w:rsidP="00447099">
      <w:pPr>
        <w:pStyle w:val="FootnoteText"/>
        <w:rPr>
          <w:lang w:val="en-US"/>
        </w:rPr>
      </w:pPr>
      <w:r w:rsidRPr="007D501D">
        <w:rPr>
          <w:lang w:val="en-US"/>
        </w:rPr>
        <w:tab/>
      </w:r>
      <w:r w:rsidRPr="007D501D">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7D501D">
        <w:rPr>
          <w:lang w:val="en-US"/>
        </w:rPr>
        <w:t>on the Basis of</w:t>
      </w:r>
      <w:proofErr w:type="gramEnd"/>
      <w:r w:rsidRPr="007D501D">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1A53" w14:textId="77777777" w:rsidR="00093356" w:rsidRPr="00B61A67" w:rsidRDefault="00093356" w:rsidP="007A13A0">
    <w:pPr>
      <w:pStyle w:val="Header"/>
      <w:rPr>
        <w:lang w:val="en-GB"/>
      </w:rPr>
    </w:pPr>
    <w:r w:rsidRPr="00B61A67">
      <w:rPr>
        <w:szCs w:val="18"/>
        <w:lang w:val="en-GB"/>
      </w:rPr>
      <w:t>E</w:t>
    </w:r>
    <w:r w:rsidRPr="00B61A67">
      <w:rPr>
        <w:lang w:val="en-GB"/>
      </w:rPr>
      <w:t>/ECE/324/Rev.2/Add.13</w:t>
    </w:r>
    <w:r>
      <w:rPr>
        <w:lang w:val="en-GB"/>
      </w:rPr>
      <w:t>9</w:t>
    </w:r>
    <w:r w:rsidRPr="00B61A67">
      <w:rPr>
        <w:lang w:val="en-GB"/>
      </w:rPr>
      <w:br/>
    </w:r>
    <w:r w:rsidRPr="00B61A67">
      <w:rPr>
        <w:szCs w:val="18"/>
        <w:lang w:val="en-GB"/>
      </w:rPr>
      <w:t>E</w:t>
    </w:r>
    <w:r w:rsidRPr="00B61A67">
      <w:rPr>
        <w:lang w:val="en-GB"/>
      </w:rPr>
      <w:t>/ECE/TRANS/505/Rev.2/Add.13</w:t>
    </w:r>
    <w:r>
      <w:rPr>
        <w:lang w:val="en-GB"/>
      </w:rPr>
      <w:t>9</w:t>
    </w:r>
  </w:p>
  <w:p w14:paraId="33FDC462" w14:textId="77777777" w:rsidR="00093356" w:rsidRPr="00B61A67" w:rsidRDefault="00093356" w:rsidP="007A13A0">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010E" w14:textId="77777777" w:rsidR="00093356" w:rsidRPr="00B61A67" w:rsidRDefault="00093356" w:rsidP="007A13A0">
    <w:pPr>
      <w:pBdr>
        <w:bottom w:val="single" w:sz="4" w:space="4" w:color="auto"/>
      </w:pBdr>
      <w:spacing w:line="240" w:lineRule="auto"/>
      <w:rPr>
        <w:b/>
        <w:sz w:val="18"/>
        <w:lang w:val="en-GB"/>
      </w:rPr>
    </w:pPr>
    <w:r w:rsidRPr="00B61A67">
      <w:rPr>
        <w:b/>
        <w:sz w:val="18"/>
        <w:lang w:val="en-GB"/>
      </w:rPr>
      <w:t>E/ECE/324/Rev.2/Add.13</w:t>
    </w:r>
    <w:r>
      <w:rPr>
        <w:b/>
        <w:sz w:val="18"/>
        <w:lang w:val="en-GB"/>
      </w:rPr>
      <w:t>9</w:t>
    </w:r>
  </w:p>
  <w:p w14:paraId="60BD6E45" w14:textId="77777777" w:rsidR="00093356" w:rsidRPr="00B61A67" w:rsidRDefault="00093356" w:rsidP="007A13A0">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14:paraId="5E3C3464" w14:textId="77777777" w:rsidR="00093356" w:rsidRPr="007A13A0" w:rsidRDefault="00093356" w:rsidP="007A13A0">
    <w:pPr>
      <w:pStyle w:val="Header"/>
      <w:rPr>
        <w:szCs w:val="18"/>
      </w:rPr>
    </w:pPr>
    <w:r w:rsidRPr="00B61A67">
      <w:rPr>
        <w:szCs w:val="18"/>
        <w:lang w:val="en-GB"/>
      </w:rPr>
      <w:t>A</w:t>
    </w:r>
    <w:r>
      <w:rPr>
        <w:szCs w:val="18"/>
        <w:lang w:val="en-GB"/>
      </w:rPr>
      <w:t>nnex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50A6" w14:textId="77777777" w:rsidR="00093356" w:rsidRPr="007A13A0" w:rsidRDefault="00093356" w:rsidP="007A13A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F0C7" w14:textId="77777777" w:rsidR="00300A98" w:rsidRPr="00B61A67" w:rsidRDefault="00300A98" w:rsidP="00300A98">
    <w:pPr>
      <w:pBdr>
        <w:bottom w:val="single" w:sz="4" w:space="4" w:color="auto"/>
      </w:pBdr>
      <w:spacing w:line="240" w:lineRule="auto"/>
      <w:rPr>
        <w:b/>
        <w:sz w:val="18"/>
        <w:lang w:val="en-GB"/>
      </w:rPr>
    </w:pPr>
    <w:r>
      <w:rPr>
        <w:b/>
        <w:sz w:val="18"/>
        <w:lang w:val="en-GB"/>
      </w:rPr>
      <w:t>E/ECE/324/Rev.2/Add.141</w:t>
    </w:r>
  </w:p>
  <w:p w14:paraId="789EE785" w14:textId="77777777" w:rsidR="00300A98" w:rsidRPr="00300A98" w:rsidRDefault="00300A98" w:rsidP="00300A98">
    <w:pPr>
      <w:pBdr>
        <w:bottom w:val="single" w:sz="4" w:space="4" w:color="auto"/>
      </w:pBdr>
      <w:spacing w:line="240" w:lineRule="auto"/>
      <w:rPr>
        <w:b/>
        <w:sz w:val="18"/>
        <w:lang w:val="en-GB"/>
      </w:rPr>
    </w:pPr>
    <w:r>
      <w:rPr>
        <w:b/>
        <w:sz w:val="18"/>
        <w:lang w:val="en-GB"/>
      </w:rPr>
      <w:t>E/ECE/TRANS/505/Rev.2/Add.141</w:t>
    </w:r>
  </w:p>
  <w:p w14:paraId="0324C272" w14:textId="77777777" w:rsidR="0091121B" w:rsidRDefault="00300A98" w:rsidP="00300A98">
    <w:pPr>
      <w:pStyle w:val="Header"/>
      <w:rPr>
        <w:lang w:val="en-GB"/>
      </w:rPr>
    </w:pPr>
    <w:r>
      <w:rPr>
        <w:lang w:val="en-GB"/>
      </w:rPr>
      <w:t>Annex 2</w:t>
    </w:r>
  </w:p>
  <w:p w14:paraId="34443CE6" w14:textId="77777777" w:rsidR="00300A98" w:rsidRPr="00300A98" w:rsidRDefault="00300A98" w:rsidP="00300A98">
    <w:pP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65A4" w14:textId="77777777" w:rsidR="00300A98" w:rsidRPr="00B61A67" w:rsidRDefault="00300A98" w:rsidP="00300A98">
    <w:pPr>
      <w:pBdr>
        <w:bottom w:val="single" w:sz="4" w:space="4" w:color="auto"/>
      </w:pBdr>
      <w:spacing w:line="240" w:lineRule="auto"/>
      <w:jc w:val="right"/>
      <w:rPr>
        <w:b/>
        <w:sz w:val="18"/>
        <w:lang w:val="en-GB"/>
      </w:rPr>
    </w:pPr>
    <w:r>
      <w:rPr>
        <w:b/>
        <w:sz w:val="18"/>
        <w:lang w:val="en-GB"/>
      </w:rPr>
      <w:t>E/ECE/324/Rev.2/Add.141</w:t>
    </w:r>
  </w:p>
  <w:p w14:paraId="7D4A1220" w14:textId="77777777" w:rsidR="00300A98" w:rsidRPr="00300A98" w:rsidRDefault="00300A98" w:rsidP="00300A98">
    <w:pPr>
      <w:pBdr>
        <w:bottom w:val="single" w:sz="4" w:space="4" w:color="auto"/>
      </w:pBdr>
      <w:spacing w:line="240" w:lineRule="auto"/>
      <w:jc w:val="right"/>
      <w:rPr>
        <w:b/>
        <w:sz w:val="18"/>
        <w:lang w:val="en-GB"/>
      </w:rPr>
    </w:pPr>
    <w:r>
      <w:rPr>
        <w:b/>
        <w:sz w:val="18"/>
        <w:lang w:val="en-GB"/>
      </w:rPr>
      <w:t>E/ECE/TRANS/505/Rev.2/Add.141</w:t>
    </w:r>
  </w:p>
  <w:p w14:paraId="1DA655C1" w14:textId="77777777" w:rsidR="00300A98" w:rsidRDefault="00300A98" w:rsidP="00300A98">
    <w:pPr>
      <w:pStyle w:val="Header"/>
      <w:jc w:val="right"/>
      <w:rPr>
        <w:lang w:val="en-GB"/>
      </w:rPr>
    </w:pPr>
    <w:r>
      <w:rPr>
        <w:lang w:val="en-GB"/>
      </w:rPr>
      <w:t>Annex 3</w:t>
    </w:r>
  </w:p>
  <w:p w14:paraId="113497F8" w14:textId="77777777" w:rsidR="00300A98" w:rsidRPr="00300A98" w:rsidRDefault="00300A98" w:rsidP="00300A98">
    <w:pP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B772F" w14:textId="77777777" w:rsidR="00300A98" w:rsidRPr="00B61A67" w:rsidRDefault="00300A98" w:rsidP="004C206F">
    <w:pPr>
      <w:pBdr>
        <w:bottom w:val="single" w:sz="4" w:space="4" w:color="auto"/>
      </w:pBdr>
      <w:spacing w:line="240" w:lineRule="auto"/>
      <w:rPr>
        <w:b/>
        <w:sz w:val="18"/>
        <w:lang w:val="en-GB"/>
      </w:rPr>
    </w:pPr>
    <w:r>
      <w:rPr>
        <w:b/>
        <w:sz w:val="18"/>
        <w:lang w:val="en-GB"/>
      </w:rPr>
      <w:t>E/ECE/324/Rev.2/Add.141</w:t>
    </w:r>
    <w:r w:rsidR="00447099">
      <w:rPr>
        <w:b/>
        <w:sz w:val="18"/>
        <w:lang w:val="en-GB"/>
      </w:rPr>
      <w:t>/Amend.1</w:t>
    </w:r>
  </w:p>
  <w:p w14:paraId="0BB8FAD0" w14:textId="2F4424CC" w:rsidR="00300A98" w:rsidRPr="00300A98" w:rsidRDefault="00300A98" w:rsidP="004C206F">
    <w:pPr>
      <w:pBdr>
        <w:bottom w:val="single" w:sz="4" w:space="4" w:color="auto"/>
      </w:pBdr>
      <w:spacing w:line="240" w:lineRule="auto"/>
      <w:rPr>
        <w:lang w:val="en-GB"/>
      </w:rPr>
    </w:pPr>
    <w:r>
      <w:rPr>
        <w:b/>
        <w:sz w:val="18"/>
        <w:lang w:val="en-GB"/>
      </w:rPr>
      <w:t>E/ECE/TRANS/505/Rev.2/Add.141</w:t>
    </w:r>
    <w:r w:rsidR="00447099">
      <w:rPr>
        <w:b/>
        <w:sz w:val="18"/>
        <w:lang w:val="en-GB"/>
      </w:rPr>
      <w:t>/Amend.1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num w:numId="1">
    <w:abstractNumId w:val="11"/>
  </w:num>
  <w:num w:numId="2">
    <w:abstractNumId w:val="6"/>
  </w:num>
  <w:num w:numId="3">
    <w:abstractNumId w:val="9"/>
  </w:num>
  <w:num w:numId="4">
    <w:abstractNumId w:val="4"/>
  </w:num>
  <w:num w:numId="5">
    <w:abstractNumId w:val="2"/>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3"/>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601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2267"/>
    <w:rsid w:val="0009234E"/>
    <w:rsid w:val="00093356"/>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18E"/>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3FC4"/>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A98"/>
    <w:rsid w:val="00300FF7"/>
    <w:rsid w:val="003016B7"/>
    <w:rsid w:val="0030185D"/>
    <w:rsid w:val="00307921"/>
    <w:rsid w:val="00310241"/>
    <w:rsid w:val="003102B3"/>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3"/>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099"/>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0C37"/>
    <w:rsid w:val="004A11ED"/>
    <w:rsid w:val="004A3ECD"/>
    <w:rsid w:val="004A4841"/>
    <w:rsid w:val="004A4F67"/>
    <w:rsid w:val="004A659B"/>
    <w:rsid w:val="004A6D80"/>
    <w:rsid w:val="004A7442"/>
    <w:rsid w:val="004B2711"/>
    <w:rsid w:val="004B4A7F"/>
    <w:rsid w:val="004C0D3F"/>
    <w:rsid w:val="004C1A2F"/>
    <w:rsid w:val="004C206F"/>
    <w:rsid w:val="004C335D"/>
    <w:rsid w:val="004C350D"/>
    <w:rsid w:val="004C49FF"/>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27413"/>
    <w:rsid w:val="0053032B"/>
    <w:rsid w:val="00532F20"/>
    <w:rsid w:val="00533050"/>
    <w:rsid w:val="0053386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521F"/>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1219"/>
    <w:rsid w:val="009A2F78"/>
    <w:rsid w:val="009A321F"/>
    <w:rsid w:val="009A625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E38"/>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6D18"/>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3B7D"/>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532C"/>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oNotEmbedSmartTags/>
  <w:decimalSymbol w:val="."/>
  <w:listSeparator w:val=","/>
  <w14:docId w14:val="239A3338"/>
  <w15:docId w15:val="{23CEB5F3-6781-4393-9085-A3093EAE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53396707">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6EF9-950D-4DB8-9698-3BED93CD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2745</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Secretariat</cp:lastModifiedBy>
  <cp:revision>2</cp:revision>
  <cp:lastPrinted>2017-01-26T13:40:00Z</cp:lastPrinted>
  <dcterms:created xsi:type="dcterms:W3CDTF">2018-11-06T14:13:00Z</dcterms:created>
  <dcterms:modified xsi:type="dcterms:W3CDTF">2018-11-06T14:13:00Z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