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F4798E" w14:paraId="2E4AD1D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528F28" w14:textId="77777777" w:rsidR="005F316E" w:rsidRPr="005F316E" w:rsidRDefault="005F316E" w:rsidP="005F316E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5F316E">
              <w:rPr>
                <w:sz w:val="40"/>
                <w:lang w:val="en-US"/>
              </w:rPr>
              <w:t>E</w:t>
            </w:r>
            <w:r w:rsidRPr="005F316E">
              <w:rPr>
                <w:lang w:val="en-US"/>
              </w:rPr>
              <w:t>/ECE/324/Rev.2/Add.139/Amend.2−</w:t>
            </w:r>
            <w:r w:rsidRPr="005F316E">
              <w:rPr>
                <w:sz w:val="40"/>
                <w:lang w:val="en-US"/>
              </w:rPr>
              <w:t>E</w:t>
            </w:r>
            <w:r w:rsidRPr="005F316E">
              <w:rPr>
                <w:lang w:val="en-US"/>
              </w:rPr>
              <w:t>/ECE/TRANS/505/Rev.2/Add.139/Amend.2</w:t>
            </w:r>
          </w:p>
        </w:tc>
      </w:tr>
      <w:tr w:rsidR="00421A10" w:rsidRPr="00DB58B5" w14:paraId="5B755DE4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7600211" w14:textId="77777777" w:rsidR="00421A10" w:rsidRPr="005F316E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93BF010" w14:textId="77777777" w:rsidR="00421A10" w:rsidRPr="00DB58B5" w:rsidRDefault="005F316E" w:rsidP="00A27C92">
            <w:pPr>
              <w:spacing w:before="480" w:line="240" w:lineRule="exact"/>
            </w:pPr>
            <w:r>
              <w:t>16 janvier 2019</w:t>
            </w:r>
          </w:p>
        </w:tc>
      </w:tr>
    </w:tbl>
    <w:p w14:paraId="409FE9FE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51E079E8" w14:textId="77777777"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</w:t>
      </w:r>
      <w:r w:rsidR="007932E1">
        <w:t>’</w:t>
      </w:r>
      <w:r w:rsidR="00421A10" w:rsidRPr="00583D68">
        <w:t xml:space="preserve">adoption </w:t>
      </w:r>
      <w:r w:rsidR="007932E1">
        <w:t xml:space="preserve">de Règlements techniques harmonisés </w:t>
      </w:r>
      <w:r w:rsidR="007932E1">
        <w:br/>
        <w:t xml:space="preserve">de l’ONU applicables aux véhicules à roues et aux équipements </w:t>
      </w:r>
      <w:r w:rsidR="007932E1">
        <w:br/>
        <w:t xml:space="preserve">et pièces susceptibles d’être montés ou utilisés sur les véhicules </w:t>
      </w:r>
      <w:r w:rsidR="007932E1">
        <w:br/>
        <w:t xml:space="preserve">à roues et les conditions de reconnaissance réciproque </w:t>
      </w:r>
      <w:r w:rsidR="007932E1">
        <w:br/>
        <w:t>des homologations délivrées conformément à ces Règlements</w:t>
      </w:r>
      <w:r w:rsidR="00442E31" w:rsidRPr="007932E1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14:paraId="2BB1A1CF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7932E1" w:rsidRPr="00383AC6">
        <w:t>3, comprenant les amendements entrés en vigueur le 14</w:t>
      </w:r>
      <w:r w:rsidR="007932E1">
        <w:t xml:space="preserve"> </w:t>
      </w:r>
      <w:r w:rsidR="007932E1" w:rsidRPr="00383AC6">
        <w:t>septembre 2017</w:t>
      </w:r>
      <w:r w:rsidRPr="006549FF">
        <w:t>)</w:t>
      </w:r>
    </w:p>
    <w:p w14:paraId="58994496" w14:textId="77777777" w:rsidR="00421A10" w:rsidRPr="006549FF" w:rsidRDefault="0029791D" w:rsidP="0029791D">
      <w:pPr>
        <w:jc w:val="center"/>
      </w:pPr>
      <w:r>
        <w:t>_______________</w:t>
      </w:r>
    </w:p>
    <w:p w14:paraId="0AE905CA" w14:textId="77777777" w:rsidR="00421A10" w:rsidRPr="00F4798E" w:rsidRDefault="0029791D" w:rsidP="0029791D">
      <w:pPr>
        <w:pStyle w:val="HChG"/>
      </w:pPr>
      <w:r>
        <w:tab/>
      </w:r>
      <w:r>
        <w:tab/>
      </w:r>
      <w:r w:rsidR="00421A10" w:rsidRPr="00F4798E">
        <w:t xml:space="preserve">Additif </w:t>
      </w:r>
      <w:r w:rsidR="007932E1" w:rsidRPr="00F4798E">
        <w:t>139 </w:t>
      </w:r>
      <w:r w:rsidR="00421A10" w:rsidRPr="00F4798E">
        <w:t xml:space="preserve">: Règlement </w:t>
      </w:r>
      <w:r w:rsidR="001E7643" w:rsidRPr="00F4798E">
        <w:t xml:space="preserve">ONU </w:t>
      </w:r>
      <w:r w:rsidR="00421A10" w:rsidRPr="00F4798E">
        <w:t>n</w:t>
      </w:r>
      <w:r w:rsidR="00421A10" w:rsidRPr="00F4798E">
        <w:rPr>
          <w:vertAlign w:val="superscript"/>
        </w:rPr>
        <w:t>o</w:t>
      </w:r>
      <w:r w:rsidR="00421A10" w:rsidRPr="00F4798E">
        <w:t> </w:t>
      </w:r>
      <w:r w:rsidR="007932E1" w:rsidRPr="00F4798E">
        <w:t>140</w:t>
      </w:r>
    </w:p>
    <w:p w14:paraId="288FBAF3" w14:textId="77777777" w:rsidR="00421A10" w:rsidRPr="007932E1" w:rsidRDefault="0029791D" w:rsidP="0029791D">
      <w:pPr>
        <w:pStyle w:val="H1G"/>
      </w:pPr>
      <w:r w:rsidRPr="00F4798E">
        <w:tab/>
      </w:r>
      <w:r w:rsidRPr="00F4798E">
        <w:tab/>
      </w:r>
      <w:r w:rsidR="007932E1" w:rsidRPr="007932E1">
        <w:t>Amendement 2</w:t>
      </w:r>
    </w:p>
    <w:p w14:paraId="2D03C855" w14:textId="77777777" w:rsidR="00421A10" w:rsidRPr="007932E1" w:rsidRDefault="007932E1" w:rsidP="0029791D">
      <w:pPr>
        <w:pStyle w:val="SingleTxtG"/>
        <w:rPr>
          <w:spacing w:val="-6"/>
        </w:rPr>
      </w:pPr>
      <w:r w:rsidRPr="007932E1">
        <w:rPr>
          <w:spacing w:val="-6"/>
          <w:lang w:eastAsia="en-GB"/>
        </w:rPr>
        <w:t xml:space="preserve">Complément 2 </w:t>
      </w:r>
      <w:r w:rsidRPr="007932E1">
        <w:rPr>
          <w:spacing w:val="-6"/>
        </w:rPr>
        <w:t>à la version originale du Règlement − Date d</w:t>
      </w:r>
      <w:r>
        <w:rPr>
          <w:spacing w:val="-6"/>
        </w:rPr>
        <w:t>’</w:t>
      </w:r>
      <w:r w:rsidRPr="007932E1">
        <w:rPr>
          <w:spacing w:val="-6"/>
        </w:rPr>
        <w:t xml:space="preserve">entrée en vigueur : </w:t>
      </w:r>
      <w:r w:rsidRPr="007932E1">
        <w:rPr>
          <w:spacing w:val="-6"/>
          <w:lang w:eastAsia="en-GB"/>
        </w:rPr>
        <w:t>29 décembre 2018</w:t>
      </w:r>
    </w:p>
    <w:p w14:paraId="0529265F" w14:textId="77777777"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7932E1" w:rsidRPr="005B0B01">
        <w:t>à l</w:t>
      </w:r>
      <w:r w:rsidR="007932E1">
        <w:rPr>
          <w:b w:val="0"/>
        </w:rPr>
        <w:t>’</w:t>
      </w:r>
      <w:r w:rsidR="007932E1" w:rsidRPr="005B0B01">
        <w:t xml:space="preserve">homologation des voitures particulières en ce qui concerne les systèmes de contrôle </w:t>
      </w:r>
      <w:r w:rsidR="007932E1">
        <w:br/>
      </w:r>
      <w:r w:rsidR="007932E1" w:rsidRPr="005B0B01">
        <w:t>électronique de la stabilité (ESC</w:t>
      </w:r>
      <w:r w:rsidR="007932E1">
        <w:t>)</w:t>
      </w:r>
    </w:p>
    <w:p w14:paraId="16B1B48D" w14:textId="77777777" w:rsidR="005F316E" w:rsidRPr="007932E1" w:rsidRDefault="007932E1" w:rsidP="007932E1">
      <w:pPr>
        <w:pStyle w:val="SingleTxtG"/>
        <w:rPr>
          <w:spacing w:val="-4"/>
        </w:rPr>
      </w:pPr>
      <w:r w:rsidRPr="007932E1">
        <w:rPr>
          <w:spacing w:val="-4"/>
        </w:rPr>
        <w:tab/>
        <w:t>Le présent document est communiqué uniquement à titre d</w:t>
      </w:r>
      <w:r>
        <w:rPr>
          <w:spacing w:val="-4"/>
        </w:rPr>
        <w:t>’</w:t>
      </w:r>
      <w:r w:rsidRPr="007932E1">
        <w:rPr>
          <w:spacing w:val="-4"/>
        </w:rPr>
        <w:t>information. Le texte authentique, juridiquement contraignant, est celui du document ECE/TRANS/WP.29/2018/61.</w:t>
      </w:r>
      <w:r w:rsidR="00442E31" w:rsidRPr="007932E1">
        <w:rPr>
          <w:noProof/>
          <w:spacing w:val="-4"/>
          <w:lang w:val="en-GB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8EF5A6" wp14:editId="2A72CC14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56572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4371C15F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zh-CN"/>
                              </w:rPr>
                              <w:drawing>
                                <wp:inline distT="0" distB="0" distL="0" distR="0" wp14:anchorId="506E023D" wp14:editId="2758CD95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14361F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EF5A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14:paraId="68E56572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4371C15F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zh-CN"/>
                        </w:rPr>
                        <w:drawing>
                          <wp:inline distT="0" distB="0" distL="0" distR="0" wp14:anchorId="506E023D" wp14:editId="2758CD95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14361F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A6834E1" w14:textId="77777777" w:rsidR="007932E1" w:rsidRDefault="007932E1" w:rsidP="007932E1">
      <w:pPr>
        <w:pStyle w:val="SingleTxtG"/>
      </w:pPr>
      <w:r>
        <w:br w:type="page"/>
      </w:r>
      <w:r>
        <w:rPr>
          <w:i/>
          <w:iCs/>
          <w:lang w:val="fr-FR"/>
        </w:rPr>
        <w:lastRenderedPageBreak/>
        <w:t>Paragraphe 5.1</w:t>
      </w:r>
      <w:r>
        <w:rPr>
          <w:lang w:val="fr-FR"/>
        </w:rPr>
        <w:t>, lire :</w:t>
      </w:r>
    </w:p>
    <w:p w14:paraId="4AC1634B" w14:textId="77777777" w:rsidR="007932E1" w:rsidRDefault="007932E1" w:rsidP="007932E1">
      <w:pPr>
        <w:pStyle w:val="SingleTxtG"/>
        <w:tabs>
          <w:tab w:val="left" w:pos="2268"/>
        </w:tabs>
        <w:ind w:left="2268" w:hanging="1134"/>
      </w:pPr>
      <w:r>
        <w:rPr>
          <w:lang w:val="fr-FR"/>
        </w:rPr>
        <w:t>« 5.1</w:t>
      </w:r>
      <w:r>
        <w:rPr>
          <w:lang w:val="fr-FR"/>
        </w:rPr>
        <w:tab/>
        <w:t xml:space="preserve">Les véhicules doivent être équipés d’un système de contrôle électronique de la stabilité (ESC) satisfaisant aux prescriptions fonctionnelles énoncées au chapitre 6 et aux prescriptions d’efficacité énoncées au </w:t>
      </w:r>
      <w:r w:rsidRPr="002B177E">
        <w:rPr>
          <w:lang w:val="fr-FR"/>
        </w:rPr>
        <w:t>chapitre</w:t>
      </w:r>
      <w:r>
        <w:rPr>
          <w:lang w:val="fr-FR"/>
        </w:rPr>
        <w:t xml:space="preserve"> 7, dans le cadre des procédures d’essai décrites au </w:t>
      </w:r>
      <w:r w:rsidRPr="00EC4A41">
        <w:rPr>
          <w:lang w:val="fr-FR"/>
        </w:rPr>
        <w:t>chapitre</w:t>
      </w:r>
      <w:r>
        <w:rPr>
          <w:lang w:val="fr-FR"/>
        </w:rPr>
        <w:t xml:space="preserve"> 9 et dans les conditions d’essai spécifiées au </w:t>
      </w:r>
      <w:r w:rsidRPr="00EC4A41">
        <w:rPr>
          <w:lang w:val="fr-FR"/>
        </w:rPr>
        <w:t>chapitre</w:t>
      </w:r>
      <w:r>
        <w:rPr>
          <w:lang w:val="fr-FR"/>
        </w:rPr>
        <w:t> 8 du présent Règlement.</w:t>
      </w:r>
      <w:r>
        <w:t> ».</w:t>
      </w:r>
    </w:p>
    <w:p w14:paraId="780B1FFD" w14:textId="77777777" w:rsidR="007932E1" w:rsidRDefault="007932E1" w:rsidP="007932E1">
      <w:pPr>
        <w:pStyle w:val="SingleTxtG"/>
        <w:rPr>
          <w:i/>
          <w:iCs/>
        </w:rPr>
      </w:pPr>
      <w:r>
        <w:rPr>
          <w:i/>
          <w:iCs/>
        </w:rPr>
        <w:t>Annexe 4</w:t>
      </w:r>
      <w:r>
        <w:rPr>
          <w:iCs/>
        </w:rPr>
        <w:t>,</w:t>
      </w:r>
    </w:p>
    <w:p w14:paraId="5DD734C1" w14:textId="77777777" w:rsidR="007932E1" w:rsidRDefault="007932E1" w:rsidP="007932E1">
      <w:pPr>
        <w:pStyle w:val="SingleTxtG"/>
      </w:pPr>
      <w:r>
        <w:rPr>
          <w:i/>
          <w:iCs/>
        </w:rPr>
        <w:t>Paragraphe 2.1</w:t>
      </w:r>
      <w:r>
        <w:t xml:space="preserve">, </w:t>
      </w:r>
      <w:r>
        <w:rPr>
          <w:lang w:val="fr-FR"/>
        </w:rPr>
        <w:t>lire </w:t>
      </w:r>
      <w:r>
        <w:t>:</w:t>
      </w:r>
    </w:p>
    <w:p w14:paraId="240FB618" w14:textId="77777777" w:rsidR="007932E1" w:rsidRDefault="007932E1" w:rsidP="007932E1">
      <w:pPr>
        <w:pStyle w:val="SingleTxtG"/>
        <w:tabs>
          <w:tab w:val="left" w:pos="2268"/>
        </w:tabs>
        <w:ind w:left="2268" w:hanging="1134"/>
      </w:pPr>
      <w:r>
        <w:t>« 2.1</w:t>
      </w:r>
      <w:r>
        <w:tab/>
        <w:t>Il convient de vérifier la validité de l’outil de modélisation et de simulation utilisé en procédant à des comparaisons avec des essais effectués sur un véhicule dans des conditions réelles. Les essais à prendre en compte pour la validation doivent être les manœuvres dynamiques décrites au paragraphe 9.9 du présent Règlement.</w:t>
      </w:r>
    </w:p>
    <w:p w14:paraId="09C9725E" w14:textId="77777777" w:rsidR="007932E1" w:rsidRDefault="007932E1" w:rsidP="007932E1">
      <w:pPr>
        <w:pStyle w:val="SingleTxtG"/>
        <w:ind w:left="2268"/>
      </w:pPr>
      <w:r>
        <w:t>Pendant les essais, les variables de mouvement ci-après, selon le cas, doivent être enregistrées ou calculées conformément à la norme ISO 15037 − Partie </w:t>
      </w:r>
      <w:proofErr w:type="gramStart"/>
      <w:r>
        <w:t>1:</w:t>
      </w:r>
      <w:proofErr w:type="gramEnd"/>
      <w:r>
        <w:t>2006 : Conditions générales pour voitures particulières ou Partie 2:2002 : Conditions générales pour véhicules lourds et autobus (selon la catégorie du véhicule) :</w:t>
      </w:r>
    </w:p>
    <w:p w14:paraId="103523BE" w14:textId="77777777" w:rsidR="007932E1" w:rsidRDefault="007932E1" w:rsidP="007932E1">
      <w:pPr>
        <w:pStyle w:val="SingleTxtG"/>
        <w:ind w:left="2268"/>
      </w:pPr>
      <w:r>
        <w:t>a)</w:t>
      </w:r>
      <w:r>
        <w:tab/>
        <w:t>Angle de braquage (</w:t>
      </w:r>
      <w:r>
        <w:rPr>
          <w:i/>
          <w:lang w:val="en-GB"/>
        </w:rPr>
        <w:sym w:font="Symbol" w:char="F064"/>
      </w:r>
      <w:r>
        <w:t>H) ;</w:t>
      </w:r>
    </w:p>
    <w:p w14:paraId="61A8EE36" w14:textId="77777777" w:rsidR="007932E1" w:rsidRDefault="007932E1" w:rsidP="007932E1">
      <w:pPr>
        <w:pStyle w:val="SingleTxtG"/>
        <w:ind w:left="2268"/>
      </w:pPr>
      <w:r>
        <w:t>b)</w:t>
      </w:r>
      <w:r>
        <w:tab/>
        <w:t>Vitesse longitudinale (</w:t>
      </w:r>
      <w:proofErr w:type="spellStart"/>
      <w:r>
        <w:rPr>
          <w:i/>
        </w:rPr>
        <w:t>vX</w:t>
      </w:r>
      <w:proofErr w:type="spellEnd"/>
      <w:r>
        <w:t>) ;</w:t>
      </w:r>
    </w:p>
    <w:p w14:paraId="28C784AE" w14:textId="77777777" w:rsidR="007932E1" w:rsidRDefault="007932E1" w:rsidP="007932E1">
      <w:pPr>
        <w:pStyle w:val="SingleTxtG"/>
        <w:ind w:left="2268"/>
      </w:pPr>
      <w:r>
        <w:t>c)</w:t>
      </w:r>
      <w:r>
        <w:tab/>
        <w:t>Angle de dérive (</w:t>
      </w:r>
      <w:r>
        <w:rPr>
          <w:i/>
          <w:lang w:val="en-GB"/>
        </w:rPr>
        <w:sym w:font="Symbol" w:char="F062"/>
      </w:r>
      <w:r>
        <w:t>) ou vitesse latérale (</w:t>
      </w:r>
      <w:proofErr w:type="spellStart"/>
      <w:r>
        <w:rPr>
          <w:i/>
        </w:rPr>
        <w:t>vY</w:t>
      </w:r>
      <w:proofErr w:type="spellEnd"/>
      <w:r>
        <w:t>) ; (facultatif) ;</w:t>
      </w:r>
    </w:p>
    <w:p w14:paraId="0939D2BE" w14:textId="77777777" w:rsidR="007932E1" w:rsidRDefault="007932E1" w:rsidP="007932E1">
      <w:pPr>
        <w:pStyle w:val="SingleTxtG"/>
        <w:ind w:left="2268"/>
      </w:pPr>
      <w:r>
        <w:t>d)</w:t>
      </w:r>
      <w:r>
        <w:tab/>
        <w:t>Accélération longitudinale (</w:t>
      </w:r>
      <w:proofErr w:type="spellStart"/>
      <w:r>
        <w:rPr>
          <w:i/>
        </w:rPr>
        <w:t>aX</w:t>
      </w:r>
      <w:proofErr w:type="spellEnd"/>
      <w:r>
        <w:t>) ; (facultatif) ;</w:t>
      </w:r>
    </w:p>
    <w:p w14:paraId="0A567A19" w14:textId="77777777" w:rsidR="007932E1" w:rsidRDefault="007932E1" w:rsidP="007932E1">
      <w:pPr>
        <w:pStyle w:val="SingleTxtG"/>
        <w:ind w:left="2268"/>
      </w:pPr>
      <w:r>
        <w:t>e)</w:t>
      </w:r>
      <w:r>
        <w:tab/>
        <w:t>Accélération latérale (</w:t>
      </w:r>
      <w:r>
        <w:rPr>
          <w:i/>
        </w:rPr>
        <w:t>a</w:t>
      </w:r>
      <w:r>
        <w:rPr>
          <w:i/>
          <w:lang w:val="en-GB"/>
        </w:rPr>
        <w:t>Ү</w:t>
      </w:r>
      <w:r>
        <w:t>) ;</w:t>
      </w:r>
    </w:p>
    <w:p w14:paraId="3296D7F7" w14:textId="77777777" w:rsidR="007932E1" w:rsidRDefault="007932E1" w:rsidP="007932E1">
      <w:pPr>
        <w:pStyle w:val="SingleTxtG"/>
        <w:ind w:left="2268"/>
      </w:pPr>
      <w:r>
        <w:t>f)</w:t>
      </w:r>
      <w:r>
        <w:tab/>
        <w:t>Vitesse de lacet (d</w:t>
      </w:r>
      <w:r>
        <w:rPr>
          <w:i/>
          <w:lang w:val="en-GB"/>
        </w:rPr>
        <w:sym w:font="Symbol" w:char="F079"/>
      </w:r>
      <w:r>
        <w:t>/</w:t>
      </w:r>
      <w:proofErr w:type="spellStart"/>
      <w:r>
        <w:t>d</w:t>
      </w:r>
      <w:r>
        <w:rPr>
          <w:i/>
        </w:rPr>
        <w:t>t</w:t>
      </w:r>
      <w:proofErr w:type="spellEnd"/>
      <w:r>
        <w:t>) ;</w:t>
      </w:r>
    </w:p>
    <w:p w14:paraId="5FE7F220" w14:textId="77777777" w:rsidR="007932E1" w:rsidRDefault="007932E1" w:rsidP="007932E1">
      <w:pPr>
        <w:pStyle w:val="SingleTxtG"/>
        <w:ind w:left="2268"/>
      </w:pPr>
      <w:r>
        <w:t>g)</w:t>
      </w:r>
      <w:r>
        <w:tab/>
        <w:t>Vitesse de roulis (d</w:t>
      </w:r>
      <w:r>
        <w:rPr>
          <w:i/>
          <w:lang w:val="en-GB"/>
        </w:rPr>
        <w:sym w:font="Symbol" w:char="F06A"/>
      </w:r>
      <w:r>
        <w:t>/</w:t>
      </w:r>
      <w:proofErr w:type="spellStart"/>
      <w:r>
        <w:t>d</w:t>
      </w:r>
      <w:r>
        <w:rPr>
          <w:i/>
        </w:rPr>
        <w:t>t</w:t>
      </w:r>
      <w:proofErr w:type="spellEnd"/>
      <w:r>
        <w:t>) ;</w:t>
      </w:r>
    </w:p>
    <w:p w14:paraId="604095D5" w14:textId="77777777" w:rsidR="007932E1" w:rsidRDefault="007932E1" w:rsidP="007932E1">
      <w:pPr>
        <w:pStyle w:val="SingleTxtG"/>
        <w:ind w:left="2268"/>
      </w:pPr>
      <w:r>
        <w:t>h)</w:t>
      </w:r>
      <w:r>
        <w:tab/>
        <w:t>Vitesse de tangage (d</w:t>
      </w:r>
      <w:r w:rsidRPr="00EC4A41">
        <w:rPr>
          <w:i/>
          <w:lang w:val="en-GB"/>
        </w:rPr>
        <w:sym w:font="Symbol" w:char="F071"/>
      </w:r>
      <w:r>
        <w:t>/</w:t>
      </w:r>
      <w:proofErr w:type="spellStart"/>
      <w:r>
        <w:t>d</w:t>
      </w:r>
      <w:r w:rsidRPr="00EC4A41">
        <w:rPr>
          <w:i/>
        </w:rPr>
        <w:t>t</w:t>
      </w:r>
      <w:proofErr w:type="spellEnd"/>
      <w:r>
        <w:t>) ;</w:t>
      </w:r>
    </w:p>
    <w:p w14:paraId="28C0EEE9" w14:textId="77777777" w:rsidR="007932E1" w:rsidRDefault="007932E1" w:rsidP="007932E1">
      <w:pPr>
        <w:pStyle w:val="SingleTxtG"/>
        <w:ind w:left="2268"/>
      </w:pPr>
      <w:r>
        <w:t>i)</w:t>
      </w:r>
      <w:r>
        <w:tab/>
        <w:t>Angle de roulis (</w:t>
      </w:r>
      <w:r>
        <w:rPr>
          <w:i/>
          <w:lang w:val="en-GB"/>
        </w:rPr>
        <w:sym w:font="Symbol" w:char="F06A"/>
      </w:r>
      <w:r>
        <w:t>) ;</w:t>
      </w:r>
    </w:p>
    <w:p w14:paraId="0C9A3504" w14:textId="77777777" w:rsidR="005F0207" w:rsidRDefault="007932E1" w:rsidP="007932E1">
      <w:pPr>
        <w:pStyle w:val="SingleTxtG"/>
        <w:ind w:left="2268"/>
      </w:pPr>
      <w:r>
        <w:t>j)</w:t>
      </w:r>
      <w:r>
        <w:tab/>
        <w:t>Angle de tangage (</w:t>
      </w:r>
      <w:r>
        <w:rPr>
          <w:i/>
          <w:lang w:val="en-GB"/>
        </w:rPr>
        <w:sym w:font="Symbol" w:char="F071"/>
      </w:r>
      <w:r>
        <w:t>) ».</w:t>
      </w:r>
    </w:p>
    <w:p w14:paraId="12F0A22A" w14:textId="77777777" w:rsidR="007932E1" w:rsidRPr="007932E1" w:rsidRDefault="007932E1" w:rsidP="007932E1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932E1" w:rsidRPr="007932E1" w:rsidSect="005F316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5B37" w14:textId="77777777" w:rsidR="004F6299" w:rsidRDefault="004F6299"/>
  </w:endnote>
  <w:endnote w:type="continuationSeparator" w:id="0">
    <w:p w14:paraId="6B001721" w14:textId="77777777" w:rsidR="004F6299" w:rsidRDefault="004F6299">
      <w:pPr>
        <w:pStyle w:val="Footer"/>
      </w:pPr>
    </w:p>
  </w:endnote>
  <w:endnote w:type="continuationNotice" w:id="1">
    <w:p w14:paraId="5755C556" w14:textId="77777777" w:rsidR="004F6299" w:rsidRPr="00C451B9" w:rsidRDefault="004F6299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33542" w14:textId="0CEA821D" w:rsidR="005F316E" w:rsidRPr="005F316E" w:rsidRDefault="005F316E" w:rsidP="005F316E">
    <w:pPr>
      <w:pStyle w:val="Footer"/>
      <w:tabs>
        <w:tab w:val="right" w:pos="9638"/>
      </w:tabs>
    </w:pPr>
    <w:r w:rsidRPr="005F316E">
      <w:rPr>
        <w:b/>
        <w:sz w:val="18"/>
      </w:rPr>
      <w:fldChar w:fldCharType="begin"/>
    </w:r>
    <w:r w:rsidRPr="005F316E">
      <w:rPr>
        <w:b/>
        <w:sz w:val="18"/>
      </w:rPr>
      <w:instrText xml:space="preserve"> PAGE  \* MERGEFORMAT </w:instrText>
    </w:r>
    <w:r w:rsidRPr="005F316E">
      <w:rPr>
        <w:b/>
        <w:sz w:val="18"/>
      </w:rPr>
      <w:fldChar w:fldCharType="separate"/>
    </w:r>
    <w:r w:rsidR="00D53E26">
      <w:rPr>
        <w:b/>
        <w:noProof/>
        <w:sz w:val="18"/>
      </w:rPr>
      <w:t>2</w:t>
    </w:r>
    <w:r w:rsidRPr="005F316E">
      <w:rPr>
        <w:b/>
        <w:sz w:val="18"/>
      </w:rPr>
      <w:fldChar w:fldCharType="end"/>
    </w:r>
    <w:r>
      <w:rPr>
        <w:b/>
        <w:sz w:val="18"/>
      </w:rPr>
      <w:tab/>
    </w:r>
    <w:r>
      <w:t>GE.19-00786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D024" w14:textId="77777777" w:rsidR="005F316E" w:rsidRPr="005F316E" w:rsidRDefault="005F316E" w:rsidP="005F316E">
    <w:pPr>
      <w:pStyle w:val="Footer"/>
      <w:tabs>
        <w:tab w:val="right" w:pos="9638"/>
      </w:tabs>
      <w:rPr>
        <w:b/>
        <w:sz w:val="18"/>
      </w:rPr>
    </w:pPr>
    <w:r>
      <w:t>GE.19-00786</w:t>
    </w:r>
    <w:r>
      <w:tab/>
    </w:r>
    <w:r w:rsidRPr="005F316E">
      <w:rPr>
        <w:b/>
        <w:sz w:val="18"/>
      </w:rPr>
      <w:fldChar w:fldCharType="begin"/>
    </w:r>
    <w:r w:rsidRPr="005F316E">
      <w:rPr>
        <w:b/>
        <w:sz w:val="18"/>
      </w:rPr>
      <w:instrText xml:space="preserve"> PAGE  \* MERGEFORMAT </w:instrText>
    </w:r>
    <w:r w:rsidRPr="005F316E">
      <w:rPr>
        <w:b/>
        <w:sz w:val="18"/>
      </w:rPr>
      <w:fldChar w:fldCharType="separate"/>
    </w:r>
    <w:r w:rsidRPr="005F316E">
      <w:rPr>
        <w:b/>
        <w:noProof/>
        <w:sz w:val="18"/>
      </w:rPr>
      <w:t>3</w:t>
    </w:r>
    <w:r w:rsidRPr="005F316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ED79" w14:textId="77777777" w:rsidR="00467F2C" w:rsidRPr="005F316E" w:rsidRDefault="005F316E" w:rsidP="005F316E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zh-CN"/>
      </w:rPr>
      <w:drawing>
        <wp:anchor distT="0" distB="0" distL="114300" distR="114300" simplePos="0" relativeHeight="251659264" behindDoc="0" locked="0" layoutInCell="1" allowOverlap="1" wp14:anchorId="68EA6BDF" wp14:editId="04392EB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00786  (</w:t>
    </w:r>
    <w:proofErr w:type="gramEnd"/>
    <w:r>
      <w:rPr>
        <w:sz w:val="20"/>
      </w:rPr>
      <w:t>F)    130319    180319</w:t>
    </w:r>
    <w:r>
      <w:rPr>
        <w:sz w:val="20"/>
      </w:rPr>
      <w:br/>
    </w:r>
    <w:r w:rsidRPr="005F316E">
      <w:rPr>
        <w:rFonts w:ascii="C39T30Lfz" w:hAnsi="C39T30Lfz"/>
        <w:sz w:val="56"/>
      </w:rPr>
      <w:t></w:t>
    </w:r>
    <w:r w:rsidRPr="005F316E">
      <w:rPr>
        <w:rFonts w:ascii="C39T30Lfz" w:hAnsi="C39T30Lfz"/>
        <w:sz w:val="56"/>
      </w:rPr>
      <w:t></w:t>
    </w:r>
    <w:r w:rsidRPr="005F316E">
      <w:rPr>
        <w:rFonts w:ascii="C39T30Lfz" w:hAnsi="C39T30Lfz"/>
        <w:sz w:val="56"/>
      </w:rPr>
      <w:t></w:t>
    </w:r>
    <w:r w:rsidRPr="005F316E">
      <w:rPr>
        <w:rFonts w:ascii="C39T30Lfz" w:hAnsi="C39T30Lfz"/>
        <w:sz w:val="56"/>
      </w:rPr>
      <w:t></w:t>
    </w:r>
    <w:r w:rsidRPr="005F316E">
      <w:rPr>
        <w:rFonts w:ascii="C39T30Lfz" w:hAnsi="C39T30Lfz"/>
        <w:sz w:val="56"/>
      </w:rPr>
      <w:t></w:t>
    </w:r>
    <w:r w:rsidRPr="005F316E">
      <w:rPr>
        <w:rFonts w:ascii="C39T30Lfz" w:hAnsi="C39T30Lfz"/>
        <w:sz w:val="56"/>
      </w:rPr>
      <w:t></w:t>
    </w:r>
    <w:r w:rsidRPr="005F316E">
      <w:rPr>
        <w:rFonts w:ascii="C39T30Lfz" w:hAnsi="C39T30Lfz"/>
        <w:sz w:val="56"/>
      </w:rPr>
      <w:t></w:t>
    </w:r>
    <w:r w:rsidRPr="005F316E">
      <w:rPr>
        <w:rFonts w:ascii="C39T30Lfz" w:hAnsi="C39T30Lfz"/>
        <w:sz w:val="56"/>
      </w:rPr>
      <w:t></w:t>
    </w:r>
    <w:r w:rsidRPr="005F316E">
      <w:rPr>
        <w:rFonts w:ascii="C39T30Lfz" w:hAnsi="C39T30Lfz"/>
        <w:sz w:val="56"/>
      </w:rPr>
      <w:t></w:t>
    </w:r>
    <w:r>
      <w:rPr>
        <w:noProof/>
        <w:sz w:val="20"/>
        <w:lang w:val="en-GB" w:eastAsia="zh-CN"/>
      </w:rPr>
      <w:drawing>
        <wp:anchor distT="0" distB="0" distL="114300" distR="114300" simplePos="0" relativeHeight="251658240" behindDoc="0" locked="0" layoutInCell="1" allowOverlap="1" wp14:anchorId="268360E6" wp14:editId="19290F9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39/Amend.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39/Amend.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BEEF7" w14:textId="77777777" w:rsidR="004F6299" w:rsidRPr="00D27D5E" w:rsidRDefault="004F6299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FC4030A" w14:textId="77777777" w:rsidR="004F6299" w:rsidRPr="00D171D4" w:rsidRDefault="004F6299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74104A7B" w14:textId="77777777" w:rsidR="004F6299" w:rsidRPr="00C451B9" w:rsidRDefault="004F6299" w:rsidP="00C451B9">
      <w:pPr>
        <w:spacing w:line="240" w:lineRule="auto"/>
        <w:rPr>
          <w:sz w:val="2"/>
          <w:szCs w:val="2"/>
        </w:rPr>
      </w:pPr>
    </w:p>
  </w:footnote>
  <w:footnote w:id="2">
    <w:p w14:paraId="57485BB0" w14:textId="77777777"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14:paraId="0DF2597D" w14:textId="77777777" w:rsidR="00591072" w:rsidRPr="00591072" w:rsidRDefault="00591072" w:rsidP="00591072">
      <w:pPr>
        <w:pStyle w:val="FootnoteText"/>
      </w:pPr>
      <w:r w:rsidRPr="005F316E">
        <w:tab/>
      </w:r>
      <w:r w:rsidRPr="005F316E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255FCF21" w14:textId="77777777" w:rsidR="00591072" w:rsidRPr="00591072" w:rsidRDefault="00591072" w:rsidP="00591072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799D9BC" w14:textId="77777777" w:rsidR="00442E31" w:rsidRPr="00442E31" w:rsidRDefault="00442E3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124F4" w14:textId="2F55C505" w:rsidR="005F316E" w:rsidRPr="005F316E" w:rsidRDefault="005F316E">
    <w:pPr>
      <w:pStyle w:val="Header"/>
      <w:rPr>
        <w:lang w:val="en-US"/>
      </w:rPr>
    </w:pPr>
    <w:r>
      <w:fldChar w:fldCharType="begin"/>
    </w:r>
    <w:r w:rsidRPr="005F316E">
      <w:rPr>
        <w:lang w:val="en-US"/>
      </w:rPr>
      <w:instrText xml:space="preserve"> TITLE  \* MERGEFORMAT </w:instrText>
    </w:r>
    <w:r>
      <w:fldChar w:fldCharType="separate"/>
    </w:r>
    <w:r w:rsidR="00D53E26">
      <w:rPr>
        <w:lang w:val="en-US"/>
      </w:rPr>
      <w:t>E/ECE/324/Rev.2/Add.139/Amend.2</w:t>
    </w:r>
    <w:r>
      <w:fldChar w:fldCharType="end"/>
    </w:r>
    <w:r w:rsidRPr="005F316E">
      <w:rPr>
        <w:lang w:val="en-US"/>
      </w:rPr>
      <w:br/>
    </w:r>
    <w:r>
      <w:fldChar w:fldCharType="begin"/>
    </w:r>
    <w:r w:rsidRPr="005F316E">
      <w:rPr>
        <w:lang w:val="en-US"/>
      </w:rPr>
      <w:instrText xml:space="preserve"> KEYWORDS  \* MERGEFORMAT </w:instrText>
    </w:r>
    <w:r>
      <w:fldChar w:fldCharType="separate"/>
    </w:r>
    <w:r w:rsidR="00D53E26">
      <w:rPr>
        <w:lang w:val="en-US"/>
      </w:rPr>
      <w:t>E/ECE/TRANS/505/Rev.2/Add.139/Amend.2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FE946" w14:textId="4C493145" w:rsidR="005F316E" w:rsidRPr="005F316E" w:rsidRDefault="005F316E" w:rsidP="005F316E">
    <w:pPr>
      <w:pStyle w:val="Header"/>
      <w:jc w:val="right"/>
      <w:rPr>
        <w:lang w:val="en-US"/>
      </w:rPr>
    </w:pPr>
    <w:r>
      <w:fldChar w:fldCharType="begin"/>
    </w:r>
    <w:r w:rsidRPr="005F316E">
      <w:rPr>
        <w:lang w:val="en-US"/>
      </w:rPr>
      <w:instrText xml:space="preserve"> TITLE  \* MERGEFORMAT </w:instrText>
    </w:r>
    <w:r>
      <w:fldChar w:fldCharType="separate"/>
    </w:r>
    <w:r w:rsidR="00D53E26">
      <w:rPr>
        <w:lang w:val="en-US"/>
      </w:rPr>
      <w:t>E/ECE/324/Rev.2/Add.139/Amend.2</w:t>
    </w:r>
    <w:r>
      <w:fldChar w:fldCharType="end"/>
    </w:r>
    <w:r w:rsidRPr="005F316E">
      <w:rPr>
        <w:lang w:val="en-US"/>
      </w:rPr>
      <w:br/>
    </w:r>
    <w:r>
      <w:fldChar w:fldCharType="begin"/>
    </w:r>
    <w:r w:rsidRPr="005F316E">
      <w:rPr>
        <w:lang w:val="en-US"/>
      </w:rPr>
      <w:instrText xml:space="preserve"> KEYWORDS  \* MERGEFORMAT </w:instrText>
    </w:r>
    <w:r>
      <w:fldChar w:fldCharType="separate"/>
    </w:r>
    <w:r w:rsidR="00D53E26">
      <w:rPr>
        <w:lang w:val="en-US"/>
      </w:rPr>
      <w:t>E/ECE/TRANS/505/Rev.2/Add.139/Amend.2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99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6299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316E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32E1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882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53E2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798E"/>
    <w:rsid w:val="00F515AD"/>
    <w:rsid w:val="00F57DD7"/>
    <w:rsid w:val="00F636AD"/>
    <w:rsid w:val="00F65AE8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4D3846E"/>
  <w15:docId w15:val="{BEEE5420-3443-4BC2-A379-13EFE196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E/ECE/324/Rev.2/Add.139/Amend.2</vt:lpstr>
      <vt:lpstr>E/ECE/324/Rev</vt:lpstr>
    </vt:vector>
  </TitlesOfParts>
  <Company>CSD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E/ECE/324/Rev.2/Add.139/Amend.2</dc:title>
  <dc:creator>Maud DARICHE</dc:creator>
  <cp:keywords>E/ECE/TRANS/505/Rev.2/Add.139/Amend.2</cp:keywords>
  <cp:lastModifiedBy>Marie-Claude Collet</cp:lastModifiedBy>
  <cp:revision>3</cp:revision>
  <cp:lastPrinted>2019-03-25T10:06:00Z</cp:lastPrinted>
  <dcterms:created xsi:type="dcterms:W3CDTF">2019-03-25T10:06:00Z</dcterms:created>
  <dcterms:modified xsi:type="dcterms:W3CDTF">2019-03-25T10:06:00Z</dcterms:modified>
</cp:coreProperties>
</file>