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14:paraId="21CE2A74" w14:textId="77777777" w:rsidTr="00A27C92">
        <w:trPr>
          <w:trHeight w:hRule="exact" w:val="851"/>
        </w:trPr>
        <w:tc>
          <w:tcPr>
            <w:tcW w:w="9639" w:type="dxa"/>
            <w:gridSpan w:val="2"/>
            <w:tcBorders>
              <w:bottom w:val="single" w:sz="4" w:space="0" w:color="auto"/>
            </w:tcBorders>
            <w:shd w:val="clear" w:color="auto" w:fill="auto"/>
            <w:vAlign w:val="bottom"/>
          </w:tcPr>
          <w:p w14:paraId="628BA1E1" w14:textId="77777777" w:rsidR="007003B5" w:rsidRPr="00DB58B5" w:rsidRDefault="007003B5" w:rsidP="007003B5">
            <w:pPr>
              <w:jc w:val="right"/>
            </w:pPr>
            <w:bookmarkStart w:id="0" w:name="_GoBack"/>
            <w:bookmarkEnd w:id="0"/>
            <w:r w:rsidRPr="007003B5">
              <w:rPr>
                <w:sz w:val="40"/>
              </w:rPr>
              <w:t>E</w:t>
            </w:r>
            <w:r>
              <w:t>/ECE/324/Rev.2/Add.133/Amend.3−</w:t>
            </w:r>
            <w:r w:rsidRPr="007003B5">
              <w:rPr>
                <w:sz w:val="40"/>
              </w:rPr>
              <w:t>E</w:t>
            </w:r>
            <w:r>
              <w:t>/ECE/TRANS/505/Rev.2/Add.133/Amend.3</w:t>
            </w:r>
          </w:p>
        </w:tc>
      </w:tr>
      <w:tr w:rsidR="00421A10" w:rsidRPr="00DB58B5" w14:paraId="3977AFFF" w14:textId="77777777" w:rsidTr="00A27C92">
        <w:trPr>
          <w:trHeight w:hRule="exact" w:val="2835"/>
        </w:trPr>
        <w:tc>
          <w:tcPr>
            <w:tcW w:w="6804" w:type="dxa"/>
            <w:tcBorders>
              <w:top w:val="single" w:sz="4" w:space="0" w:color="auto"/>
              <w:bottom w:val="single" w:sz="12" w:space="0" w:color="auto"/>
            </w:tcBorders>
            <w:shd w:val="clear" w:color="auto" w:fill="auto"/>
          </w:tcPr>
          <w:p w14:paraId="7D3F6553" w14:textId="77777777" w:rsidR="00421A10" w:rsidRPr="00A574B7" w:rsidRDefault="00421A10" w:rsidP="00A27C92">
            <w:pPr>
              <w:spacing w:before="120" w:line="380" w:lineRule="exact"/>
            </w:pPr>
          </w:p>
        </w:tc>
        <w:tc>
          <w:tcPr>
            <w:tcW w:w="2835" w:type="dxa"/>
            <w:tcBorders>
              <w:top w:val="single" w:sz="4" w:space="0" w:color="auto"/>
              <w:bottom w:val="single" w:sz="12" w:space="0" w:color="auto"/>
            </w:tcBorders>
            <w:shd w:val="clear" w:color="auto" w:fill="auto"/>
          </w:tcPr>
          <w:p w14:paraId="041F2268" w14:textId="77777777" w:rsidR="00421A10" w:rsidRPr="00DB58B5" w:rsidRDefault="00745774" w:rsidP="00A27C92">
            <w:pPr>
              <w:spacing w:before="480" w:line="240" w:lineRule="exact"/>
            </w:pPr>
            <w:r>
              <w:t>10</w:t>
            </w:r>
            <w:r w:rsidR="007003B5">
              <w:t xml:space="preserve"> août 2018</w:t>
            </w:r>
          </w:p>
        </w:tc>
      </w:tr>
    </w:tbl>
    <w:p w14:paraId="3FA796AA" w14:textId="77777777" w:rsidR="00421A10" w:rsidRPr="006549FF" w:rsidRDefault="0029791D" w:rsidP="0029791D">
      <w:pPr>
        <w:pStyle w:val="HChG"/>
      </w:pPr>
      <w:r>
        <w:tab/>
      </w:r>
      <w:r>
        <w:tab/>
      </w:r>
      <w:r w:rsidR="00421A10" w:rsidRPr="006549FF">
        <w:t>Accord</w:t>
      </w:r>
    </w:p>
    <w:p w14:paraId="1B4BC71C" w14:textId="77777777" w:rsidR="00421A10" w:rsidRPr="00583D68" w:rsidRDefault="0029791D" w:rsidP="00745774">
      <w:pPr>
        <w:pStyle w:val="H1G"/>
      </w:pPr>
      <w:r>
        <w:tab/>
      </w:r>
      <w:r>
        <w:tab/>
      </w:r>
      <w:r w:rsidR="00421A10" w:rsidRPr="00745774">
        <w:t xml:space="preserve">Concernant </w:t>
      </w:r>
      <w:r w:rsidR="007003B5" w:rsidRPr="00745774">
        <w:rPr>
          <w:lang w:val="fr-FR"/>
        </w:rPr>
        <w:t xml:space="preserve">l’adoption de Règlements techniques harmonisés de l’ONU </w:t>
      </w:r>
      <w:proofErr w:type="gramStart"/>
      <w:r w:rsidR="007003B5" w:rsidRPr="00745774">
        <w:rPr>
          <w:lang w:val="fr-FR"/>
        </w:rPr>
        <w:t>applicables</w:t>
      </w:r>
      <w:proofErr w:type="gramEnd"/>
      <w:r w:rsidR="007003B5" w:rsidRPr="00745774">
        <w:rPr>
          <w:lang w:val="fr-FR"/>
        </w:rPr>
        <w:t xml:space="preserve"> aux véhicules à roues et aux équipements et pièces susceptibles d’être montés ou utilisés sur les véhicules à roues et les conditions de reconnaissance réciproque des homologations délivrées conformément à ces Règlements</w:t>
      </w:r>
      <w:r w:rsidR="00442E31" w:rsidRPr="007003B5">
        <w:rPr>
          <w:rStyle w:val="FootnoteReference"/>
          <w:b w:val="0"/>
          <w:sz w:val="20"/>
          <w:vertAlign w:val="baseline"/>
        </w:rPr>
        <w:footnoteReference w:customMarkFollows="1" w:id="2"/>
        <w:t>*</w:t>
      </w:r>
    </w:p>
    <w:p w14:paraId="45223E5C" w14:textId="77777777" w:rsidR="00421A10" w:rsidRPr="007003B5" w:rsidRDefault="00421A10" w:rsidP="00745774">
      <w:pPr>
        <w:pStyle w:val="SingleTxtG"/>
      </w:pPr>
      <w:r w:rsidRPr="006549FF">
        <w:t xml:space="preserve">(Révision </w:t>
      </w:r>
      <w:r w:rsidR="007003B5" w:rsidRPr="0056744F">
        <w:rPr>
          <w:lang w:val="fr-FR"/>
        </w:rPr>
        <w:t>3, comprenant les amendements entrés en vigueur le 14 septembre 2017</w:t>
      </w:r>
      <w:r w:rsidR="007003B5">
        <w:rPr>
          <w:lang w:val="fr-FR"/>
        </w:rPr>
        <w:t>)</w:t>
      </w:r>
    </w:p>
    <w:p w14:paraId="4DBF2A4F" w14:textId="77777777" w:rsidR="00421A10" w:rsidRPr="006549FF" w:rsidRDefault="0029791D" w:rsidP="0029791D">
      <w:pPr>
        <w:jc w:val="center"/>
      </w:pPr>
      <w:r>
        <w:t>_______________</w:t>
      </w:r>
    </w:p>
    <w:p w14:paraId="39C6FF34" w14:textId="77777777" w:rsidR="00421A10" w:rsidRPr="006549FF" w:rsidRDefault="0029791D" w:rsidP="00745774">
      <w:pPr>
        <w:pStyle w:val="H1G"/>
      </w:pPr>
      <w:r>
        <w:tab/>
      </w:r>
      <w:r>
        <w:tab/>
      </w:r>
      <w:r w:rsidR="00421A10" w:rsidRPr="006549FF">
        <w:t xml:space="preserve">Additif </w:t>
      </w:r>
      <w:r w:rsidR="007003B5">
        <w:t>133 −</w:t>
      </w:r>
      <w:r w:rsidR="00421A10" w:rsidRPr="006549FF">
        <w:t xml:space="preserve"> Règlement</w:t>
      </w:r>
      <w:r w:rsidR="00421A10">
        <w:t xml:space="preserve"> </w:t>
      </w:r>
      <w:r w:rsidR="001E7643">
        <w:t xml:space="preserve">ONU </w:t>
      </w:r>
      <w:r w:rsidR="00421A10" w:rsidRPr="00B371BF">
        <w:t>n</w:t>
      </w:r>
      <w:r w:rsidR="00421A10" w:rsidRPr="00B371BF">
        <w:rPr>
          <w:vertAlign w:val="superscript"/>
        </w:rPr>
        <w:t>o</w:t>
      </w:r>
      <w:r w:rsidR="00421A10">
        <w:t> </w:t>
      </w:r>
      <w:r w:rsidR="007003B5">
        <w:t>134</w:t>
      </w:r>
    </w:p>
    <w:p w14:paraId="223933F3" w14:textId="77777777" w:rsidR="00421A10" w:rsidRPr="006549FF" w:rsidRDefault="0029791D" w:rsidP="00745774">
      <w:pPr>
        <w:pStyle w:val="H1G"/>
      </w:pPr>
      <w:r>
        <w:tab/>
      </w:r>
      <w:r>
        <w:tab/>
      </w:r>
      <w:r w:rsidR="00421A10" w:rsidRPr="006549FF">
        <w:t xml:space="preserve">Révision </w:t>
      </w:r>
      <w:r w:rsidR="007003B5">
        <w:t>3</w:t>
      </w:r>
    </w:p>
    <w:p w14:paraId="078AC4C0" w14:textId="77777777" w:rsidR="00421A10" w:rsidRPr="00745774" w:rsidRDefault="007003B5" w:rsidP="00745774">
      <w:pPr>
        <w:pStyle w:val="SingleTxtG"/>
      </w:pPr>
      <w:r w:rsidRPr="00745774">
        <w:rPr>
          <w:lang w:val="fr-FR"/>
        </w:rPr>
        <w:t>Complément 03 à la version originale du Règlement − Date d’entrée en vigueur</w:t>
      </w:r>
      <w:r w:rsidR="00745774" w:rsidRPr="00745774">
        <w:rPr>
          <w:lang w:val="fr-FR"/>
        </w:rPr>
        <w:t> :</w:t>
      </w:r>
      <w:r w:rsidRPr="00745774">
        <w:rPr>
          <w:lang w:val="fr-FR"/>
        </w:rPr>
        <w:t xml:space="preserve"> 19 juillet 2018</w:t>
      </w:r>
    </w:p>
    <w:p w14:paraId="71AABA8F" w14:textId="77777777" w:rsidR="00745774" w:rsidRDefault="0029791D" w:rsidP="00745774">
      <w:pPr>
        <w:pStyle w:val="H1G"/>
        <w:rPr>
          <w:lang w:val="fr-FR"/>
        </w:rPr>
      </w:pPr>
      <w:r>
        <w:tab/>
      </w:r>
      <w:r>
        <w:tab/>
      </w:r>
      <w:r w:rsidR="00421A10" w:rsidRPr="007619D3">
        <w:t xml:space="preserve">Prescriptions uniformes </w:t>
      </w:r>
      <w:r w:rsidR="00421A10" w:rsidRPr="00745774">
        <w:t xml:space="preserve">relatives </w:t>
      </w:r>
      <w:r w:rsidR="007003B5" w:rsidRPr="00745774">
        <w:rPr>
          <w:lang w:val="fr-FR"/>
        </w:rPr>
        <w:t>à l’homologation des véhicules automobiles et de leurs composants en ce qui concerne les prescriptions de sécurité des véhicules fonctionnant à l’hydrogène (HFCV)</w:t>
      </w:r>
    </w:p>
    <w:p w14:paraId="3DC404B9" w14:textId="77777777" w:rsidR="00421A10" w:rsidRPr="00745774" w:rsidRDefault="007003B5" w:rsidP="00745774">
      <w:pPr>
        <w:pStyle w:val="SingleTxtG"/>
        <w:ind w:firstLine="567"/>
        <w:rPr>
          <w:lang w:val="fr-FR"/>
        </w:rPr>
      </w:pPr>
      <w:r w:rsidRPr="007003B5">
        <w:rPr>
          <w:lang w:val="fr-FR" w:eastAsia="en-GB"/>
        </w:rPr>
        <w:t>Le présent document est communiqué uniquement à titre d’information. Le texte authentique, juridiquement contraignant, est celui du document ECE/TRANS/WP.29/</w:t>
      </w:r>
      <w:r>
        <w:rPr>
          <w:lang w:val="fr-FR" w:eastAsia="en-GB"/>
        </w:rPr>
        <w:t xml:space="preserve"> </w:t>
      </w:r>
      <w:r w:rsidRPr="007003B5">
        <w:rPr>
          <w:lang w:val="fr-FR" w:eastAsia="en-GB"/>
        </w:rPr>
        <w:t>2017/127.</w:t>
      </w:r>
    </w:p>
    <w:p w14:paraId="23F601F4" w14:textId="77777777" w:rsidR="007003B5" w:rsidRPr="007003B5" w:rsidRDefault="00745774" w:rsidP="007003B5">
      <w:pPr>
        <w:pStyle w:val="SingleTxtG"/>
        <w:rPr>
          <w:lang w:val="fr-FR"/>
        </w:rPr>
      </w:pPr>
      <w:r>
        <w:rPr>
          <w:noProof/>
          <w:lang w:eastAsia="fr-CH"/>
        </w:rPr>
        <mc:AlternateContent>
          <mc:Choice Requires="wps">
            <w:drawing>
              <wp:anchor distT="0" distB="0" distL="114300" distR="114300" simplePos="0" relativeHeight="251661312" behindDoc="0" locked="0" layoutInCell="1" allowOverlap="1" wp14:anchorId="76545074" wp14:editId="1B9F5666">
                <wp:simplePos x="0" y="0"/>
                <wp:positionH relativeFrom="margin">
                  <wp:posOffset>0</wp:posOffset>
                </wp:positionH>
                <wp:positionV relativeFrom="margin">
                  <wp:posOffset>6422060</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14:paraId="47667485" w14:textId="77777777" w:rsidR="007003B5" w:rsidRPr="0029791D" w:rsidRDefault="007003B5" w:rsidP="007003B5">
                            <w:pPr>
                              <w:ind w:left="1134" w:right="1134"/>
                              <w:jc w:val="center"/>
                            </w:pPr>
                            <w:r>
                              <w:t>_______________</w:t>
                            </w:r>
                          </w:p>
                          <w:p w14:paraId="4090E5F0" w14:textId="77777777" w:rsidR="007003B5" w:rsidRDefault="007003B5" w:rsidP="007003B5">
                            <w:pPr>
                              <w:jc w:val="center"/>
                              <w:rPr>
                                <w:b/>
                                <w:bCs/>
                                <w:sz w:val="22"/>
                              </w:rPr>
                            </w:pPr>
                            <w:r>
                              <w:rPr>
                                <w:noProof/>
                                <w:lang w:eastAsia="fr-CH"/>
                              </w:rPr>
                              <w:drawing>
                                <wp:inline distT="0" distB="0" distL="0" distR="0" wp14:anchorId="58835FBA" wp14:editId="42FC44CD">
                                  <wp:extent cx="914400" cy="7715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1D1F6F1" w14:textId="77777777" w:rsidR="007003B5" w:rsidRDefault="007003B5" w:rsidP="007003B5">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45074" id="_x0000_t202" coordsize="21600,21600" o:spt="202" path="m,l,21600r21600,l21600,xe">
                <v:stroke joinstyle="miter"/>
                <v:path gradientshapeok="t" o:connecttype="rect"/>
              </v:shapetype>
              <v:shape id="Zone de texte 4" o:spid="_x0000_s1026" type="#_x0000_t202" style="position:absolute;left:0;text-align:left;margin-left:0;margin-top:505.65pt;width:481.85pt;height:90.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" stroked="f">
                <v:textbox inset="0,0,0,0">
                  <w:txbxContent>
                    <w:p w14:paraId="47667485" w14:textId="77777777" w:rsidR="007003B5" w:rsidRPr="0029791D" w:rsidRDefault="007003B5" w:rsidP="007003B5">
                      <w:pPr>
                        <w:ind w:left="1134" w:right="1134"/>
                        <w:jc w:val="center"/>
                      </w:pPr>
                      <w:r>
                        <w:t>_______________</w:t>
                      </w:r>
                    </w:p>
                    <w:p w14:paraId="4090E5F0" w14:textId="77777777" w:rsidR="007003B5" w:rsidRDefault="007003B5" w:rsidP="007003B5">
                      <w:pPr>
                        <w:jc w:val="center"/>
                        <w:rPr>
                          <w:b/>
                          <w:bCs/>
                          <w:sz w:val="22"/>
                        </w:rPr>
                      </w:pPr>
                      <w:r>
                        <w:rPr>
                          <w:noProof/>
                          <w:lang w:eastAsia="fr-CH"/>
                        </w:rPr>
                        <w:drawing>
                          <wp:inline distT="0" distB="0" distL="0" distR="0" wp14:anchorId="58835FBA" wp14:editId="42FC44CD">
                            <wp:extent cx="914400" cy="7715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1D1F6F1" w14:textId="77777777" w:rsidR="007003B5" w:rsidRDefault="007003B5" w:rsidP="007003B5">
                      <w:pPr>
                        <w:jc w:val="center"/>
                      </w:pPr>
                      <w:r w:rsidRPr="0029791D">
                        <w:rPr>
                          <w:b/>
                          <w:bCs/>
                          <w:sz w:val="24"/>
                          <w:szCs w:val="24"/>
                        </w:rPr>
                        <w:t>Nations Unies</w:t>
                      </w:r>
                    </w:p>
                  </w:txbxContent>
                </v:textbox>
                <w10:wrap anchorx="margin" anchory="margin"/>
              </v:shape>
            </w:pict>
          </mc:Fallback>
        </mc:AlternateContent>
      </w:r>
      <w:r w:rsidR="007003B5">
        <w:br w:type="page"/>
      </w:r>
      <w:r w:rsidR="007003B5" w:rsidRPr="007003B5">
        <w:rPr>
          <w:i/>
          <w:lang w:val="fr-FR"/>
        </w:rPr>
        <w:lastRenderedPageBreak/>
        <w:t>Paragraphes</w:t>
      </w:r>
      <w:r>
        <w:rPr>
          <w:i/>
          <w:lang w:val="fr-FR"/>
        </w:rPr>
        <w:t xml:space="preserve"> </w:t>
      </w:r>
      <w:r w:rsidR="007003B5" w:rsidRPr="007003B5">
        <w:rPr>
          <w:rFonts w:hint="eastAsia"/>
          <w:i/>
          <w:lang w:val="fr-FR"/>
        </w:rPr>
        <w:t>5.1.1</w:t>
      </w:r>
      <w:r w:rsidR="007003B5" w:rsidRPr="007003B5">
        <w:rPr>
          <w:i/>
          <w:lang w:val="fr-FR"/>
        </w:rPr>
        <w:t xml:space="preserve"> et</w:t>
      </w:r>
      <w:r w:rsidR="007003B5" w:rsidRPr="007003B5">
        <w:rPr>
          <w:rFonts w:hint="eastAsia"/>
          <w:i/>
          <w:lang w:val="fr-FR"/>
        </w:rPr>
        <w:t xml:space="preserve"> 5.1.2</w:t>
      </w:r>
      <w:r w:rsidR="007003B5" w:rsidRPr="007003B5">
        <w:rPr>
          <w:rFonts w:hint="eastAsia"/>
          <w:lang w:val="fr-FR"/>
        </w:rPr>
        <w:t>,</w:t>
      </w:r>
      <w:r w:rsidR="007003B5" w:rsidRPr="007003B5">
        <w:rPr>
          <w:lang w:val="fr-FR"/>
        </w:rPr>
        <w:t xml:space="preserve"> lire</w:t>
      </w:r>
      <w:r>
        <w:rPr>
          <w:lang w:val="fr-FR"/>
        </w:rPr>
        <w:t> :</w:t>
      </w:r>
    </w:p>
    <w:p w14:paraId="2FB5B1D4" w14:textId="77777777" w:rsidR="007003B5" w:rsidRPr="007003B5" w:rsidRDefault="007003B5" w:rsidP="00745774">
      <w:pPr>
        <w:pStyle w:val="SingleTxtG"/>
        <w:ind w:left="2268" w:hanging="1134"/>
        <w:rPr>
          <w:lang w:val="fr-FR"/>
        </w:rPr>
      </w:pPr>
      <w:r w:rsidRPr="007003B5">
        <w:rPr>
          <w:lang w:val="fr-FR"/>
        </w:rPr>
        <w:t>« 5.1.1</w:t>
      </w:r>
      <w:r w:rsidRPr="007003B5">
        <w:rPr>
          <w:lang w:val="fr-FR"/>
        </w:rPr>
        <w:tab/>
        <w:t>Pression d’éclatement initiale de référence</w:t>
      </w:r>
    </w:p>
    <w:p w14:paraId="6873D0BA" w14:textId="77777777" w:rsidR="007003B5" w:rsidRPr="007003B5" w:rsidRDefault="007003B5" w:rsidP="00745774">
      <w:pPr>
        <w:pStyle w:val="SingleTxtG"/>
        <w:ind w:left="2268"/>
        <w:rPr>
          <w:lang w:val="fr-FR"/>
        </w:rPr>
      </w:pPr>
      <w:r w:rsidRPr="007003B5">
        <w:rPr>
          <w:lang w:val="fr-FR"/>
        </w:rPr>
        <w:t>Trois (3) réservoirs doivent être soumis à une pression hydraulique jusqu’à éclatement (annexe</w:t>
      </w:r>
      <w:r w:rsidR="00745774">
        <w:rPr>
          <w:lang w:val="fr-FR"/>
        </w:rPr>
        <w:t xml:space="preserve"> </w:t>
      </w:r>
      <w:r w:rsidRPr="007003B5">
        <w:rPr>
          <w:lang w:val="fr-FR"/>
        </w:rPr>
        <w:t>3, par. 2.1, procédure d’essai). Le constructeur doit fournir la documentation nécessaire (mesures et analyses statistiques) permettant d’établir la pression médiane d’éclatement des réservoirs neufs (BP</w:t>
      </w:r>
      <w:r w:rsidRPr="007003B5">
        <w:rPr>
          <w:vertAlign w:val="subscript"/>
          <w:lang w:val="fr-FR"/>
        </w:rPr>
        <w:t>O</w:t>
      </w:r>
      <w:r w:rsidRPr="007003B5">
        <w:rPr>
          <w:lang w:val="fr-FR"/>
        </w:rPr>
        <w:t>).</w:t>
      </w:r>
    </w:p>
    <w:p w14:paraId="3E1B710C" w14:textId="77777777" w:rsidR="007003B5" w:rsidRPr="007003B5" w:rsidRDefault="007003B5" w:rsidP="00745774">
      <w:pPr>
        <w:pStyle w:val="SingleTxtG"/>
        <w:ind w:left="2268"/>
        <w:rPr>
          <w:b/>
          <w:lang w:val="fr-FR"/>
        </w:rPr>
      </w:pPr>
      <w:r w:rsidRPr="007003B5">
        <w:rPr>
          <w:lang w:val="fr-FR"/>
        </w:rPr>
        <w:t xml:space="preserve">Tous les réservoirs éprouvés doivent avoir une pression d’éclatement qui ne s’écarte pas de plus de </w:t>
      </w:r>
      <w:r w:rsidRPr="007003B5">
        <w:sym w:font="Symbol" w:char="F0B1"/>
      </w:r>
      <w:r w:rsidRPr="007003B5">
        <w:rPr>
          <w:lang w:val="fr-FR"/>
        </w:rPr>
        <w:t>10 % de la BP</w:t>
      </w:r>
      <w:r w:rsidR="00745774">
        <w:rPr>
          <w:vertAlign w:val="subscript"/>
          <w:lang w:val="fr-FR"/>
        </w:rPr>
        <w:t>O</w:t>
      </w:r>
      <w:r w:rsidRPr="007003B5">
        <w:rPr>
          <w:lang w:val="fr-FR"/>
        </w:rPr>
        <w:t xml:space="preserve"> et qui soit supérieure ou égale à une valeur minimale </w:t>
      </w:r>
      <w:proofErr w:type="spellStart"/>
      <w:r w:rsidRPr="007003B5">
        <w:rPr>
          <w:lang w:val="fr-FR"/>
        </w:rPr>
        <w:t>BP</w:t>
      </w:r>
      <w:r w:rsidRPr="007003B5">
        <w:rPr>
          <w:vertAlign w:val="subscript"/>
          <w:lang w:val="fr-FR"/>
        </w:rPr>
        <w:t>min</w:t>
      </w:r>
      <w:proofErr w:type="spellEnd"/>
      <w:r w:rsidRPr="007003B5">
        <w:rPr>
          <w:lang w:val="fr-FR"/>
        </w:rPr>
        <w:t xml:space="preserve"> de 225 % de la PSN.</w:t>
      </w:r>
    </w:p>
    <w:p w14:paraId="3DCCAE67" w14:textId="77777777" w:rsidR="007003B5" w:rsidRPr="007003B5" w:rsidRDefault="007003B5" w:rsidP="00745774">
      <w:pPr>
        <w:pStyle w:val="SingleTxtG"/>
        <w:ind w:left="2268"/>
        <w:rPr>
          <w:b/>
          <w:lang w:val="fr-FR"/>
        </w:rPr>
      </w:pPr>
      <w:r w:rsidRPr="007003B5">
        <w:rPr>
          <w:lang w:val="fr-FR"/>
        </w:rPr>
        <w:t>En outre, les réservoirs dont le constituant primaire est un composite de fibre de verre doivent avoir une pression minimale d’éclatement supérieure à 350 % de la PSN.</w:t>
      </w:r>
    </w:p>
    <w:p w14:paraId="704B8579" w14:textId="77777777" w:rsidR="007003B5" w:rsidRPr="007003B5" w:rsidRDefault="007003B5" w:rsidP="00745774">
      <w:pPr>
        <w:pStyle w:val="SingleTxtG"/>
        <w:ind w:left="2268" w:hanging="1134"/>
        <w:rPr>
          <w:lang w:val="fr-FR"/>
        </w:rPr>
      </w:pPr>
      <w:r w:rsidRPr="007003B5">
        <w:rPr>
          <w:lang w:val="fr-FR"/>
        </w:rPr>
        <w:t>5.1.2</w:t>
      </w:r>
      <w:r w:rsidRPr="007003B5">
        <w:rPr>
          <w:lang w:val="fr-FR"/>
        </w:rPr>
        <w:tab/>
        <w:t>Nombre de cycles de pression initiale de référence</w:t>
      </w:r>
    </w:p>
    <w:p w14:paraId="1C4C6DEB" w14:textId="77777777" w:rsidR="007003B5" w:rsidRPr="007003B5" w:rsidRDefault="007003B5" w:rsidP="00745774">
      <w:pPr>
        <w:pStyle w:val="SingleTxtG"/>
        <w:ind w:left="2268"/>
        <w:rPr>
          <w:lang w:val="fr-FR"/>
        </w:rPr>
      </w:pPr>
      <w:r w:rsidRPr="007003B5">
        <w:rPr>
          <w:lang w:val="fr-FR"/>
        </w:rPr>
        <w:t>Trois (3) réservoirs doivent être soumis à des cycles de pression hydraulique, à une température ambiante de 20 (</w:t>
      </w:r>
      <w:r>
        <w:rPr>
          <w:lang w:val="fr-FR"/>
        </w:rPr>
        <w:sym w:font="Symbol" w:char="F0B1"/>
      </w:r>
      <w:r w:rsidRPr="007003B5">
        <w:rPr>
          <w:lang w:val="fr-FR"/>
        </w:rPr>
        <w:t>5) °C à 125 % de la PSN (+2/-0 MPa) sans subir de rupture pendant 22 000 cycles ou jusqu’à l’apparition d’une fuite (annexe</w:t>
      </w:r>
      <w:r w:rsidR="00745774">
        <w:rPr>
          <w:lang w:val="fr-FR"/>
        </w:rPr>
        <w:t xml:space="preserve"> </w:t>
      </w:r>
      <w:r w:rsidRPr="007003B5">
        <w:rPr>
          <w:lang w:val="fr-FR"/>
        </w:rPr>
        <w:t>3, par. 2.2</w:t>
      </w:r>
      <w:r w:rsidR="00745774">
        <w:rPr>
          <w:lang w:val="fr-FR"/>
        </w:rPr>
        <w:t>,</w:t>
      </w:r>
      <w:r w:rsidRPr="007003B5">
        <w:rPr>
          <w:lang w:val="fr-FR"/>
        </w:rPr>
        <w:t xml:space="preserve"> procédure d’essai). Ils ne doivent pas présenter de fuite avant 11 000 cycles pour une durée de vie en service de</w:t>
      </w:r>
      <w:r>
        <w:rPr>
          <w:lang w:val="fr-FR"/>
        </w:rPr>
        <w:t xml:space="preserve"> </w:t>
      </w:r>
      <w:r w:rsidRPr="007003B5">
        <w:rPr>
          <w:lang w:val="fr-FR"/>
        </w:rPr>
        <w:t>15 ans. ».</w:t>
      </w:r>
    </w:p>
    <w:p w14:paraId="3B2186B2" w14:textId="77777777" w:rsidR="007003B5" w:rsidRPr="007003B5" w:rsidRDefault="007003B5" w:rsidP="007003B5">
      <w:pPr>
        <w:pStyle w:val="SingleTxtG"/>
        <w:rPr>
          <w:lang w:val="fr-FR"/>
        </w:rPr>
      </w:pPr>
      <w:r w:rsidRPr="007003B5">
        <w:rPr>
          <w:i/>
          <w:lang w:val="fr-FR"/>
        </w:rPr>
        <w:t>Paragraphe </w:t>
      </w:r>
      <w:r w:rsidRPr="007003B5">
        <w:rPr>
          <w:rFonts w:hint="eastAsia"/>
          <w:i/>
          <w:lang w:val="fr-FR"/>
        </w:rPr>
        <w:t>9.3.1</w:t>
      </w:r>
      <w:r w:rsidRPr="007003B5">
        <w:rPr>
          <w:lang w:val="fr-FR"/>
        </w:rPr>
        <w:t>, lire</w:t>
      </w:r>
      <w:r w:rsidR="00745774">
        <w:rPr>
          <w:lang w:val="fr-FR"/>
        </w:rPr>
        <w:t> :</w:t>
      </w:r>
    </w:p>
    <w:p w14:paraId="10392898" w14:textId="77777777" w:rsidR="007003B5" w:rsidRPr="007003B5" w:rsidRDefault="007003B5" w:rsidP="00745774">
      <w:pPr>
        <w:pStyle w:val="SingleTxtG"/>
        <w:ind w:left="2268" w:hanging="1134"/>
        <w:rPr>
          <w:lang w:val="fr-FR"/>
        </w:rPr>
      </w:pPr>
      <w:r w:rsidRPr="007003B5">
        <w:rPr>
          <w:lang w:val="fr-FR"/>
        </w:rPr>
        <w:t>« </w:t>
      </w:r>
      <w:r w:rsidRPr="007003B5">
        <w:rPr>
          <w:rFonts w:hint="eastAsia"/>
          <w:lang w:val="fr-FR"/>
        </w:rPr>
        <w:t>9.3.</w:t>
      </w:r>
      <w:r w:rsidRPr="007003B5">
        <w:rPr>
          <w:lang w:val="fr-FR"/>
        </w:rPr>
        <w:t>1</w:t>
      </w:r>
      <w:r w:rsidRPr="007003B5">
        <w:rPr>
          <w:lang w:val="fr-FR"/>
        </w:rPr>
        <w:tab/>
        <w:t>Chaque réservoir doit être testé conformément au paragraphe</w:t>
      </w:r>
      <w:r>
        <w:rPr>
          <w:lang w:val="fr-FR"/>
        </w:rPr>
        <w:t xml:space="preserve"> </w:t>
      </w:r>
      <w:r w:rsidRPr="007003B5">
        <w:rPr>
          <w:lang w:val="fr-FR"/>
        </w:rPr>
        <w:t>5.2.1 du présent</w:t>
      </w:r>
      <w:r w:rsidR="00745774">
        <w:rPr>
          <w:lang w:val="fr-FR"/>
        </w:rPr>
        <w:t xml:space="preserve"> </w:t>
      </w:r>
      <w:r w:rsidRPr="007003B5">
        <w:rPr>
          <w:lang w:val="fr-FR"/>
        </w:rPr>
        <w:t>Règlement. La pression d’essai doit être égale ou supérieure à 150 % de la</w:t>
      </w:r>
      <w:r>
        <w:rPr>
          <w:lang w:val="fr-FR"/>
        </w:rPr>
        <w:t xml:space="preserve"> </w:t>
      </w:r>
      <w:r w:rsidRPr="007003B5">
        <w:rPr>
          <w:lang w:val="fr-FR"/>
        </w:rPr>
        <w:t>PSN. ».</w:t>
      </w:r>
    </w:p>
    <w:p w14:paraId="7BD6FF18" w14:textId="77777777" w:rsidR="007003B5" w:rsidRPr="007003B5" w:rsidRDefault="007003B5" w:rsidP="007003B5">
      <w:pPr>
        <w:pStyle w:val="SingleTxtG"/>
        <w:rPr>
          <w:lang w:val="fr-FR"/>
        </w:rPr>
      </w:pPr>
      <w:r w:rsidRPr="007003B5">
        <w:rPr>
          <w:i/>
          <w:lang w:val="fr-FR"/>
        </w:rPr>
        <w:t>Paragraphes</w:t>
      </w:r>
      <w:r>
        <w:rPr>
          <w:i/>
          <w:lang w:val="fr-FR"/>
        </w:rPr>
        <w:t xml:space="preserve"> </w:t>
      </w:r>
      <w:r w:rsidRPr="007003B5">
        <w:rPr>
          <w:rFonts w:hint="eastAsia"/>
          <w:i/>
          <w:lang w:val="fr-FR"/>
        </w:rPr>
        <w:t>9.3.2.1</w:t>
      </w:r>
      <w:r w:rsidRPr="007003B5">
        <w:rPr>
          <w:i/>
          <w:lang w:val="fr-FR"/>
        </w:rPr>
        <w:t xml:space="preserve"> et 9.3.2.2</w:t>
      </w:r>
      <w:r w:rsidRPr="007003B5">
        <w:rPr>
          <w:lang w:val="fr-FR"/>
        </w:rPr>
        <w:t>, lire</w:t>
      </w:r>
      <w:r w:rsidR="00745774">
        <w:rPr>
          <w:lang w:val="fr-FR"/>
        </w:rPr>
        <w:t> :</w:t>
      </w:r>
    </w:p>
    <w:p w14:paraId="02053E8C" w14:textId="77777777" w:rsidR="007003B5" w:rsidRPr="007003B5" w:rsidRDefault="007003B5" w:rsidP="00745774">
      <w:pPr>
        <w:pStyle w:val="SingleTxtG"/>
        <w:ind w:left="2268" w:hanging="1134"/>
        <w:rPr>
          <w:lang w:val="fr-FR"/>
        </w:rPr>
      </w:pPr>
      <w:r w:rsidRPr="007003B5">
        <w:rPr>
          <w:lang w:val="fr-FR"/>
        </w:rPr>
        <w:t>« </w:t>
      </w:r>
      <w:r w:rsidRPr="007003B5">
        <w:rPr>
          <w:rFonts w:hint="eastAsia"/>
          <w:lang w:val="fr-FR"/>
        </w:rPr>
        <w:t>9.3.2.1</w:t>
      </w:r>
      <w:r w:rsidRPr="007003B5">
        <w:rPr>
          <w:lang w:val="fr-FR"/>
        </w:rPr>
        <w:tab/>
        <w:t>Essai de rupture</w:t>
      </w:r>
      <w:r w:rsidR="00745774">
        <w:rPr>
          <w:lang w:val="fr-FR"/>
        </w:rPr>
        <w:t> :</w:t>
      </w:r>
      <w:r w:rsidRPr="007003B5">
        <w:rPr>
          <w:lang w:val="fr-FR"/>
        </w:rPr>
        <w:t xml:space="preserve"> essai par lots</w:t>
      </w:r>
    </w:p>
    <w:p w14:paraId="1E3D3A08" w14:textId="77777777" w:rsidR="007003B5" w:rsidRPr="007003B5" w:rsidRDefault="007003B5" w:rsidP="00745774">
      <w:pPr>
        <w:pStyle w:val="SingleTxtG"/>
        <w:ind w:left="2268"/>
        <w:rPr>
          <w:lang w:val="fr-FR"/>
        </w:rPr>
      </w:pPr>
      <w:r w:rsidRPr="007003B5">
        <w:rPr>
          <w:lang w:val="fr-FR"/>
        </w:rPr>
        <w:t>L’essai doit être exécuté conformément au paragraphe</w:t>
      </w:r>
      <w:r w:rsidR="00745774">
        <w:rPr>
          <w:lang w:val="fr-FR"/>
        </w:rPr>
        <w:t xml:space="preserve"> </w:t>
      </w:r>
      <w:r w:rsidRPr="007003B5">
        <w:rPr>
          <w:lang w:val="fr-FR"/>
        </w:rPr>
        <w:t>2.1 (essai de rupture en pression hydrostatique) de l’annexe</w:t>
      </w:r>
      <w:r w:rsidR="00745774">
        <w:rPr>
          <w:lang w:val="fr-FR"/>
        </w:rPr>
        <w:t xml:space="preserve"> </w:t>
      </w:r>
      <w:r w:rsidRPr="007003B5">
        <w:rPr>
          <w:lang w:val="fr-FR"/>
        </w:rPr>
        <w:t xml:space="preserve">3. La pression de rupture exigée doit être au moins égale à </w:t>
      </w:r>
      <w:proofErr w:type="spellStart"/>
      <w:r w:rsidRPr="007003B5">
        <w:rPr>
          <w:lang w:val="fr-FR"/>
        </w:rPr>
        <w:t>BP</w:t>
      </w:r>
      <w:r w:rsidRPr="007003B5">
        <w:rPr>
          <w:vertAlign w:val="subscript"/>
          <w:lang w:val="fr-FR"/>
        </w:rPr>
        <w:t>min</w:t>
      </w:r>
      <w:proofErr w:type="spellEnd"/>
      <w:r w:rsidRPr="007003B5">
        <w:rPr>
          <w:vertAlign w:val="subscript"/>
          <w:lang w:val="fr-FR"/>
        </w:rPr>
        <w:t xml:space="preserve"> </w:t>
      </w:r>
      <w:r w:rsidRPr="007003B5">
        <w:rPr>
          <w:lang w:val="fr-FR"/>
        </w:rPr>
        <w:t xml:space="preserve">et la pression de rupture moyenne relevée lors des </w:t>
      </w:r>
      <w:r w:rsidR="00745774">
        <w:rPr>
          <w:lang w:val="fr-FR"/>
        </w:rPr>
        <w:t>10 </w:t>
      </w:r>
      <w:r w:rsidRPr="007003B5">
        <w:rPr>
          <w:lang w:val="fr-FR"/>
        </w:rPr>
        <w:t>derniers essais doit être au moins égale à BP</w:t>
      </w:r>
      <w:r w:rsidRPr="007003B5">
        <w:rPr>
          <w:vertAlign w:val="subscript"/>
          <w:lang w:val="fr-FR"/>
        </w:rPr>
        <w:t>O</w:t>
      </w:r>
      <w:r w:rsidRPr="007003B5">
        <w:rPr>
          <w:lang w:val="fr-FR"/>
        </w:rPr>
        <w:t>-10</w:t>
      </w:r>
      <w:r>
        <w:rPr>
          <w:lang w:val="fr-FR"/>
        </w:rPr>
        <w:t> </w:t>
      </w:r>
      <w:r w:rsidRPr="007003B5">
        <w:rPr>
          <w:lang w:val="fr-FR"/>
        </w:rPr>
        <w:t>%.</w:t>
      </w:r>
    </w:p>
    <w:p w14:paraId="2DE80F17" w14:textId="77777777" w:rsidR="007003B5" w:rsidRPr="007003B5" w:rsidRDefault="007003B5" w:rsidP="00745774">
      <w:pPr>
        <w:pStyle w:val="SingleTxtG"/>
        <w:ind w:left="2268" w:hanging="1134"/>
        <w:rPr>
          <w:lang w:val="fr-FR"/>
        </w:rPr>
      </w:pPr>
      <w:r w:rsidRPr="007003B5">
        <w:rPr>
          <w:lang w:val="fr-FR"/>
        </w:rPr>
        <w:t>9.3.2.2</w:t>
      </w:r>
      <w:r w:rsidRPr="007003B5">
        <w:rPr>
          <w:lang w:val="fr-FR"/>
        </w:rPr>
        <w:tab/>
        <w:t>Essai de cycles de pression à la température ambiante</w:t>
      </w:r>
      <w:r w:rsidR="00745774">
        <w:rPr>
          <w:lang w:val="fr-FR"/>
        </w:rPr>
        <w:t> :</w:t>
      </w:r>
      <w:r w:rsidRPr="007003B5">
        <w:rPr>
          <w:lang w:val="fr-FR"/>
        </w:rPr>
        <w:t xml:space="preserve"> essai par lots</w:t>
      </w:r>
    </w:p>
    <w:p w14:paraId="3A97A917" w14:textId="77777777" w:rsidR="007003B5" w:rsidRPr="007003B5" w:rsidRDefault="007003B5" w:rsidP="00745774">
      <w:pPr>
        <w:pStyle w:val="SingleTxtG"/>
        <w:ind w:left="2268"/>
        <w:rPr>
          <w:lang w:val="fr-FR"/>
        </w:rPr>
      </w:pPr>
      <w:r w:rsidRPr="007003B5">
        <w:rPr>
          <w:lang w:val="fr-FR"/>
        </w:rPr>
        <w:t>L’essai doit être exécuté conformément au paragraphe</w:t>
      </w:r>
      <w:r>
        <w:rPr>
          <w:lang w:val="fr-FR"/>
        </w:rPr>
        <w:t xml:space="preserve"> </w:t>
      </w:r>
      <w:r w:rsidRPr="007003B5">
        <w:rPr>
          <w:lang w:val="fr-FR"/>
        </w:rPr>
        <w:t>2.2</w:t>
      </w:r>
      <w:r>
        <w:rPr>
          <w:lang w:val="fr-FR"/>
        </w:rPr>
        <w:t> </w:t>
      </w:r>
      <w:r w:rsidRPr="007003B5">
        <w:rPr>
          <w:lang w:val="fr-FR"/>
        </w:rPr>
        <w:t>a) à c) (cycles de pression hydrostatique) de l’annexe</w:t>
      </w:r>
      <w:r>
        <w:rPr>
          <w:lang w:val="fr-FR"/>
        </w:rPr>
        <w:t xml:space="preserve"> </w:t>
      </w:r>
      <w:r w:rsidRPr="007003B5">
        <w:rPr>
          <w:lang w:val="fr-FR"/>
        </w:rPr>
        <w:t xml:space="preserve">3, </w:t>
      </w:r>
      <w:proofErr w:type="gramStart"/>
      <w:r w:rsidRPr="007003B5">
        <w:rPr>
          <w:lang w:val="fr-FR"/>
        </w:rPr>
        <w:t>sauf que</w:t>
      </w:r>
      <w:proofErr w:type="gramEnd"/>
      <w:r w:rsidRPr="007003B5">
        <w:rPr>
          <w:lang w:val="fr-FR"/>
        </w:rPr>
        <w:t xml:space="preserve"> les prescriptions concernant la température du liquide et le revêtement du réservoir ainsi que celles qui concernent l’humidité relative ne s’appliquent pas. La bouteille doit être soumise à des cycles de pression avec des pressions hydrostatiques égales ou supérieures à 125 % de la PSN, jusqu’à 22 000 cycles lorsqu’il ne se produit pas de fuite ou jusqu’à ce qu’une fuite se produise. Pour la durée de service de 15 ans, la bouteille ne doit pas fuir ou se briser au cours des 11 000 premiers cycles. ».</w:t>
      </w:r>
    </w:p>
    <w:p w14:paraId="673EB8FC" w14:textId="77777777" w:rsidR="007003B5" w:rsidRPr="007003B5" w:rsidRDefault="007003B5" w:rsidP="007003B5">
      <w:pPr>
        <w:pStyle w:val="SingleTxtG"/>
        <w:rPr>
          <w:i/>
          <w:lang w:val="fr-FR"/>
        </w:rPr>
      </w:pPr>
      <w:r w:rsidRPr="007003B5">
        <w:rPr>
          <w:i/>
          <w:lang w:val="fr-FR"/>
        </w:rPr>
        <w:t>Annexe 3</w:t>
      </w:r>
      <w:r w:rsidRPr="007003B5">
        <w:rPr>
          <w:lang w:val="fr-FR"/>
        </w:rPr>
        <w:t>,</w:t>
      </w:r>
      <w:r w:rsidRPr="007003B5">
        <w:rPr>
          <w:i/>
          <w:lang w:val="fr-FR"/>
        </w:rPr>
        <w:t xml:space="preserve"> </w:t>
      </w:r>
    </w:p>
    <w:p w14:paraId="6C4B8F62" w14:textId="77777777" w:rsidR="007003B5" w:rsidRPr="007003B5" w:rsidRDefault="007003B5" w:rsidP="007003B5">
      <w:pPr>
        <w:pStyle w:val="SingleTxtG"/>
        <w:rPr>
          <w:lang w:val="fr-FR"/>
        </w:rPr>
      </w:pPr>
      <w:r w:rsidRPr="007003B5">
        <w:rPr>
          <w:i/>
          <w:lang w:val="fr-FR"/>
        </w:rPr>
        <w:t>Paragraphe 2.1</w:t>
      </w:r>
      <w:r w:rsidRPr="007003B5">
        <w:rPr>
          <w:lang w:val="fr-FR"/>
        </w:rPr>
        <w:t>, lire</w:t>
      </w:r>
      <w:r w:rsidR="00745774">
        <w:rPr>
          <w:lang w:val="fr-FR"/>
        </w:rPr>
        <w:t> :</w:t>
      </w:r>
    </w:p>
    <w:p w14:paraId="29C89BC3" w14:textId="77777777" w:rsidR="007003B5" w:rsidRPr="007003B5" w:rsidRDefault="007003B5" w:rsidP="007003B5">
      <w:pPr>
        <w:pStyle w:val="SingleTxtG"/>
        <w:ind w:left="2268" w:hanging="1134"/>
        <w:rPr>
          <w:lang w:val="fr-FR"/>
        </w:rPr>
      </w:pPr>
      <w:r w:rsidRPr="007003B5">
        <w:rPr>
          <w:lang w:val="fr-FR"/>
        </w:rPr>
        <w:t>« 2.1</w:t>
      </w:r>
      <w:r>
        <w:rPr>
          <w:lang w:val="fr-FR"/>
        </w:rPr>
        <w:tab/>
      </w:r>
      <w:r w:rsidRPr="007003B5">
        <w:rPr>
          <w:lang w:val="fr-FR"/>
        </w:rPr>
        <w:t>Essai d’éclatement (hydraulique)</w:t>
      </w:r>
    </w:p>
    <w:p w14:paraId="100C56BE" w14:textId="77777777" w:rsidR="007003B5" w:rsidRPr="007003B5" w:rsidRDefault="007003B5" w:rsidP="00745774">
      <w:pPr>
        <w:pStyle w:val="SingleTxtG"/>
        <w:ind w:left="2268"/>
        <w:rPr>
          <w:lang w:val="fr-FR"/>
        </w:rPr>
      </w:pPr>
      <w:r w:rsidRPr="007003B5">
        <w:rPr>
          <w:lang w:val="fr-FR"/>
        </w:rPr>
        <w:t>L’essai d’éclatement doit être effectué à la température ambiante de 20 (</w:t>
      </w:r>
      <w:r w:rsidR="00745774">
        <w:rPr>
          <w:lang w:val="fr-FR"/>
        </w:rPr>
        <w:sym w:font="Symbol" w:char="F0B1"/>
      </w:r>
      <w:r w:rsidRPr="007003B5">
        <w:rPr>
          <w:lang w:val="fr-FR"/>
        </w:rPr>
        <w:t>5) °C, à l’aide d’un liquide non corrosif. ».</w:t>
      </w:r>
    </w:p>
    <w:p w14:paraId="446874C4" w14:textId="77777777" w:rsidR="005F0207" w:rsidRPr="007003B5" w:rsidRDefault="007003B5" w:rsidP="007003B5">
      <w:pPr>
        <w:pStyle w:val="SingleTxtG"/>
        <w:spacing w:before="240" w:after="0"/>
        <w:jc w:val="center"/>
        <w:rPr>
          <w:u w:val="single"/>
        </w:rPr>
      </w:pPr>
      <w:r>
        <w:rPr>
          <w:u w:val="single"/>
        </w:rPr>
        <w:tab/>
      </w:r>
      <w:r>
        <w:rPr>
          <w:u w:val="single"/>
        </w:rPr>
        <w:tab/>
      </w:r>
      <w:r>
        <w:rPr>
          <w:u w:val="single"/>
        </w:rPr>
        <w:tab/>
      </w:r>
    </w:p>
    <w:sectPr w:rsidR="005F0207" w:rsidRPr="007003B5" w:rsidSect="007003B5">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0429E" w14:textId="77777777" w:rsidR="00F34C8E" w:rsidRDefault="00F34C8E"/>
  </w:endnote>
  <w:endnote w:type="continuationSeparator" w:id="0">
    <w:p w14:paraId="0C1E47EA" w14:textId="77777777" w:rsidR="00F34C8E" w:rsidRDefault="00F34C8E">
      <w:pPr>
        <w:pStyle w:val="Footer"/>
      </w:pPr>
    </w:p>
  </w:endnote>
  <w:endnote w:type="continuationNotice" w:id="1">
    <w:p w14:paraId="6C9F58BD" w14:textId="77777777" w:rsidR="00F34C8E" w:rsidRPr="00C451B9" w:rsidRDefault="00F34C8E"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F04CC" w14:textId="77777777" w:rsidR="007003B5" w:rsidRPr="007003B5" w:rsidRDefault="007003B5" w:rsidP="007003B5">
    <w:pPr>
      <w:pStyle w:val="Footer"/>
      <w:tabs>
        <w:tab w:val="right" w:pos="9638"/>
      </w:tabs>
    </w:pPr>
    <w:r w:rsidRPr="007003B5">
      <w:rPr>
        <w:b/>
        <w:sz w:val="18"/>
      </w:rPr>
      <w:fldChar w:fldCharType="begin"/>
    </w:r>
    <w:r w:rsidRPr="007003B5">
      <w:rPr>
        <w:b/>
        <w:sz w:val="18"/>
      </w:rPr>
      <w:instrText xml:space="preserve"> PAGE  \* MERGEFORMAT </w:instrText>
    </w:r>
    <w:r w:rsidRPr="007003B5">
      <w:rPr>
        <w:b/>
        <w:sz w:val="18"/>
      </w:rPr>
      <w:fldChar w:fldCharType="separate"/>
    </w:r>
    <w:r w:rsidRPr="007003B5">
      <w:rPr>
        <w:b/>
        <w:noProof/>
        <w:sz w:val="18"/>
      </w:rPr>
      <w:t>2</w:t>
    </w:r>
    <w:r w:rsidRPr="007003B5">
      <w:rPr>
        <w:b/>
        <w:sz w:val="18"/>
      </w:rPr>
      <w:fldChar w:fldCharType="end"/>
    </w:r>
    <w:r>
      <w:rPr>
        <w:b/>
        <w:sz w:val="18"/>
      </w:rPr>
      <w:tab/>
    </w:r>
    <w:r>
      <w:t>GE.18-13202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E291C" w14:textId="77777777" w:rsidR="007003B5" w:rsidRPr="007003B5" w:rsidRDefault="007003B5" w:rsidP="007003B5">
    <w:pPr>
      <w:pStyle w:val="Footer"/>
      <w:tabs>
        <w:tab w:val="right" w:pos="9638"/>
      </w:tabs>
      <w:rPr>
        <w:b/>
        <w:sz w:val="18"/>
      </w:rPr>
    </w:pPr>
    <w:r>
      <w:t>GE.18-13202</w:t>
    </w:r>
    <w:r>
      <w:tab/>
    </w:r>
    <w:r w:rsidRPr="007003B5">
      <w:rPr>
        <w:b/>
        <w:sz w:val="18"/>
      </w:rPr>
      <w:fldChar w:fldCharType="begin"/>
    </w:r>
    <w:r w:rsidRPr="007003B5">
      <w:rPr>
        <w:b/>
        <w:sz w:val="18"/>
      </w:rPr>
      <w:instrText xml:space="preserve"> PAGE  \* MERGEFORMAT </w:instrText>
    </w:r>
    <w:r w:rsidRPr="007003B5">
      <w:rPr>
        <w:b/>
        <w:sz w:val="18"/>
      </w:rPr>
      <w:fldChar w:fldCharType="separate"/>
    </w:r>
    <w:r w:rsidRPr="007003B5">
      <w:rPr>
        <w:b/>
        <w:noProof/>
        <w:sz w:val="18"/>
      </w:rPr>
      <w:t>3</w:t>
    </w:r>
    <w:r w:rsidRPr="007003B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5513F" w14:textId="77777777" w:rsidR="00467F2C" w:rsidRPr="007003B5" w:rsidRDefault="007003B5" w:rsidP="007003B5">
    <w:pPr>
      <w:pStyle w:val="Footer"/>
      <w:spacing w:before="120"/>
      <w:rPr>
        <w:sz w:val="20"/>
      </w:rPr>
    </w:pPr>
    <w:r>
      <w:rPr>
        <w:sz w:val="20"/>
      </w:rPr>
      <w:t>GE.</w:t>
    </w:r>
    <w:r w:rsidR="00467F2C">
      <w:rPr>
        <w:noProof/>
        <w:lang w:eastAsia="fr-CH"/>
      </w:rPr>
      <w:drawing>
        <wp:anchor distT="0" distB="0" distL="114300" distR="114300" simplePos="0" relativeHeight="251657216" behindDoc="0" locked="0" layoutInCell="1" allowOverlap="1" wp14:anchorId="1DCFA4A0" wp14:editId="41EB5468">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13202  (</w:t>
    </w:r>
    <w:proofErr w:type="gramEnd"/>
    <w:r>
      <w:rPr>
        <w:sz w:val="20"/>
      </w:rPr>
      <w:t>F)    200519    200519</w:t>
    </w:r>
    <w:r>
      <w:rPr>
        <w:sz w:val="20"/>
      </w:rPr>
      <w:br/>
    </w:r>
    <w:r w:rsidRPr="007003B5">
      <w:rPr>
        <w:rFonts w:ascii="C39T30Lfz" w:hAnsi="C39T30Lfz"/>
        <w:sz w:val="56"/>
      </w:rPr>
      <w:t></w:t>
    </w:r>
    <w:r w:rsidRPr="007003B5">
      <w:rPr>
        <w:rFonts w:ascii="C39T30Lfz" w:hAnsi="C39T30Lfz"/>
        <w:sz w:val="56"/>
      </w:rPr>
      <w:t></w:t>
    </w:r>
    <w:r w:rsidRPr="007003B5">
      <w:rPr>
        <w:rFonts w:ascii="C39T30Lfz" w:hAnsi="C39T30Lfz"/>
        <w:sz w:val="56"/>
      </w:rPr>
      <w:t></w:t>
    </w:r>
    <w:r w:rsidRPr="007003B5">
      <w:rPr>
        <w:rFonts w:ascii="C39T30Lfz" w:hAnsi="C39T30Lfz"/>
        <w:sz w:val="56"/>
      </w:rPr>
      <w:t></w:t>
    </w:r>
    <w:r w:rsidRPr="007003B5">
      <w:rPr>
        <w:rFonts w:ascii="C39T30Lfz" w:hAnsi="C39T30Lfz"/>
        <w:sz w:val="56"/>
      </w:rPr>
      <w:t></w:t>
    </w:r>
    <w:r w:rsidRPr="007003B5">
      <w:rPr>
        <w:rFonts w:ascii="C39T30Lfz" w:hAnsi="C39T30Lfz"/>
        <w:sz w:val="56"/>
      </w:rPr>
      <w:t></w:t>
    </w:r>
    <w:r w:rsidRPr="007003B5">
      <w:rPr>
        <w:rFonts w:ascii="C39T30Lfz" w:hAnsi="C39T30Lfz"/>
        <w:sz w:val="56"/>
      </w:rPr>
      <w:t></w:t>
    </w:r>
    <w:r w:rsidRPr="007003B5">
      <w:rPr>
        <w:rFonts w:ascii="C39T30Lfz" w:hAnsi="C39T30Lfz"/>
        <w:sz w:val="56"/>
      </w:rPr>
      <w:t></w:t>
    </w:r>
    <w:r w:rsidRPr="007003B5">
      <w:rPr>
        <w:rFonts w:ascii="C39T30Lfz" w:hAnsi="C39T30Lfz"/>
        <w:sz w:val="56"/>
      </w:rPr>
      <w:t></w:t>
    </w:r>
    <w:r>
      <w:rPr>
        <w:noProof/>
        <w:sz w:val="20"/>
      </w:rPr>
      <w:drawing>
        <wp:anchor distT="0" distB="0" distL="114300" distR="114300" simplePos="0" relativeHeight="251658240" behindDoc="0" locked="0" layoutInCell="1" allowOverlap="1" wp14:anchorId="7C120227" wp14:editId="59E99358">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33/Amend.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33/Amend.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23C07" w14:textId="77777777" w:rsidR="00F34C8E" w:rsidRPr="00D27D5E" w:rsidRDefault="00F34C8E" w:rsidP="00D27D5E">
      <w:pPr>
        <w:tabs>
          <w:tab w:val="right" w:pos="2155"/>
        </w:tabs>
        <w:spacing w:after="80"/>
        <w:ind w:left="680"/>
        <w:rPr>
          <w:u w:val="single"/>
        </w:rPr>
      </w:pPr>
      <w:r>
        <w:rPr>
          <w:u w:val="single"/>
        </w:rPr>
        <w:tab/>
      </w:r>
    </w:p>
  </w:footnote>
  <w:footnote w:type="continuationSeparator" w:id="0">
    <w:p w14:paraId="5E832F78" w14:textId="77777777" w:rsidR="00F34C8E" w:rsidRPr="00D171D4" w:rsidRDefault="00F34C8E" w:rsidP="00D171D4">
      <w:pPr>
        <w:tabs>
          <w:tab w:val="right" w:pos="2155"/>
        </w:tabs>
        <w:spacing w:after="80"/>
        <w:ind w:left="680"/>
        <w:rPr>
          <w:u w:val="single"/>
        </w:rPr>
      </w:pPr>
      <w:r w:rsidRPr="00D171D4">
        <w:rPr>
          <w:u w:val="single"/>
        </w:rPr>
        <w:tab/>
      </w:r>
    </w:p>
  </w:footnote>
  <w:footnote w:type="continuationNotice" w:id="1">
    <w:p w14:paraId="2803A31C" w14:textId="77777777" w:rsidR="00F34C8E" w:rsidRPr="00C451B9" w:rsidRDefault="00F34C8E" w:rsidP="00C451B9">
      <w:pPr>
        <w:spacing w:line="240" w:lineRule="auto"/>
        <w:rPr>
          <w:sz w:val="2"/>
          <w:szCs w:val="2"/>
        </w:rPr>
      </w:pPr>
    </w:p>
  </w:footnote>
  <w:footnote w:id="2">
    <w:p w14:paraId="70C67680" w14:textId="77777777" w:rsidR="00591072" w:rsidRPr="00591072" w:rsidRDefault="00442E31" w:rsidP="00591072">
      <w:pPr>
        <w:pStyle w:val="FootnoteText"/>
      </w:pPr>
      <w:r w:rsidRPr="00591072">
        <w:rPr>
          <w:rStyle w:val="FootnoteReference"/>
        </w:rPr>
        <w:tab/>
      </w:r>
      <w:r w:rsidRPr="00591072">
        <w:rPr>
          <w:rStyle w:val="FootnoteReference"/>
          <w:sz w:val="20"/>
          <w:vertAlign w:val="baseline"/>
        </w:rPr>
        <w:t>*</w:t>
      </w:r>
      <w:r w:rsidRPr="00591072">
        <w:rPr>
          <w:rStyle w:val="FootnoteReference"/>
          <w:sz w:val="20"/>
          <w:vertAlign w:val="baseline"/>
        </w:rPr>
        <w:tab/>
      </w:r>
      <w:r w:rsidR="00591072" w:rsidRPr="00591072">
        <w:t>Anciens titres de l’Accord</w:t>
      </w:r>
      <w:r w:rsidR="00745774">
        <w:t> :</w:t>
      </w:r>
    </w:p>
    <w:p w14:paraId="08BCFD0C" w14:textId="77777777" w:rsidR="00591072" w:rsidRPr="00591072" w:rsidRDefault="00591072" w:rsidP="00591072">
      <w:pPr>
        <w:pStyle w:val="FootnoteText"/>
      </w:pPr>
      <w:r>
        <w:rPr>
          <w:lang w:val="en-US"/>
        </w:rPr>
        <w:tab/>
      </w:r>
      <w:r>
        <w:rPr>
          <w:lang w:val="en-US"/>
        </w:rPr>
        <w:tab/>
      </w:r>
      <w:r w:rsidRPr="00591072">
        <w:rPr>
          <w:lang w:val="en-US"/>
        </w:rPr>
        <w:t xml:space="preserve">Accord </w:t>
      </w:r>
      <w:r w:rsidRPr="00591072">
        <w:t>concernant l’adoption de conditions uniformes d’homologation et la reconnaissance réciproque de l’homologation des équipements et pièces de véhicules à moteur, en date, à Genève, du 20 mars 1958 (version originale</w:t>
      </w:r>
      <w:proofErr w:type="gramStart"/>
      <w:r w:rsidRPr="00591072">
        <w:t>)</w:t>
      </w:r>
      <w:r w:rsidR="00745774">
        <w:t> ;</w:t>
      </w:r>
      <w:proofErr w:type="gramEnd"/>
    </w:p>
    <w:p w14:paraId="5544623E" w14:textId="77777777" w:rsidR="00442E31" w:rsidRPr="00442E31" w:rsidRDefault="00591072">
      <w:pPr>
        <w:pStyle w:val="FootnoteText"/>
      </w:pPr>
      <w:r>
        <w:tab/>
      </w:r>
      <w:r>
        <w:tab/>
      </w:r>
      <w:r w:rsidRPr="00591072">
        <w:t>Accord concernant l’adoption de prescriptions techniques uniformes applicables aux véhicules à</w:t>
      </w:r>
      <w:r w:rsidR="00745774">
        <w:t xml:space="preserve"> </w:t>
      </w:r>
      <w:r w:rsidRPr="00591072">
        <w:t>roues, aux équipements et aux pièces susceptibles d’être montés ou utilisés sur un véhicule à roues et</w:t>
      </w:r>
      <w:r w:rsidR="00745774">
        <w:t xml:space="preserve"> </w:t>
      </w:r>
      <w:r w:rsidRPr="00591072">
        <w:t>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DD845" w14:textId="41CAFAD2" w:rsidR="007003B5" w:rsidRPr="007003B5" w:rsidRDefault="00EF7F9C">
    <w:pPr>
      <w:pStyle w:val="Header"/>
    </w:pPr>
    <w:r>
      <w:fldChar w:fldCharType="begin"/>
    </w:r>
    <w:r>
      <w:instrText xml:space="preserve"> TITLE  \* MERGEFORMAT </w:instrText>
    </w:r>
    <w:r>
      <w:fldChar w:fldCharType="separate"/>
    </w:r>
    <w:r>
      <w:t>E/ECE/324/Rev.2/Add.133/Amend.3</w:t>
    </w:r>
    <w:r>
      <w:fldChar w:fldCharType="end"/>
    </w:r>
    <w:r w:rsidR="007003B5">
      <w:br/>
    </w:r>
    <w:r>
      <w:fldChar w:fldCharType="begin"/>
    </w:r>
    <w:r>
      <w:instrText xml:space="preserve"> KEYWORDS  \* MERGEFORMAT </w:instrText>
    </w:r>
    <w:r>
      <w:fldChar w:fldCharType="separate"/>
    </w:r>
    <w:r>
      <w:t>E/ECE/TRANS/505/Rev.2/Add.133/Amend.3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5331B" w14:textId="085F3B75" w:rsidR="007003B5" w:rsidRPr="007003B5" w:rsidRDefault="00EF7F9C" w:rsidP="007003B5">
    <w:pPr>
      <w:pStyle w:val="Header"/>
      <w:jc w:val="right"/>
    </w:pPr>
    <w:r>
      <w:fldChar w:fldCharType="begin"/>
    </w:r>
    <w:r>
      <w:instrText xml:space="preserve"> TITLE  \* MERGEFORMAT </w:instrText>
    </w:r>
    <w:r>
      <w:fldChar w:fldCharType="separate"/>
    </w:r>
    <w:r>
      <w:t>E/ECE/324/Rev.2/Add.133/Amend.3</w:t>
    </w:r>
    <w:r>
      <w:fldChar w:fldCharType="end"/>
    </w:r>
    <w:r w:rsidR="007003B5">
      <w:br/>
    </w:r>
    <w:r>
      <w:fldChar w:fldCharType="begin"/>
    </w:r>
    <w:r>
      <w:instrText xml:space="preserve"> KEYWORDS  \* MERGEFORMAT </w:instrText>
    </w:r>
    <w:r>
      <w:fldChar w:fldCharType="separate"/>
    </w:r>
    <w:r>
      <w:t>E/ECE/TRANS/505/Rev.2/Add.133/Amend.3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8E"/>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50EC"/>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3B5"/>
    <w:rsid w:val="00700A8B"/>
    <w:rsid w:val="0070347C"/>
    <w:rsid w:val="007102D2"/>
    <w:rsid w:val="00714A66"/>
    <w:rsid w:val="007176C1"/>
    <w:rsid w:val="00720BC0"/>
    <w:rsid w:val="0072116B"/>
    <w:rsid w:val="00725063"/>
    <w:rsid w:val="00732E72"/>
    <w:rsid w:val="00741D90"/>
    <w:rsid w:val="00745774"/>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831D2"/>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EF7F9C"/>
    <w:rsid w:val="00F02FA9"/>
    <w:rsid w:val="00F06660"/>
    <w:rsid w:val="00F07AE1"/>
    <w:rsid w:val="00F116EB"/>
    <w:rsid w:val="00F1794E"/>
    <w:rsid w:val="00F211AF"/>
    <w:rsid w:val="00F25EC3"/>
    <w:rsid w:val="00F32ADB"/>
    <w:rsid w:val="00F32C98"/>
    <w:rsid w:val="00F34C8E"/>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49ED413"/>
  <w15:docId w15:val="{EBCEFBDA-7BC6-43B9-94A0-D55FE320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character" w:customStyle="1" w:styleId="H1GChar">
    <w:name w:val="_ H_1_G Char"/>
    <w:link w:val="H1G"/>
    <w:rsid w:val="007003B5"/>
    <w:rPr>
      <w:rFonts w:eastAsiaTheme="minorHAnsi"/>
      <w:b/>
      <w:sz w:val="24"/>
      <w:lang w:val="fr-CH"/>
    </w:rPr>
  </w:style>
  <w:style w:type="character" w:customStyle="1" w:styleId="HChGChar">
    <w:name w:val="_ H _Ch_G Char"/>
    <w:link w:val="HChG"/>
    <w:rsid w:val="007003B5"/>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3118</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E/ECE/324/Rev.2/Add.133/Amend.3</vt:lpstr>
      <vt:lpstr>E/ECE/324/Rev.2/Add.133/Amend.3</vt:lpstr>
    </vt:vector>
  </TitlesOfParts>
  <Company>CSD</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E/ECE/324/Rev.2/Add.133/Amend.3</dc:title>
  <dc:creator>Nicolas MORIN</dc:creator>
  <cp:keywords>E/ECE/TRANS/505/Rev.2/Add.133/Amend.3</cp:keywords>
  <cp:lastModifiedBy>Marie-Claude Collet</cp:lastModifiedBy>
  <cp:revision>3</cp:revision>
  <cp:lastPrinted>2019-05-27T13:06:00Z</cp:lastPrinted>
  <dcterms:created xsi:type="dcterms:W3CDTF">2019-05-27T13:06:00Z</dcterms:created>
  <dcterms:modified xsi:type="dcterms:W3CDTF">2019-05-27T13:06:00Z</dcterms:modified>
</cp:coreProperties>
</file>