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635A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35A7" w:rsidRPr="00D635A7" w:rsidRDefault="00D635A7" w:rsidP="00D635A7">
            <w:pPr>
              <w:jc w:val="right"/>
              <w:rPr>
                <w:lang w:val="en-US"/>
              </w:rPr>
            </w:pPr>
            <w:r w:rsidRPr="00D635A7">
              <w:rPr>
                <w:sz w:val="40"/>
                <w:lang w:val="en-US"/>
              </w:rPr>
              <w:t>E</w:t>
            </w:r>
            <w:r w:rsidRPr="00D635A7">
              <w:rPr>
                <w:lang w:val="en-US"/>
              </w:rPr>
              <w:t>/ECE/324/Rev.2/Add.118/Rev.1/Amend.5−</w:t>
            </w:r>
            <w:r w:rsidRPr="00D635A7">
              <w:rPr>
                <w:sz w:val="40"/>
                <w:lang w:val="en-US"/>
              </w:rPr>
              <w:t>E</w:t>
            </w:r>
            <w:r w:rsidRPr="00D635A7">
              <w:rPr>
                <w:lang w:val="en-US"/>
              </w:rPr>
              <w:t>/ECE/TRANS/505/Rev.2/Add.118/Rev.1/Amend.5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635A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635A7" w:rsidP="00A27C92">
            <w:pPr>
              <w:spacing w:before="480" w:line="240" w:lineRule="exact"/>
            </w:pPr>
            <w:r>
              <w:t>11 décembre 2017</w:t>
            </w:r>
          </w:p>
        </w:tc>
      </w:tr>
    </w:tbl>
    <w:p w:rsidR="00D635A7" w:rsidRPr="00185DF4" w:rsidRDefault="00D635A7" w:rsidP="00D635A7">
      <w:pPr>
        <w:pStyle w:val="HChG"/>
        <w:spacing w:before="240" w:after="1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Accord</w:t>
      </w:r>
      <w:bookmarkStart w:id="0" w:name="_Toc340666199"/>
      <w:bookmarkStart w:id="1" w:name="_Toc340745062"/>
      <w:bookmarkEnd w:id="0"/>
      <w:bookmarkEnd w:id="1"/>
    </w:p>
    <w:p w:rsidR="00D635A7" w:rsidRPr="00746059" w:rsidRDefault="00D635A7" w:rsidP="00D635A7">
      <w:pPr>
        <w:pStyle w:val="H1G"/>
        <w:spacing w:before="240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Pr="00A865F6">
        <w:rPr>
          <w:b w:val="0"/>
          <w:sz w:val="20"/>
          <w:lang w:val="fr-FR"/>
        </w:rPr>
        <w:footnoteReference w:customMarkFollows="1" w:id="2"/>
        <w:t>*</w:t>
      </w:r>
    </w:p>
    <w:p w:rsidR="00D635A7" w:rsidRPr="00746059" w:rsidRDefault="00D635A7" w:rsidP="00D635A7">
      <w:pPr>
        <w:pStyle w:val="SingleTxtG"/>
        <w:spacing w:before="120"/>
      </w:pPr>
      <w:r>
        <w:rPr>
          <w:lang w:val="fr-FR"/>
        </w:rPr>
        <w:t>(Révision 3, comprenant les amen</w:t>
      </w:r>
      <w:r>
        <w:rPr>
          <w:lang w:val="fr-FR"/>
        </w:rPr>
        <w:t>dements entrés en vigueur le 14 </w:t>
      </w:r>
      <w:r>
        <w:rPr>
          <w:lang w:val="fr-FR"/>
        </w:rPr>
        <w:t>septembre 2017)</w:t>
      </w:r>
    </w:p>
    <w:p w:rsidR="00D635A7" w:rsidRPr="00746059" w:rsidRDefault="00D635A7" w:rsidP="00D635A7">
      <w:pPr>
        <w:pStyle w:val="H1G"/>
        <w:spacing w:before="120"/>
        <w:ind w:left="0" w:right="0" w:firstLine="0"/>
        <w:jc w:val="center"/>
      </w:pPr>
      <w:r>
        <w:rPr>
          <w:lang w:val="fr-FR"/>
        </w:rPr>
        <w:t>_________</w:t>
      </w:r>
    </w:p>
    <w:p w:rsidR="00D635A7" w:rsidRPr="00746059" w:rsidRDefault="00D635A7" w:rsidP="00D635A7">
      <w:pPr>
        <w:pStyle w:val="H1G"/>
        <w:spacing w:before="240" w:after="120"/>
      </w:pPr>
      <w:r>
        <w:rPr>
          <w:lang w:val="fr-FR"/>
        </w:rPr>
        <w:tab/>
      </w:r>
      <w:r>
        <w:rPr>
          <w:lang w:val="fr-FR"/>
        </w:rPr>
        <w:tab/>
        <w:t>Additif 118 −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119</w:t>
      </w:r>
    </w:p>
    <w:p w:rsidR="00D635A7" w:rsidRPr="00746059" w:rsidRDefault="00D635A7" w:rsidP="00D635A7">
      <w:pPr>
        <w:pStyle w:val="H1G"/>
        <w:spacing w:before="240"/>
      </w:pPr>
      <w:r>
        <w:rPr>
          <w:lang w:val="fr-FR"/>
        </w:rPr>
        <w:tab/>
      </w:r>
      <w:r>
        <w:rPr>
          <w:lang w:val="fr-FR"/>
        </w:rPr>
        <w:tab/>
        <w:t xml:space="preserve">Révision 1 </w:t>
      </w:r>
      <w:r>
        <w:rPr>
          <w:lang w:val="fr-FR"/>
        </w:rPr>
        <w:t>−</w:t>
      </w:r>
      <w:r>
        <w:rPr>
          <w:lang w:val="fr-FR"/>
        </w:rPr>
        <w:t xml:space="preserve"> Amendement 5</w:t>
      </w:r>
    </w:p>
    <w:p w:rsidR="00D635A7" w:rsidRPr="00746059" w:rsidRDefault="00D635A7" w:rsidP="00D635A7">
      <w:pPr>
        <w:pStyle w:val="SingleTxtG"/>
        <w:spacing w:after="360"/>
        <w:rPr>
          <w:spacing w:val="-2"/>
        </w:rPr>
      </w:pPr>
      <w:r>
        <w:rPr>
          <w:lang w:val="fr-FR"/>
        </w:rPr>
        <w:t>Complément 5 à la série 01 d’amendem</w:t>
      </w:r>
      <w:r>
        <w:rPr>
          <w:lang w:val="fr-FR"/>
        </w:rPr>
        <w:t>ents − Date d’entrée en vigueur </w:t>
      </w:r>
      <w:r>
        <w:rPr>
          <w:lang w:val="fr-FR"/>
        </w:rPr>
        <w:t>: 10</w:t>
      </w:r>
      <w:r>
        <w:rPr>
          <w:lang w:val="fr-FR"/>
        </w:rPr>
        <w:t> </w:t>
      </w:r>
      <w:r>
        <w:rPr>
          <w:lang w:val="fr-FR"/>
        </w:rPr>
        <w:t>octobre 2017</w:t>
      </w:r>
    </w:p>
    <w:p w:rsidR="00D635A7" w:rsidRPr="00746059" w:rsidRDefault="00D635A7" w:rsidP="00D635A7">
      <w:pPr>
        <w:pStyle w:val="H1G"/>
        <w:spacing w:before="120" w:after="120" w:line="240" w:lineRule="exact"/>
      </w:pPr>
      <w:r>
        <w:rPr>
          <w:lang w:val="fr-FR"/>
        </w:rPr>
        <w:tab/>
      </w:r>
      <w:r>
        <w:rPr>
          <w:lang w:val="fr-FR"/>
        </w:rPr>
        <w:tab/>
        <w:t xml:space="preserve">Prescriptions uniformes concernant l'homologation des feux </w:t>
      </w:r>
      <w:r w:rsidRPr="00737CBE">
        <w:rPr>
          <w:lang w:val="fr-FR"/>
        </w:rPr>
        <w:t>d’</w:t>
      </w:r>
      <w:r>
        <w:rPr>
          <w:lang w:val="fr-FR"/>
        </w:rPr>
        <w:t>angle pour les véhicules à moteur</w:t>
      </w:r>
    </w:p>
    <w:p w:rsidR="00D635A7" w:rsidRDefault="00D635A7" w:rsidP="00D635A7">
      <w:pPr>
        <w:pStyle w:val="SingleTxtG"/>
        <w:ind w:firstLine="567"/>
        <w:rPr>
          <w:spacing w:val="-2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D4262" wp14:editId="6C088802">
                <wp:simplePos x="0" y="0"/>
                <wp:positionH relativeFrom="margin">
                  <wp:posOffset>-9525</wp:posOffset>
                </wp:positionH>
                <wp:positionV relativeFrom="margin">
                  <wp:posOffset>5958205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64C8A5E" wp14:editId="1164FE3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D426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75pt;margin-top:469.15pt;width:481.85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64C8A5E" wp14:editId="1164FE3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635A7">
        <w:rPr>
          <w:spacing w:val="-2"/>
          <w:lang w:val="fr-FR"/>
        </w:rPr>
        <w:t xml:space="preserve">Le présent document est communiqué uniquement à titre d’information. Le texte authentique, juridiquement contraignant, est celui du document </w:t>
      </w:r>
      <w:r w:rsidRPr="00D635A7">
        <w:rPr>
          <w:spacing w:val="-2"/>
          <w:lang w:eastAsia="en-GB"/>
        </w:rPr>
        <w:t>ECE/TRANS/WP.29/2017/40 (1622505)</w:t>
      </w:r>
      <w:r w:rsidRPr="00D635A7">
        <w:rPr>
          <w:spacing w:val="-2"/>
          <w:lang w:val="fr-FR"/>
        </w:rPr>
        <w:t>.</w:t>
      </w:r>
    </w:p>
    <w:p w:rsidR="00D635A7" w:rsidRPr="001B772D" w:rsidRDefault="00D635A7" w:rsidP="00D635A7">
      <w:pPr>
        <w:pStyle w:val="SingleTxtG"/>
        <w:keepNext/>
        <w:rPr>
          <w:lang w:val="fr-FR"/>
        </w:rPr>
      </w:pPr>
      <w:r>
        <w:rPr>
          <w:spacing w:val="-2"/>
          <w:lang w:val="fr-FR"/>
        </w:rPr>
        <w:br w:type="page"/>
      </w:r>
      <w:r w:rsidRPr="001B772D">
        <w:rPr>
          <w:i/>
          <w:lang w:val="fr-FR"/>
        </w:rPr>
        <w:lastRenderedPageBreak/>
        <w:t>Paragraphe 1.2.1</w:t>
      </w:r>
      <w:r w:rsidRPr="006C4825">
        <w:rPr>
          <w:lang w:val="fr-FR"/>
        </w:rPr>
        <w:t xml:space="preserve">, </w:t>
      </w:r>
      <w:r>
        <w:rPr>
          <w:lang w:val="fr-FR"/>
        </w:rPr>
        <w:t>lire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1.2.1</w:t>
      </w:r>
      <w:r w:rsidRPr="001B772D">
        <w:rPr>
          <w:lang w:val="fr-FR"/>
        </w:rPr>
        <w:tab/>
        <w:t>La marque de fabrique ou de commerce</w:t>
      </w:r>
      <w:r>
        <w:rPr>
          <w:lang w:val="fr-FR"/>
        </w:rPr>
        <w:t>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ind w:left="2835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Pr="001B772D">
        <w:rPr>
          <w:lang w:val="fr-FR"/>
        </w:rPr>
        <w:t>Des</w:t>
      </w:r>
      <w:r>
        <w:rPr>
          <w:lang w:val="fr-FR"/>
        </w:rPr>
        <w:t xml:space="preserve"> feux</w:t>
      </w:r>
      <w:r w:rsidRPr="001B772D">
        <w:rPr>
          <w:lang w:val="fr-FR"/>
        </w:rPr>
        <w:t xml:space="preserve"> de la même marque de fabrique ou de commerce mais produits par des fabricants différents doivent être considérés comme étant de types différents</w:t>
      </w:r>
      <w:r>
        <w:rPr>
          <w:lang w:val="fr-FR"/>
        </w:rPr>
        <w:t> </w:t>
      </w:r>
      <w:r w:rsidRPr="001B772D">
        <w:rPr>
          <w:lang w:val="fr-FR"/>
        </w:rPr>
        <w:t>;</w:t>
      </w:r>
    </w:p>
    <w:p w:rsidR="00D635A7" w:rsidRPr="001B772D" w:rsidRDefault="00D635A7" w:rsidP="00D635A7">
      <w:pPr>
        <w:pStyle w:val="SingleTxtG"/>
        <w:ind w:left="2835" w:hanging="567"/>
        <w:rPr>
          <w:iCs/>
          <w:lang w:val="fr-FR"/>
        </w:rPr>
      </w:pPr>
      <w:r>
        <w:rPr>
          <w:iCs/>
          <w:lang w:val="fr-FR"/>
        </w:rPr>
        <w:t>b)</w:t>
      </w:r>
      <w:r>
        <w:rPr>
          <w:iCs/>
          <w:lang w:val="fr-FR"/>
        </w:rPr>
        <w:tab/>
      </w:r>
      <w:r w:rsidRPr="001B772D">
        <w:rPr>
          <w:iCs/>
          <w:lang w:val="fr-FR"/>
        </w:rPr>
        <w:t>Des</w:t>
      </w:r>
      <w:r>
        <w:rPr>
          <w:iCs/>
          <w:lang w:val="fr-FR"/>
        </w:rPr>
        <w:t xml:space="preserve"> feux</w:t>
      </w:r>
      <w:r w:rsidRPr="001B772D">
        <w:rPr>
          <w:iCs/>
          <w:lang w:val="fr-FR"/>
        </w:rPr>
        <w:t xml:space="preserve"> produits par le même fabricant et ne différant entre eux que par la marque de fabrique ou de commerce doivent être considérés comme étant du même type.</w:t>
      </w:r>
      <w:r>
        <w:rPr>
          <w:iCs/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lang w:val="fr-FR"/>
        </w:rPr>
      </w:pPr>
      <w:r w:rsidRPr="001B772D">
        <w:rPr>
          <w:i/>
          <w:lang w:val="fr-FR"/>
        </w:rPr>
        <w:t>Ajouter un nouveau paragraphe 2.2.4</w:t>
      </w:r>
      <w:r w:rsidRPr="000C0ECD">
        <w:rPr>
          <w:lang w:val="fr-FR"/>
        </w:rPr>
        <w:t xml:space="preserve">, </w:t>
      </w:r>
      <w:r w:rsidRPr="007C0514">
        <w:rPr>
          <w:lang w:val="fr-FR"/>
        </w:rPr>
        <w:t>libellé comme suit</w:t>
      </w:r>
      <w:r>
        <w:rPr>
          <w:lang w:val="fr-FR"/>
        </w:rPr>
        <w:t> </w:t>
      </w:r>
      <w:r w:rsidRPr="007C0514">
        <w:rPr>
          <w:lang w:val="fr-FR"/>
        </w:rPr>
        <w:t>:</w:t>
      </w:r>
    </w:p>
    <w:p w:rsidR="00D635A7" w:rsidRPr="001B772D" w:rsidRDefault="00D635A7" w:rsidP="00D635A7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1B772D">
        <w:rPr>
          <w:lang w:val="fr-FR"/>
        </w:rPr>
        <w:t>2.2.4</w:t>
      </w:r>
      <w:r w:rsidRPr="001B772D">
        <w:rPr>
          <w:lang w:val="fr-FR"/>
        </w:rPr>
        <w:tab/>
        <w:t>Lorsqu</w:t>
      </w:r>
      <w:r>
        <w:rPr>
          <w:lang w:val="fr-FR"/>
        </w:rPr>
        <w:t>’</w:t>
      </w:r>
      <w:r w:rsidRPr="001B772D">
        <w:rPr>
          <w:lang w:val="fr-FR"/>
        </w:rPr>
        <w:t>il s</w:t>
      </w:r>
      <w:r>
        <w:rPr>
          <w:lang w:val="fr-FR"/>
        </w:rPr>
        <w:t>’</w:t>
      </w:r>
      <w:r w:rsidRPr="001B772D">
        <w:rPr>
          <w:lang w:val="fr-FR"/>
        </w:rPr>
        <w:t>agit d</w:t>
      </w:r>
      <w:r>
        <w:rPr>
          <w:lang w:val="fr-FR"/>
        </w:rPr>
        <w:t>’</w:t>
      </w:r>
      <w:r w:rsidRPr="001B772D">
        <w:rPr>
          <w:lang w:val="fr-FR"/>
        </w:rPr>
        <w:t>un type de</w:t>
      </w:r>
      <w:r>
        <w:rPr>
          <w:lang w:val="fr-FR"/>
        </w:rPr>
        <w:t xml:space="preserve"> feu</w:t>
      </w:r>
      <w:r w:rsidRPr="001B772D">
        <w:rPr>
          <w:lang w:val="fr-FR"/>
        </w:rPr>
        <w:t xml:space="preserve"> ne différant que par la marque de fabrique ou de commerce d</w:t>
      </w:r>
      <w:r>
        <w:rPr>
          <w:lang w:val="fr-FR"/>
        </w:rPr>
        <w:t>’</w:t>
      </w:r>
      <w:r w:rsidRPr="001B772D">
        <w:rPr>
          <w:lang w:val="fr-FR"/>
        </w:rPr>
        <w:t>un type ayant été antérieurement homologué, il suffit de présenter</w:t>
      </w:r>
      <w:r>
        <w:rPr>
          <w:lang w:val="fr-FR"/>
        </w:rPr>
        <w:t>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2.2.4.1</w:t>
      </w:r>
      <w:r w:rsidRPr="001B772D">
        <w:rPr>
          <w:lang w:val="fr-FR"/>
        </w:rPr>
        <w:tab/>
        <w:t>Une déclaration du fabricant du</w:t>
      </w:r>
      <w:r>
        <w:rPr>
          <w:lang w:val="fr-FR"/>
        </w:rPr>
        <w:t xml:space="preserve"> feu</w:t>
      </w:r>
      <w:r w:rsidRPr="001B772D">
        <w:rPr>
          <w:lang w:val="fr-FR"/>
        </w:rPr>
        <w:t xml:space="preserve"> précisant que le type soumis est identique (sauf quant à la marque de fabrique ou de commerce) </w:t>
      </w:r>
      <w:r>
        <w:rPr>
          <w:lang w:val="fr-FR"/>
        </w:rPr>
        <w:t xml:space="preserve">au </w:t>
      </w:r>
      <w:r w:rsidRPr="006E44F5">
        <w:rPr>
          <w:lang w:val="fr-FR"/>
        </w:rPr>
        <w:t>type déjà homologué, identifié par son code d</w:t>
      </w:r>
      <w:r>
        <w:rPr>
          <w:lang w:val="fr-FR"/>
        </w:rPr>
        <w:t>’</w:t>
      </w:r>
      <w:r w:rsidRPr="006E44F5">
        <w:rPr>
          <w:lang w:val="fr-FR"/>
        </w:rPr>
        <w:t>homologation</w:t>
      </w:r>
      <w:r>
        <w:rPr>
          <w:lang w:val="fr-FR"/>
        </w:rPr>
        <w:t xml:space="preserve">, </w:t>
      </w:r>
      <w:r w:rsidRPr="001B772D">
        <w:rPr>
          <w:lang w:val="fr-FR"/>
        </w:rPr>
        <w:t>et provient du même fabricant</w:t>
      </w:r>
      <w:r>
        <w:rPr>
          <w:lang w:val="fr-FR"/>
        </w:rPr>
        <w:t> </w:t>
      </w:r>
      <w:r w:rsidRPr="001B772D">
        <w:rPr>
          <w:lang w:val="fr-FR"/>
        </w:rPr>
        <w:t>;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2.2.4.2</w:t>
      </w:r>
      <w:r w:rsidRPr="001B772D">
        <w:rPr>
          <w:lang w:val="fr-FR"/>
        </w:rPr>
        <w:tab/>
        <w:t>Deux échantillons portant la nouvelle marque de fabrique ou de commerce, ou un document équivalent.</w:t>
      </w:r>
      <w:r>
        <w:rPr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lang w:val="fr-FR"/>
        </w:rPr>
      </w:pPr>
      <w:r w:rsidRPr="001B772D">
        <w:rPr>
          <w:i/>
          <w:iCs/>
          <w:lang w:val="fr-FR"/>
        </w:rPr>
        <w:t>Ajouter un nouveau paragraphe 2.2.5</w:t>
      </w:r>
      <w:r w:rsidRPr="00652C8B">
        <w:rPr>
          <w:iCs/>
          <w:lang w:val="fr-FR"/>
        </w:rPr>
        <w:t xml:space="preserve">, </w:t>
      </w:r>
      <w:r w:rsidRPr="007C0514">
        <w:rPr>
          <w:iCs/>
          <w:lang w:val="fr-FR"/>
        </w:rPr>
        <w:t>libellé comme suit</w:t>
      </w:r>
      <w:r>
        <w:rPr>
          <w:iCs/>
          <w:lang w:val="fr-FR"/>
        </w:rPr>
        <w:t> </w:t>
      </w:r>
      <w:r w:rsidRPr="007C0514">
        <w:rPr>
          <w:iCs/>
          <w:lang w:val="fr-FR"/>
        </w:rPr>
        <w:t>:</w:t>
      </w:r>
    </w:p>
    <w:p w:rsidR="00D635A7" w:rsidRPr="001B772D" w:rsidRDefault="00D635A7" w:rsidP="00D635A7">
      <w:pPr>
        <w:pStyle w:val="SingleTxtG"/>
        <w:keepNext/>
        <w:ind w:left="2268" w:hanging="1134"/>
        <w:rPr>
          <w:bCs/>
          <w:lang w:val="fr-FR"/>
        </w:rPr>
      </w:pPr>
      <w:r>
        <w:rPr>
          <w:bCs/>
          <w:lang w:val="fr-FR"/>
        </w:rPr>
        <w:t>« 2.2.5</w:t>
      </w:r>
      <w:r w:rsidRPr="001B772D">
        <w:rPr>
          <w:bCs/>
          <w:lang w:val="fr-FR"/>
        </w:rPr>
        <w:tab/>
      </w:r>
      <w:r w:rsidRPr="001B772D">
        <w:rPr>
          <w:bCs/>
          <w:lang w:val="fr-FR"/>
        </w:rPr>
        <w:tab/>
        <w:t>Dans le cas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une ou plusieurs lampes à incandescence non remplaçables ou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 ou plusieurs modules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éclairage équipés de lampes à incandescence non remplaçables, des documents mentionnés au paragraphe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5.5 du présent Règlement.</w:t>
      </w:r>
      <w:r>
        <w:rPr>
          <w:bCs/>
          <w:lang w:val="fr-FR"/>
        </w:rPr>
        <w:t> ».</w:t>
      </w:r>
    </w:p>
    <w:p w:rsidR="00D635A7" w:rsidRPr="001B772D" w:rsidRDefault="00D635A7" w:rsidP="00D635A7">
      <w:pPr>
        <w:pStyle w:val="SingleTxtG"/>
        <w:rPr>
          <w:lang w:val="fr-FR"/>
        </w:rPr>
      </w:pPr>
      <w:r w:rsidRPr="001B772D">
        <w:rPr>
          <w:i/>
          <w:lang w:val="fr-FR"/>
        </w:rPr>
        <w:t>Paragraphe 3</w:t>
      </w:r>
      <w:r w:rsidRPr="00B7632B">
        <w:rPr>
          <w:lang w:val="fr-FR"/>
        </w:rPr>
        <w:t>,</w:t>
      </w:r>
      <w:r w:rsidRPr="001B772D">
        <w:rPr>
          <w:i/>
          <w:lang w:val="fr-FR"/>
        </w:rPr>
        <w:t xml:space="preserve"> </w:t>
      </w:r>
      <w:r>
        <w:rPr>
          <w:lang w:val="fr-FR"/>
        </w:rPr>
        <w:t>lire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keepNext/>
        <w:ind w:left="2268" w:hanging="1134"/>
        <w:rPr>
          <w:lang w:val="fr-FR" w:eastAsia="fr-FR"/>
        </w:rPr>
      </w:pPr>
      <w:r>
        <w:rPr>
          <w:lang w:val="fr-FR" w:eastAsia="fr-FR"/>
        </w:rPr>
        <w:t>« </w:t>
      </w:r>
      <w:r w:rsidRPr="001B772D">
        <w:rPr>
          <w:lang w:val="fr-FR" w:eastAsia="fr-FR"/>
        </w:rPr>
        <w:t>3.</w:t>
      </w:r>
      <w:r w:rsidRPr="001B772D">
        <w:rPr>
          <w:lang w:val="fr-FR" w:eastAsia="fr-FR"/>
        </w:rPr>
        <w:tab/>
      </w:r>
      <w:r w:rsidRPr="001B772D">
        <w:rPr>
          <w:lang w:val="fr-FR" w:eastAsia="fr-FR"/>
        </w:rPr>
        <w:tab/>
        <w:t>Inscriptions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Les feux d</w:t>
      </w:r>
      <w:r>
        <w:rPr>
          <w:lang w:val="fr-FR"/>
        </w:rPr>
        <w:t>’</w:t>
      </w:r>
      <w:r w:rsidRPr="001B772D">
        <w:rPr>
          <w:lang w:val="fr-FR"/>
        </w:rPr>
        <w:t>angle présentés à l</w:t>
      </w:r>
      <w:r>
        <w:rPr>
          <w:lang w:val="fr-FR"/>
        </w:rPr>
        <w:t>’</w:t>
      </w:r>
      <w:r w:rsidRPr="001B772D">
        <w:rPr>
          <w:lang w:val="fr-FR"/>
        </w:rPr>
        <w:t>homologation</w:t>
      </w:r>
      <w:r>
        <w:rPr>
          <w:lang w:val="fr-FR"/>
        </w:rPr>
        <w:t>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b/>
          <w:bCs/>
          <w:lang w:val="fr-FR"/>
        </w:rPr>
      </w:pPr>
      <w:r w:rsidRPr="001B772D">
        <w:rPr>
          <w:lang w:val="fr-FR"/>
        </w:rPr>
        <w:t>3.1</w:t>
      </w:r>
      <w:r w:rsidRPr="001B772D">
        <w:rPr>
          <w:lang w:val="fr-FR"/>
        </w:rPr>
        <w:tab/>
        <w:t>Portent………………</w:t>
      </w:r>
      <w:r>
        <w:rPr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lang w:val="fr-FR" w:eastAsia="it-IT"/>
        </w:rPr>
      </w:pPr>
      <w:r w:rsidRPr="001B772D">
        <w:rPr>
          <w:i/>
          <w:lang w:val="fr-FR" w:eastAsia="it-IT"/>
        </w:rPr>
        <w:t>Paragraphe 3.4</w:t>
      </w:r>
      <w:r w:rsidRPr="00DD23D9">
        <w:rPr>
          <w:lang w:val="fr-FR" w:eastAsia="it-IT"/>
        </w:rPr>
        <w:t xml:space="preserve">, </w:t>
      </w:r>
      <w:r>
        <w:rPr>
          <w:lang w:val="fr-FR" w:eastAsia="it-IT"/>
        </w:rPr>
        <w:t>lire </w:t>
      </w:r>
      <w:r w:rsidRPr="001B772D">
        <w:rPr>
          <w:lang w:val="fr-FR" w:eastAsia="it-IT"/>
        </w:rPr>
        <w:t>:</w:t>
      </w:r>
    </w:p>
    <w:p w:rsidR="00D635A7" w:rsidRPr="001B772D" w:rsidRDefault="00D635A7" w:rsidP="00D635A7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3.4</w:t>
      </w:r>
      <w:r w:rsidRPr="001B772D">
        <w:rPr>
          <w:lang w:val="fr-FR"/>
        </w:rPr>
        <w:tab/>
      </w:r>
      <w:r>
        <w:rPr>
          <w:lang w:val="fr-FR"/>
        </w:rPr>
        <w:t>Portent, d</w:t>
      </w:r>
      <w:r w:rsidRPr="001B772D">
        <w:rPr>
          <w:lang w:val="fr-FR"/>
        </w:rPr>
        <w:t>ans le cas des feux équipés d</w:t>
      </w:r>
      <w:r>
        <w:rPr>
          <w:lang w:val="fr-FR"/>
        </w:rPr>
        <w:t>’</w:t>
      </w:r>
      <w:r w:rsidRPr="001B772D">
        <w:rPr>
          <w:lang w:val="fr-FR"/>
        </w:rPr>
        <w:t>un dispositif de régulation électronique de la source lumineuse et/ou de sources lumineuses non remplaçables et/ou d</w:t>
      </w:r>
      <w:r>
        <w:rPr>
          <w:lang w:val="fr-FR"/>
        </w:rPr>
        <w:t>’</w:t>
      </w:r>
      <w:r w:rsidRPr="001B772D">
        <w:rPr>
          <w:lang w:val="fr-FR"/>
        </w:rPr>
        <w:t>un ou plusieurs modules d</w:t>
      </w:r>
      <w:r>
        <w:rPr>
          <w:lang w:val="fr-FR"/>
        </w:rPr>
        <w:t>’</w:t>
      </w:r>
      <w:r w:rsidRPr="001B772D">
        <w:rPr>
          <w:lang w:val="fr-FR"/>
        </w:rPr>
        <w:t>éclairage, une indication de la tension nominale ou de la plage de tension.</w:t>
      </w:r>
      <w:r>
        <w:rPr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lang w:val="fr-FR" w:eastAsia="it-IT"/>
        </w:rPr>
      </w:pPr>
      <w:r w:rsidRPr="001B772D">
        <w:rPr>
          <w:i/>
          <w:lang w:val="fr-FR" w:eastAsia="it-IT"/>
        </w:rPr>
        <w:t>Paragraphe 3.5.3</w:t>
      </w:r>
      <w:r w:rsidRPr="00DD23D9">
        <w:rPr>
          <w:lang w:val="fr-FR" w:eastAsia="it-IT"/>
        </w:rPr>
        <w:t xml:space="preserve">, </w:t>
      </w:r>
      <w:r>
        <w:rPr>
          <w:lang w:val="fr-FR" w:eastAsia="it-IT"/>
        </w:rPr>
        <w:t>lire </w:t>
      </w:r>
      <w:r w:rsidRPr="001B772D">
        <w:rPr>
          <w:lang w:val="fr-FR" w:eastAsia="it-IT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3.5.3</w:t>
      </w:r>
      <w:r w:rsidRPr="001B772D">
        <w:rPr>
          <w:lang w:val="fr-FR"/>
        </w:rPr>
        <w:tab/>
        <w:t>L</w:t>
      </w:r>
      <w:r>
        <w:rPr>
          <w:lang w:val="fr-FR"/>
        </w:rPr>
        <w:t>’</w:t>
      </w:r>
      <w:r w:rsidRPr="001B772D">
        <w:rPr>
          <w:lang w:val="fr-FR"/>
        </w:rPr>
        <w:t>indication de la tension nominale ou de la plage de tension.</w:t>
      </w:r>
      <w:r>
        <w:rPr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keepLines/>
        <w:rPr>
          <w:iCs/>
          <w:lang w:val="fr-FR"/>
        </w:rPr>
      </w:pPr>
      <w:r w:rsidRPr="001B772D">
        <w:rPr>
          <w:i/>
          <w:iCs/>
          <w:lang w:val="fr-FR"/>
        </w:rPr>
        <w:t>Paragraphe 5</w:t>
      </w:r>
      <w:r w:rsidRPr="00DD23D9">
        <w:rPr>
          <w:lang w:val="fr-FR"/>
        </w:rPr>
        <w:t xml:space="preserve">, </w:t>
      </w:r>
      <w:r>
        <w:rPr>
          <w:lang w:val="fr-FR"/>
        </w:rPr>
        <w:t>lire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HChG"/>
        <w:ind w:left="2268"/>
        <w:rPr>
          <w:lang w:val="fr-FR"/>
        </w:rPr>
      </w:pPr>
      <w:r w:rsidRPr="00B7632B">
        <w:rPr>
          <w:b w:val="0"/>
          <w:sz w:val="20"/>
          <w:lang w:val="fr-FR"/>
        </w:rPr>
        <w:t>«</w:t>
      </w:r>
      <w:r w:rsidRPr="00B7632B">
        <w:rPr>
          <w:sz w:val="20"/>
          <w:lang w:val="fr-FR"/>
        </w:rPr>
        <w:t> </w:t>
      </w:r>
      <w:r w:rsidRPr="001B772D">
        <w:rPr>
          <w:lang w:val="fr-FR"/>
        </w:rPr>
        <w:t>5.</w:t>
      </w:r>
      <w:r w:rsidRPr="001B772D">
        <w:rPr>
          <w:lang w:val="fr-FR"/>
        </w:rPr>
        <w:tab/>
      </w:r>
      <w:r>
        <w:rPr>
          <w:lang w:val="fr-FR"/>
        </w:rPr>
        <w:t>Spécifications</w:t>
      </w:r>
      <w:r w:rsidRPr="001B772D">
        <w:rPr>
          <w:lang w:val="fr-FR"/>
        </w:rPr>
        <w:t xml:space="preserve"> générales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1B772D">
        <w:rPr>
          <w:lang w:val="fr-FR"/>
        </w:rPr>
        <w:t xml:space="preserve">Les prescriptions contenues dans les sections 5 “Prescriptions générales” </w:t>
      </w:r>
      <w:r w:rsidRPr="00DF18F2">
        <w:rPr>
          <w:lang w:val="fr-FR"/>
        </w:rPr>
        <w:t>(ou</w:t>
      </w:r>
      <w:r>
        <w:rPr>
          <w:lang w:val="fr-FR"/>
        </w:rPr>
        <w:t> </w:t>
      </w:r>
      <w:r w:rsidRPr="001B772D">
        <w:rPr>
          <w:lang w:val="fr-FR"/>
        </w:rPr>
        <w:t>“</w:t>
      </w:r>
      <w:r w:rsidRPr="00DF18F2">
        <w:rPr>
          <w:lang w:val="fr-FR"/>
        </w:rPr>
        <w:t>Spécifications générales</w:t>
      </w:r>
      <w:r w:rsidRPr="001B772D">
        <w:rPr>
          <w:lang w:val="fr-FR"/>
        </w:rPr>
        <w:t>”</w:t>
      </w:r>
      <w:r w:rsidRPr="00DF18F2">
        <w:rPr>
          <w:lang w:val="fr-FR"/>
        </w:rPr>
        <w:t xml:space="preserve">) </w:t>
      </w:r>
      <w:r w:rsidRPr="001B772D">
        <w:rPr>
          <w:lang w:val="fr-FR"/>
        </w:rPr>
        <w:t xml:space="preserve">et 6 “Prescriptions particulières” </w:t>
      </w:r>
      <w:r w:rsidRPr="00DF18F2">
        <w:rPr>
          <w:lang w:val="fr-FR"/>
        </w:rPr>
        <w:t>(ou</w:t>
      </w:r>
      <w:r>
        <w:rPr>
          <w:lang w:val="fr-FR"/>
        </w:rPr>
        <w:t> </w:t>
      </w:r>
      <w:r w:rsidRPr="001B772D">
        <w:rPr>
          <w:lang w:val="fr-FR"/>
        </w:rPr>
        <w:t>“</w:t>
      </w:r>
      <w:r w:rsidRPr="00DF18F2">
        <w:rPr>
          <w:lang w:val="fr-FR"/>
        </w:rPr>
        <w:t xml:space="preserve">Spécifications </w:t>
      </w:r>
      <w:r>
        <w:rPr>
          <w:lang w:val="fr-FR"/>
        </w:rPr>
        <w:t>particulière</w:t>
      </w:r>
      <w:r w:rsidRPr="00DF18F2">
        <w:rPr>
          <w:lang w:val="fr-FR"/>
        </w:rPr>
        <w:t>s</w:t>
      </w:r>
      <w:r w:rsidRPr="001B772D">
        <w:rPr>
          <w:lang w:val="fr-FR"/>
        </w:rPr>
        <w:t>”</w:t>
      </w:r>
      <w:r w:rsidRPr="00DF18F2">
        <w:rPr>
          <w:lang w:val="fr-FR"/>
        </w:rPr>
        <w:t>)</w:t>
      </w:r>
      <w:r>
        <w:rPr>
          <w:lang w:val="fr-FR"/>
        </w:rPr>
        <w:t xml:space="preserve"> </w:t>
      </w:r>
      <w:r w:rsidRPr="001B772D">
        <w:rPr>
          <w:lang w:val="fr-FR"/>
        </w:rPr>
        <w:t>ainsi que dans les annexes citées dans lesdites sections des Règlements</w:t>
      </w:r>
      <w:r>
        <w:rPr>
          <w:lang w:val="fr-FR"/>
        </w:rPr>
        <w:t xml:space="preserve"> ONU</w:t>
      </w:r>
      <w:r w:rsidRPr="001B772D">
        <w:rPr>
          <w:lang w:val="fr-FR"/>
        </w:rPr>
        <w:t xml:space="preserve"> n</w:t>
      </w:r>
      <w:r w:rsidRPr="00B01DA7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1B772D">
        <w:rPr>
          <w:lang w:val="fr-FR"/>
        </w:rPr>
        <w:t>48 et 86 et de leurs séries d</w:t>
      </w:r>
      <w:r>
        <w:rPr>
          <w:lang w:val="fr-FR"/>
        </w:rPr>
        <w:t>’</w:t>
      </w:r>
      <w:r w:rsidRPr="001B772D">
        <w:rPr>
          <w:lang w:val="fr-FR"/>
        </w:rPr>
        <w:t>amendements en vigueur à la date de la demande d</w:t>
      </w:r>
      <w:r>
        <w:rPr>
          <w:lang w:val="fr-FR"/>
        </w:rPr>
        <w:t>’</w:t>
      </w:r>
      <w:r w:rsidRPr="001B772D">
        <w:rPr>
          <w:lang w:val="fr-FR"/>
        </w:rPr>
        <w:t>homologation du type de feu s</w:t>
      </w:r>
      <w:r>
        <w:rPr>
          <w:lang w:val="fr-FR"/>
        </w:rPr>
        <w:t>’</w:t>
      </w:r>
      <w:r w:rsidRPr="001B772D">
        <w:rPr>
          <w:lang w:val="fr-FR"/>
        </w:rPr>
        <w:t>appliquent au présent Règlement.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Les prescriptions pertinentes pour chaque feu et la (les) catégorie(s) de véhicule</w:t>
      </w:r>
      <w:r>
        <w:rPr>
          <w:lang w:val="fr-FR"/>
        </w:rPr>
        <w:t>s</w:t>
      </w:r>
      <w:r w:rsidRPr="001B772D">
        <w:rPr>
          <w:lang w:val="fr-FR"/>
        </w:rPr>
        <w:t xml:space="preserve"> sur laquelle</w:t>
      </w:r>
      <w:r>
        <w:rPr>
          <w:lang w:val="fr-FR"/>
        </w:rPr>
        <w:t xml:space="preserve"> (</w:t>
      </w:r>
      <w:r w:rsidRPr="001B772D">
        <w:rPr>
          <w:lang w:val="fr-FR"/>
        </w:rPr>
        <w:t>lesquelles</w:t>
      </w:r>
      <w:r>
        <w:rPr>
          <w:lang w:val="fr-FR"/>
        </w:rPr>
        <w:t>)</w:t>
      </w:r>
      <w:r w:rsidRPr="001B772D">
        <w:rPr>
          <w:lang w:val="fr-FR"/>
        </w:rPr>
        <w:t xml:space="preserve"> il est prévu d</w:t>
      </w:r>
      <w:r>
        <w:rPr>
          <w:lang w:val="fr-FR"/>
        </w:rPr>
        <w:t>’</w:t>
      </w:r>
      <w:r w:rsidRPr="001B772D">
        <w:rPr>
          <w:lang w:val="fr-FR"/>
        </w:rPr>
        <w:t>installer le feu sont applicables, pour autant que leur vérification soit possible lors de l</w:t>
      </w:r>
      <w:r>
        <w:rPr>
          <w:lang w:val="fr-FR"/>
        </w:rPr>
        <w:t>’</w:t>
      </w:r>
      <w:r w:rsidRPr="001B772D">
        <w:rPr>
          <w:lang w:val="fr-FR"/>
        </w:rPr>
        <w:t>homologation du type de feu.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lastRenderedPageBreak/>
        <w:t>5.1</w:t>
      </w:r>
      <w:r w:rsidRPr="001B772D">
        <w:rPr>
          <w:lang w:val="fr-FR"/>
        </w:rPr>
        <w:tab/>
      </w:r>
      <w:r w:rsidRPr="001B772D">
        <w:rPr>
          <w:lang w:val="fr-FR"/>
        </w:rPr>
        <w:tab/>
        <w:t>…</w:t>
      </w:r>
      <w:r>
        <w:rPr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lang w:val="fr-FR"/>
        </w:rPr>
      </w:pPr>
      <w:r w:rsidRPr="001B772D">
        <w:rPr>
          <w:i/>
          <w:iCs/>
          <w:lang w:val="fr-FR"/>
        </w:rPr>
        <w:t>Ajouter un nouveau paragraphe 5.5</w:t>
      </w:r>
      <w:r w:rsidRPr="003317BD">
        <w:rPr>
          <w:iCs/>
          <w:lang w:val="fr-FR"/>
        </w:rPr>
        <w:t xml:space="preserve">, </w:t>
      </w:r>
      <w:r w:rsidRPr="007C0514">
        <w:rPr>
          <w:iCs/>
          <w:lang w:val="fr-FR"/>
        </w:rPr>
        <w:t>libellé comme suit</w:t>
      </w:r>
      <w:r>
        <w:rPr>
          <w:iCs/>
          <w:lang w:val="fr-FR"/>
        </w:rPr>
        <w:t> </w:t>
      </w:r>
      <w:r w:rsidRPr="007C0514">
        <w:rPr>
          <w:iCs/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Pr="001B772D">
        <w:rPr>
          <w:bCs/>
          <w:lang w:val="fr-FR"/>
        </w:rPr>
        <w:t>5.5</w:t>
      </w:r>
      <w:r w:rsidRPr="001B772D">
        <w:rPr>
          <w:bCs/>
          <w:lang w:val="fr-FR"/>
        </w:rPr>
        <w:tab/>
        <w:t>Dans le cas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une ou plusieurs lampes à incandescence non remplaçables ou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 ou plusieurs modules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éclairage équipés de lampes à incandescence non remplaçables, le demandeur doit joindre au dossier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de type un rapport (établi par le fabricant de la source lumineuse mentionné dans ce dossier) démontrant de manière acceptable pour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autorité responsable de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de type la conformité de cette (ces) lampe(s) à incandescence non remplaçable(s) avec les prescriptions énoncées au paragraphe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 xml:space="preserve">4.11 de la </w:t>
      </w:r>
      <w:r>
        <w:rPr>
          <w:bCs/>
          <w:lang w:val="fr-FR"/>
        </w:rPr>
        <w:t>p</w:t>
      </w:r>
      <w:r w:rsidRPr="001B772D">
        <w:rPr>
          <w:bCs/>
          <w:lang w:val="fr-FR"/>
        </w:rPr>
        <w:t>ublication CEI 60809, troisième édition.</w:t>
      </w:r>
      <w:r>
        <w:rPr>
          <w:bCs/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bCs/>
          <w:i/>
          <w:lang w:val="fr-FR"/>
        </w:rPr>
      </w:pPr>
      <w:r w:rsidRPr="001B772D">
        <w:rPr>
          <w:bCs/>
          <w:i/>
          <w:lang w:val="fr-FR"/>
        </w:rPr>
        <w:t>Paragraphe 6.4</w:t>
      </w:r>
      <w:r w:rsidRPr="004C7E93">
        <w:rPr>
          <w:bCs/>
          <w:lang w:val="fr-FR"/>
        </w:rPr>
        <w:t xml:space="preserve">, </w:t>
      </w:r>
      <w:r>
        <w:rPr>
          <w:bCs/>
          <w:lang w:val="fr-FR"/>
        </w:rPr>
        <w:t>lire </w:t>
      </w:r>
      <w:r w:rsidRPr="001B772D">
        <w:rPr>
          <w:bCs/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B772D">
        <w:rPr>
          <w:lang w:val="fr-FR"/>
        </w:rPr>
        <w:t>6.4</w:t>
      </w:r>
      <w:r w:rsidRPr="001B772D">
        <w:rPr>
          <w:lang w:val="fr-FR"/>
        </w:rPr>
        <w:tab/>
      </w:r>
      <w:r w:rsidRPr="001B772D">
        <w:rPr>
          <w:lang w:val="fr-FR"/>
        </w:rPr>
        <w:tab/>
      </w:r>
      <w:r>
        <w:rPr>
          <w:lang w:val="fr-FR"/>
        </w:rPr>
        <w:t>Dans le cas</w:t>
      </w:r>
      <w:r w:rsidRPr="001B772D">
        <w:rPr>
          <w:lang w:val="fr-FR"/>
        </w:rPr>
        <w:t xml:space="preserve"> d</w:t>
      </w:r>
      <w:r>
        <w:rPr>
          <w:lang w:val="fr-FR"/>
        </w:rPr>
        <w:t>’</w:t>
      </w:r>
      <w:r w:rsidRPr="001B772D">
        <w:rPr>
          <w:lang w:val="fr-FR"/>
        </w:rPr>
        <w:t xml:space="preserve">un feu </w:t>
      </w:r>
      <w:r>
        <w:rPr>
          <w:lang w:val="fr-FR"/>
        </w:rPr>
        <w:t>simple ayant</w:t>
      </w:r>
      <w:r w:rsidRPr="001B772D">
        <w:rPr>
          <w:lang w:val="fr-FR"/>
        </w:rPr>
        <w:t xml:space="preserve"> plus d</w:t>
      </w:r>
      <w:r>
        <w:rPr>
          <w:lang w:val="fr-FR"/>
        </w:rPr>
        <w:t>’</w:t>
      </w:r>
      <w:r w:rsidRPr="001B772D">
        <w:rPr>
          <w:lang w:val="fr-FR"/>
        </w:rPr>
        <w:t>une source lumineuse</w:t>
      </w:r>
      <w:r>
        <w:rPr>
          <w:lang w:val="fr-FR"/>
        </w:rPr>
        <w:t>,</w:t>
      </w:r>
      <w:r w:rsidRPr="001B772D">
        <w:rPr>
          <w:lang w:val="fr-FR"/>
        </w:rPr>
        <w:t xml:space="preserve"> lorsque toutes les sources lumineuses </w:t>
      </w:r>
      <w:r>
        <w:rPr>
          <w:lang w:val="fr-FR"/>
        </w:rPr>
        <w:t>sont allumées</w:t>
      </w:r>
      <w:r w:rsidRPr="001B772D">
        <w:rPr>
          <w:lang w:val="fr-FR"/>
        </w:rPr>
        <w:t xml:space="preserve">, les intensités maximales </w:t>
      </w:r>
      <w:r>
        <w:rPr>
          <w:lang w:val="fr-FR"/>
        </w:rPr>
        <w:t xml:space="preserve">prescrites </w:t>
      </w:r>
      <w:r w:rsidRPr="001B772D">
        <w:rPr>
          <w:lang w:val="fr-FR"/>
        </w:rPr>
        <w:t>ne doivent pas être dépassées.</w:t>
      </w:r>
      <w:r>
        <w:rPr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bCs/>
          <w:lang w:val="fr-FR"/>
        </w:rPr>
      </w:pPr>
      <w:r w:rsidRPr="001B772D">
        <w:rPr>
          <w:bCs/>
          <w:i/>
          <w:lang w:val="fr-FR"/>
        </w:rPr>
        <w:t>Ajouter un nouveau paragraphe 6.5</w:t>
      </w:r>
      <w:r w:rsidRPr="00354546">
        <w:rPr>
          <w:bCs/>
          <w:lang w:val="fr-FR"/>
        </w:rPr>
        <w:t xml:space="preserve">, </w:t>
      </w:r>
      <w:r w:rsidRPr="007C0514">
        <w:rPr>
          <w:bCs/>
          <w:lang w:val="fr-FR"/>
        </w:rPr>
        <w:t>libellé comme suit</w:t>
      </w:r>
      <w:r>
        <w:rPr>
          <w:bCs/>
          <w:lang w:val="fr-FR"/>
        </w:rPr>
        <w:t> </w:t>
      </w:r>
      <w:r w:rsidRPr="007C0514">
        <w:rPr>
          <w:bCs/>
          <w:lang w:val="fr-FR"/>
        </w:rPr>
        <w:t>:</w:t>
      </w:r>
    </w:p>
    <w:p w:rsidR="00D635A7" w:rsidRPr="001B772D" w:rsidRDefault="00D635A7" w:rsidP="00D635A7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1B772D">
        <w:rPr>
          <w:lang w:val="fr-FR"/>
        </w:rPr>
        <w:t>6.5</w:t>
      </w:r>
      <w:r w:rsidRPr="001B772D">
        <w:rPr>
          <w:lang w:val="fr-FR"/>
        </w:rPr>
        <w:tab/>
        <w:t>Défaillance d</w:t>
      </w:r>
      <w:r>
        <w:rPr>
          <w:lang w:val="fr-FR"/>
        </w:rPr>
        <w:t>’</w:t>
      </w:r>
      <w:r w:rsidRPr="001B772D">
        <w:rPr>
          <w:lang w:val="fr-FR"/>
        </w:rPr>
        <w:t>un feu simple contenant plus d</w:t>
      </w:r>
      <w:r>
        <w:rPr>
          <w:lang w:val="fr-FR"/>
        </w:rPr>
        <w:t>’</w:t>
      </w:r>
      <w:r w:rsidRPr="001B772D">
        <w:rPr>
          <w:lang w:val="fr-FR"/>
        </w:rPr>
        <w:t>une source lumineuse</w:t>
      </w:r>
      <w:r>
        <w:rPr>
          <w:lang w:val="fr-FR"/>
        </w:rPr>
        <w:t>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6.5.1</w:t>
      </w:r>
      <w:r w:rsidRPr="001B772D">
        <w:rPr>
          <w:lang w:val="fr-FR"/>
        </w:rPr>
        <w:tab/>
        <w:t>Dans un feu simple comportant plusieurs sources lumineuses, un groupe de sources lumineuses, branchées de manière qu</w:t>
      </w:r>
      <w:r>
        <w:rPr>
          <w:lang w:val="fr-FR"/>
        </w:rPr>
        <w:t>’</w:t>
      </w:r>
      <w:r w:rsidRPr="001B772D">
        <w:rPr>
          <w:lang w:val="fr-FR"/>
        </w:rPr>
        <w:t>en cas de défaillance de l</w:t>
      </w:r>
      <w:r>
        <w:rPr>
          <w:lang w:val="fr-FR"/>
        </w:rPr>
        <w:t>’</w:t>
      </w:r>
      <w:r w:rsidRPr="001B772D">
        <w:rPr>
          <w:lang w:val="fr-FR"/>
        </w:rPr>
        <w:t>une d</w:t>
      </w:r>
      <w:r>
        <w:rPr>
          <w:lang w:val="fr-FR"/>
        </w:rPr>
        <w:t>’</w:t>
      </w:r>
      <w:r w:rsidRPr="001B772D">
        <w:rPr>
          <w:lang w:val="fr-FR"/>
        </w:rPr>
        <w:t>elles toutes les autres s</w:t>
      </w:r>
      <w:r>
        <w:rPr>
          <w:lang w:val="fr-FR"/>
        </w:rPr>
        <w:t>’</w:t>
      </w:r>
      <w:r w:rsidRPr="001B772D">
        <w:rPr>
          <w:lang w:val="fr-FR"/>
        </w:rPr>
        <w:t>arrêtent d</w:t>
      </w:r>
      <w:r>
        <w:rPr>
          <w:lang w:val="fr-FR"/>
        </w:rPr>
        <w:t>’</w:t>
      </w:r>
      <w:r w:rsidRPr="001B772D">
        <w:rPr>
          <w:lang w:val="fr-FR"/>
        </w:rPr>
        <w:t>émettre de la lumière, doit être considéré comme une seule et même source lumineuse.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6.5.2</w:t>
      </w:r>
      <w:r>
        <w:rPr>
          <w:lang w:val="fr-FR"/>
        </w:rPr>
        <w:tab/>
      </w:r>
      <w:r w:rsidRPr="001B772D">
        <w:rPr>
          <w:lang w:val="fr-FR"/>
        </w:rPr>
        <w:t>En cas de défaillance de l</w:t>
      </w:r>
      <w:r>
        <w:rPr>
          <w:lang w:val="fr-FR"/>
        </w:rPr>
        <w:t>’</w:t>
      </w:r>
      <w:r w:rsidRPr="001B772D">
        <w:rPr>
          <w:lang w:val="fr-FR"/>
        </w:rPr>
        <w:t xml:space="preserve">une </w:t>
      </w:r>
      <w:r>
        <w:rPr>
          <w:lang w:val="fr-FR"/>
        </w:rPr>
        <w:t xml:space="preserve">quelconque </w:t>
      </w:r>
      <w:r w:rsidRPr="001B772D">
        <w:rPr>
          <w:lang w:val="fr-FR"/>
        </w:rPr>
        <w:t>des sources lumineuses d</w:t>
      </w:r>
      <w:r>
        <w:rPr>
          <w:lang w:val="fr-FR"/>
        </w:rPr>
        <w:t>’</w:t>
      </w:r>
      <w:r w:rsidRPr="001B772D">
        <w:rPr>
          <w:lang w:val="fr-FR"/>
        </w:rPr>
        <w:t>un feu simple qui en contient plusieurs, au moins l</w:t>
      </w:r>
      <w:r>
        <w:rPr>
          <w:lang w:val="fr-FR"/>
        </w:rPr>
        <w:t>’</w:t>
      </w:r>
      <w:r w:rsidRPr="001B772D">
        <w:rPr>
          <w:lang w:val="fr-FR"/>
        </w:rPr>
        <w:t>une des dispositions suivantes s</w:t>
      </w:r>
      <w:r>
        <w:rPr>
          <w:lang w:val="fr-FR"/>
        </w:rPr>
        <w:t>’applique :</w:t>
      </w:r>
    </w:p>
    <w:p w:rsidR="00D635A7" w:rsidRPr="001B772D" w:rsidRDefault="00D635A7" w:rsidP="00D635A7">
      <w:pPr>
        <w:pStyle w:val="SingleTxtG"/>
        <w:ind w:left="2835" w:hanging="567"/>
        <w:rPr>
          <w:lang w:val="fr-FR"/>
        </w:rPr>
      </w:pPr>
      <w:r w:rsidRPr="001B772D">
        <w:rPr>
          <w:snapToGrid w:val="0"/>
          <w:lang w:val="fr-FR"/>
        </w:rPr>
        <w:t>a)</w:t>
      </w:r>
      <w:r w:rsidRPr="001B772D">
        <w:rPr>
          <w:snapToGrid w:val="0"/>
          <w:lang w:val="fr-FR"/>
        </w:rPr>
        <w:tab/>
      </w:r>
      <w:r w:rsidRPr="001B772D">
        <w:rPr>
          <w:lang w:val="fr-FR"/>
        </w:rPr>
        <w:t>L</w:t>
      </w:r>
      <w:r>
        <w:rPr>
          <w:lang w:val="fr-FR"/>
        </w:rPr>
        <w:t>’</w:t>
      </w:r>
      <w:r w:rsidRPr="001B772D">
        <w:rPr>
          <w:lang w:val="fr-FR"/>
        </w:rPr>
        <w:t>intensité lumineuse est conforme à l</w:t>
      </w:r>
      <w:r>
        <w:rPr>
          <w:lang w:val="fr-FR"/>
        </w:rPr>
        <w:t>’</w:t>
      </w:r>
      <w:r w:rsidRPr="001B772D">
        <w:rPr>
          <w:lang w:val="fr-FR"/>
        </w:rPr>
        <w:t>intensité minimale prescrite dans le tableau de répartition lumineuse spatiale normalisée de l</w:t>
      </w:r>
      <w:r>
        <w:rPr>
          <w:lang w:val="fr-FR"/>
        </w:rPr>
        <w:t>’</w:t>
      </w:r>
      <w:r w:rsidRPr="001B772D">
        <w:rPr>
          <w:lang w:val="fr-FR"/>
        </w:rPr>
        <w:t>annexe</w:t>
      </w:r>
      <w:r>
        <w:rPr>
          <w:lang w:val="fr-FR"/>
        </w:rPr>
        <w:t> </w:t>
      </w:r>
      <w:r w:rsidRPr="001B772D">
        <w:rPr>
          <w:lang w:val="fr-FR"/>
        </w:rPr>
        <w:t>3, ou</w:t>
      </w:r>
    </w:p>
    <w:p w:rsidR="00D635A7" w:rsidRPr="001B772D" w:rsidRDefault="00D635A7" w:rsidP="00D635A7">
      <w:pPr>
        <w:pStyle w:val="SingleTxtG"/>
        <w:ind w:left="2835" w:hanging="567"/>
        <w:rPr>
          <w:lang w:val="fr-FR"/>
        </w:rPr>
      </w:pPr>
      <w:r w:rsidRPr="001B772D">
        <w:rPr>
          <w:bCs/>
          <w:lang w:val="fr-FR"/>
        </w:rPr>
        <w:t>b)</w:t>
      </w:r>
      <w:r w:rsidRPr="001B772D">
        <w:rPr>
          <w:bCs/>
          <w:lang w:val="fr-FR"/>
        </w:rPr>
        <w:tab/>
      </w:r>
      <w:r w:rsidRPr="001B772D">
        <w:rPr>
          <w:bCs/>
          <w:lang w:val="fr-FR"/>
        </w:rPr>
        <w:tab/>
        <w:t>Un signal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activation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 xml:space="preserve">un témoin </w:t>
      </w:r>
      <w:r>
        <w:rPr>
          <w:bCs/>
          <w:lang w:val="fr-FR"/>
        </w:rPr>
        <w:t>indiquant</w:t>
      </w:r>
      <w:r w:rsidRPr="001B772D">
        <w:rPr>
          <w:bCs/>
          <w:lang w:val="fr-FR"/>
        </w:rPr>
        <w:t xml:space="preserve"> la défaillance est produit, comme indiqué au paragraphe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6.20.8 du Règlement</w:t>
      </w:r>
      <w:r>
        <w:rPr>
          <w:bCs/>
          <w:lang w:val="fr-FR"/>
        </w:rPr>
        <w:t xml:space="preserve"> ONU</w:t>
      </w:r>
      <w:r w:rsidRPr="001B772D">
        <w:rPr>
          <w:bCs/>
          <w:lang w:val="fr-FR"/>
        </w:rPr>
        <w:t xml:space="preserve"> n</w:t>
      </w:r>
      <w:r w:rsidRPr="00680F1C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48, à condition que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intensité lumineuse mesurée au point situé à 45 °L 2,5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°D pour un feu monté sur le côté gauche (l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angle L devrait être remplacé par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angle R pour un feu monté sur le côté droit) soit égale à 50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% au moins de la valeur minimale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 xml:space="preserve">intensité requise. </w:t>
      </w:r>
      <w:r w:rsidRPr="001B772D">
        <w:rPr>
          <w:lang w:val="fr-FR"/>
        </w:rPr>
        <w:t>Dans ce cas, il est fait mention dans la fiche de communication que le feu en question ne peut être utilisé que sur un véhicule équipé d</w:t>
      </w:r>
      <w:r>
        <w:rPr>
          <w:lang w:val="fr-FR"/>
        </w:rPr>
        <w:t>’</w:t>
      </w:r>
      <w:r w:rsidRPr="001B772D">
        <w:rPr>
          <w:lang w:val="fr-FR"/>
        </w:rPr>
        <w:t>un témoin signalant la défaillance</w:t>
      </w:r>
      <w:r w:rsidRPr="001B772D">
        <w:rPr>
          <w:bCs/>
          <w:lang w:val="fr-FR"/>
        </w:rPr>
        <w:t>.</w:t>
      </w:r>
      <w:r>
        <w:rPr>
          <w:bCs/>
          <w:lang w:val="fr-FR"/>
        </w:rPr>
        <w:t> ».</w:t>
      </w:r>
    </w:p>
    <w:p w:rsidR="00D635A7" w:rsidRPr="001B772D" w:rsidRDefault="00D635A7" w:rsidP="00D635A7">
      <w:pPr>
        <w:pStyle w:val="SingleTxtG"/>
        <w:rPr>
          <w:bCs/>
          <w:iCs/>
          <w:lang w:val="fr-FR"/>
        </w:rPr>
      </w:pPr>
      <w:r w:rsidRPr="001B772D">
        <w:rPr>
          <w:bCs/>
          <w:i/>
          <w:iCs/>
          <w:lang w:val="fr-FR"/>
        </w:rPr>
        <w:t>Paragraphe 7.5</w:t>
      </w:r>
      <w:r w:rsidRPr="00215E90">
        <w:rPr>
          <w:bCs/>
          <w:iCs/>
          <w:lang w:val="fr-FR"/>
        </w:rPr>
        <w:t xml:space="preserve">, </w:t>
      </w:r>
      <w:r w:rsidRPr="001B772D">
        <w:rPr>
          <w:bCs/>
          <w:iCs/>
          <w:lang w:val="fr-FR"/>
        </w:rPr>
        <w:t>supprimer.</w:t>
      </w:r>
    </w:p>
    <w:p w:rsidR="00D635A7" w:rsidRPr="001B772D" w:rsidRDefault="00D635A7" w:rsidP="00D635A7">
      <w:pPr>
        <w:pStyle w:val="SingleTxtG"/>
        <w:keepNext/>
        <w:rPr>
          <w:bCs/>
          <w:iCs/>
          <w:lang w:val="fr-FR"/>
        </w:rPr>
      </w:pPr>
      <w:r w:rsidRPr="001B772D">
        <w:rPr>
          <w:bCs/>
          <w:i/>
          <w:iCs/>
          <w:lang w:val="fr-FR"/>
        </w:rPr>
        <w:t>Paragraphe 9.1</w:t>
      </w:r>
      <w:r w:rsidRPr="00215E90">
        <w:rPr>
          <w:bCs/>
          <w:iCs/>
          <w:lang w:val="fr-FR"/>
        </w:rPr>
        <w:t xml:space="preserve">, </w:t>
      </w:r>
      <w:r>
        <w:rPr>
          <w:bCs/>
          <w:iCs/>
          <w:lang w:val="fr-FR"/>
        </w:rPr>
        <w:t>lire </w:t>
      </w:r>
      <w:r w:rsidRPr="001B772D">
        <w:rPr>
          <w:bCs/>
          <w:iCs/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B772D">
        <w:rPr>
          <w:lang w:val="fr-FR"/>
        </w:rPr>
        <w:t>9.1</w:t>
      </w:r>
      <w:r w:rsidRPr="001B772D">
        <w:rPr>
          <w:lang w:val="fr-FR"/>
        </w:rPr>
        <w:tab/>
        <w:t>Les feux d</w:t>
      </w:r>
      <w:r>
        <w:rPr>
          <w:lang w:val="fr-FR"/>
        </w:rPr>
        <w:t>’</w:t>
      </w:r>
      <w:r w:rsidRPr="001B772D">
        <w:rPr>
          <w:lang w:val="fr-FR"/>
        </w:rPr>
        <w:t xml:space="preserve">angle doivent être fabriqués de façon à être conformes au type homologué en application du présent Règlement. 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Le respect des prescriptions énoncées aux paragraphes</w:t>
      </w:r>
      <w:r>
        <w:rPr>
          <w:lang w:val="fr-FR"/>
        </w:rPr>
        <w:t> </w:t>
      </w:r>
      <w:r w:rsidRPr="001B772D">
        <w:rPr>
          <w:lang w:val="fr-FR"/>
        </w:rPr>
        <w:t>6 et 8 ci-dessus doit être vérifié comme suit</w:t>
      </w:r>
      <w:r>
        <w:rPr>
          <w:lang w:val="fr-FR"/>
        </w:rPr>
        <w:t> </w:t>
      </w:r>
      <w:r w:rsidRPr="001B772D">
        <w:rPr>
          <w:lang w:val="fr-FR"/>
        </w:rPr>
        <w:t>:</w:t>
      </w:r>
      <w:r>
        <w:rPr>
          <w:lang w:val="fr-FR"/>
        </w:rPr>
        <w:t> ».</w:t>
      </w:r>
    </w:p>
    <w:p w:rsidR="00D635A7" w:rsidRPr="001B772D" w:rsidRDefault="00D635A7" w:rsidP="00D635A7">
      <w:pPr>
        <w:pStyle w:val="SingleTxtG"/>
        <w:ind w:left="2268" w:hanging="1134"/>
        <w:rPr>
          <w:bCs/>
          <w:lang w:val="fr-FR"/>
        </w:rPr>
      </w:pPr>
      <w:r w:rsidRPr="00CD4E30">
        <w:rPr>
          <w:i/>
          <w:lang w:val="fr-FR"/>
        </w:rPr>
        <w:t>Le paragraphe 9.2</w:t>
      </w:r>
      <w:r w:rsidRPr="001B772D">
        <w:rPr>
          <w:lang w:val="fr-FR"/>
        </w:rPr>
        <w:t xml:space="preserve"> devient le paragraphe 9.1.1.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CD4E30">
        <w:rPr>
          <w:i/>
          <w:lang w:val="fr-FR"/>
        </w:rPr>
        <w:t>Le paragraphe 9.3</w:t>
      </w:r>
      <w:r w:rsidRPr="001B772D">
        <w:rPr>
          <w:lang w:val="fr-FR"/>
        </w:rPr>
        <w:t xml:space="preserve"> devient le paragraphe 9.1.2.</w:t>
      </w:r>
    </w:p>
    <w:p w:rsidR="00D635A7" w:rsidRPr="001B772D" w:rsidRDefault="00D635A7" w:rsidP="00D635A7">
      <w:pPr>
        <w:pStyle w:val="SingleTxtG"/>
        <w:ind w:left="2268" w:hanging="1134"/>
        <w:rPr>
          <w:bCs/>
          <w:iCs/>
          <w:lang w:val="fr-FR"/>
        </w:rPr>
      </w:pPr>
      <w:r w:rsidRPr="00CD4E30">
        <w:rPr>
          <w:i/>
          <w:iCs/>
          <w:lang w:val="fr-FR"/>
        </w:rPr>
        <w:t>Le paragraphe 9.4</w:t>
      </w:r>
      <w:r w:rsidRPr="001B772D">
        <w:rPr>
          <w:iCs/>
          <w:lang w:val="fr-FR"/>
        </w:rPr>
        <w:t xml:space="preserve"> devient le paragraphe 9.2.</w:t>
      </w:r>
    </w:p>
    <w:p w:rsidR="00D635A7" w:rsidRPr="001B772D" w:rsidRDefault="00D635A7" w:rsidP="00D635A7">
      <w:pPr>
        <w:pStyle w:val="SingleTxtG"/>
        <w:keepNext/>
        <w:rPr>
          <w:lang w:val="fr-FR"/>
        </w:rPr>
      </w:pPr>
      <w:r w:rsidRPr="001B772D">
        <w:rPr>
          <w:i/>
          <w:iCs/>
          <w:lang w:val="fr-FR"/>
        </w:rPr>
        <w:t>Ajouter un nouveau paragraphe 9.3</w:t>
      </w:r>
      <w:r w:rsidRPr="005610A4">
        <w:rPr>
          <w:iCs/>
          <w:lang w:val="fr-FR"/>
        </w:rPr>
        <w:t xml:space="preserve">, </w:t>
      </w:r>
      <w:r w:rsidRPr="007C0514">
        <w:rPr>
          <w:iCs/>
          <w:lang w:val="fr-FR"/>
        </w:rPr>
        <w:t>libellé comme suit</w:t>
      </w:r>
      <w:r>
        <w:rPr>
          <w:iCs/>
          <w:lang w:val="fr-FR"/>
        </w:rPr>
        <w:t> </w:t>
      </w:r>
      <w:r w:rsidRPr="007C0514">
        <w:rPr>
          <w:iCs/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>
        <w:rPr>
          <w:bCs/>
          <w:lang w:val="fr-FR"/>
        </w:rPr>
        <w:t>« </w:t>
      </w:r>
      <w:r w:rsidRPr="001B772D">
        <w:rPr>
          <w:bCs/>
          <w:lang w:val="fr-FR"/>
        </w:rPr>
        <w:t>9.3</w:t>
      </w:r>
      <w:r w:rsidRPr="001B772D">
        <w:rPr>
          <w:bCs/>
          <w:lang w:val="fr-FR"/>
        </w:rPr>
        <w:tab/>
      </w:r>
      <w:r w:rsidRPr="001B772D">
        <w:rPr>
          <w:lang w:val="fr-FR"/>
        </w:rPr>
        <w:t>Dans le cas d</w:t>
      </w:r>
      <w:r>
        <w:rPr>
          <w:lang w:val="fr-FR"/>
        </w:rPr>
        <w:t>’</w:t>
      </w:r>
      <w:r w:rsidRPr="001B772D">
        <w:rPr>
          <w:lang w:val="fr-FR"/>
        </w:rPr>
        <w:t>une ou plusieurs lampes à incandescence non remplaçables ou d</w:t>
      </w:r>
      <w:r>
        <w:rPr>
          <w:lang w:val="fr-FR"/>
        </w:rPr>
        <w:t>’</w:t>
      </w:r>
      <w:r w:rsidRPr="001B772D">
        <w:rPr>
          <w:lang w:val="fr-FR"/>
        </w:rPr>
        <w:t>un ou plusieurs modules d</w:t>
      </w:r>
      <w:r>
        <w:rPr>
          <w:lang w:val="fr-FR"/>
        </w:rPr>
        <w:t>’</w:t>
      </w:r>
      <w:r w:rsidRPr="001B772D">
        <w:rPr>
          <w:lang w:val="fr-FR"/>
        </w:rPr>
        <w:t>éclairage équipés de lampes à incandescence non remplaçables, un rapport (établi par le fabricant de la source lumineuse mentionné dans le dossier d</w:t>
      </w:r>
      <w:r>
        <w:rPr>
          <w:lang w:val="fr-FR"/>
        </w:rPr>
        <w:t>’</w:t>
      </w:r>
      <w:r w:rsidRPr="001B772D">
        <w:rPr>
          <w:lang w:val="fr-FR"/>
        </w:rPr>
        <w:t xml:space="preserve">homologation de type) doit démontrer la conformité de cette (ces) lampe(s) à incandescence non remplaçable(s) avec </w:t>
      </w:r>
      <w:r w:rsidRPr="001B772D">
        <w:rPr>
          <w:lang w:val="fr-FR"/>
        </w:rPr>
        <w:lastRenderedPageBreak/>
        <w:t>les exigences en matière de durée de vie et, dans le cas de lampes à incandescence colorisées, par rapport aux prescriptions en matière de stabilité des couleurs, qui sont énoncées au paragraphe</w:t>
      </w:r>
      <w:r w:rsidR="00B7632B">
        <w:rPr>
          <w:lang w:val="fr-FR"/>
        </w:rPr>
        <w:t xml:space="preserve"> </w:t>
      </w:r>
      <w:r w:rsidRPr="001B772D">
        <w:rPr>
          <w:lang w:val="fr-FR"/>
        </w:rPr>
        <w:t xml:space="preserve">4.11 de la </w:t>
      </w:r>
      <w:r>
        <w:rPr>
          <w:lang w:val="fr-FR"/>
        </w:rPr>
        <w:t>p</w:t>
      </w:r>
      <w:r w:rsidRPr="001B772D">
        <w:rPr>
          <w:lang w:val="fr-FR"/>
        </w:rPr>
        <w:t>ublication CEI</w:t>
      </w:r>
      <w:r w:rsidR="00B7632B">
        <w:rPr>
          <w:lang w:val="fr-FR"/>
        </w:rPr>
        <w:t> </w:t>
      </w:r>
      <w:r w:rsidRPr="001B772D">
        <w:rPr>
          <w:lang w:val="fr-FR"/>
        </w:rPr>
        <w:t>60809, troisième édition.</w:t>
      </w:r>
      <w:r>
        <w:rPr>
          <w:lang w:val="fr-FR"/>
        </w:rPr>
        <w:t> ».</w:t>
      </w:r>
    </w:p>
    <w:p w:rsidR="00D635A7" w:rsidRDefault="00D635A7" w:rsidP="00D635A7">
      <w:pPr>
        <w:pStyle w:val="SingleTxtG"/>
        <w:rPr>
          <w:i/>
          <w:lang w:val="fr-FR"/>
        </w:rPr>
      </w:pPr>
      <w:r w:rsidRPr="001B772D">
        <w:rPr>
          <w:i/>
          <w:lang w:val="fr-FR"/>
        </w:rPr>
        <w:t>Annexe 1</w:t>
      </w:r>
    </w:p>
    <w:p w:rsidR="00D635A7" w:rsidRPr="001B772D" w:rsidRDefault="00D635A7" w:rsidP="00D635A7">
      <w:pPr>
        <w:pStyle w:val="SingleTxtG"/>
        <w:rPr>
          <w:lang w:val="fr-FR"/>
        </w:rPr>
      </w:pPr>
      <w:r>
        <w:rPr>
          <w:i/>
          <w:lang w:val="fr-FR"/>
        </w:rPr>
        <w:t>P</w:t>
      </w:r>
      <w:r w:rsidRPr="001B772D">
        <w:rPr>
          <w:i/>
          <w:lang w:val="fr-FR"/>
        </w:rPr>
        <w:t>oint 9</w:t>
      </w:r>
      <w:r w:rsidRPr="001B772D">
        <w:rPr>
          <w:lang w:val="fr-FR"/>
        </w:rPr>
        <w:t xml:space="preserve">, </w:t>
      </w:r>
      <w:r>
        <w:rPr>
          <w:lang w:val="fr-FR"/>
        </w:rPr>
        <w:t>lire </w:t>
      </w:r>
      <w:r w:rsidRPr="001B772D">
        <w:rPr>
          <w:lang w:val="fr-FR"/>
        </w:rPr>
        <w:t>:</w:t>
      </w:r>
      <w:bookmarkStart w:id="2" w:name="_GoBack"/>
      <w:bookmarkEnd w:id="2"/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B772D">
        <w:rPr>
          <w:lang w:val="fr-FR"/>
        </w:rPr>
        <w:t>9.</w:t>
      </w:r>
      <w:r w:rsidRPr="001B772D">
        <w:rPr>
          <w:lang w:val="fr-FR"/>
        </w:rPr>
        <w:tab/>
        <w:t>Description sommaire</w:t>
      </w:r>
      <w:r>
        <w:rPr>
          <w:lang w:val="fr-FR"/>
        </w:rPr>
        <w:t>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Par catégorie de feu</w:t>
      </w:r>
      <w:r w:rsidR="00B7632B">
        <w:rPr>
          <w:lang w:val="fr-FR"/>
        </w:rPr>
        <w:t> :</w:t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Nombre, catégorie et type de source(s) lumineuse(s)</w:t>
      </w:r>
      <w:r w:rsidRPr="008C014D">
        <w:rPr>
          <w:sz w:val="18"/>
          <w:szCs w:val="18"/>
          <w:vertAlign w:val="superscript"/>
          <w:lang w:val="fr-FR"/>
        </w:rPr>
        <w:t>2</w:t>
      </w:r>
      <w:r w:rsidRPr="008C014D">
        <w:rPr>
          <w:lang w:val="fr-FR"/>
        </w:rPr>
        <w:t> </w:t>
      </w:r>
      <w:r>
        <w:rPr>
          <w:lang w:val="fr-FR"/>
        </w:rPr>
        <w:t>:</w:t>
      </w:r>
      <w:r w:rsidRPr="001B772D">
        <w:rPr>
          <w:lang w:val="fr-FR"/>
        </w:rPr>
        <w:tab/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Tension et puissance</w:t>
      </w:r>
      <w:r>
        <w:rPr>
          <w:lang w:val="fr-FR"/>
        </w:rPr>
        <w:t> </w:t>
      </w:r>
      <w:r w:rsidRPr="001B772D">
        <w:rPr>
          <w:lang w:val="fr-FR"/>
        </w:rPr>
        <w:t xml:space="preserve">: </w:t>
      </w:r>
      <w:r w:rsidRPr="001B772D">
        <w:rPr>
          <w:lang w:val="fr-FR"/>
        </w:rPr>
        <w:tab/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Module d</w:t>
      </w:r>
      <w:r>
        <w:rPr>
          <w:lang w:val="fr-FR"/>
        </w:rPr>
        <w:t>’</w:t>
      </w:r>
      <w:r w:rsidRPr="001B772D">
        <w:rPr>
          <w:lang w:val="fr-FR"/>
        </w:rPr>
        <w:t>éclairage</w:t>
      </w:r>
      <w:r>
        <w:rPr>
          <w:lang w:val="fr-FR"/>
        </w:rPr>
        <w:t> </w:t>
      </w:r>
      <w:r w:rsidRPr="001B772D">
        <w:rPr>
          <w:lang w:val="fr-FR"/>
        </w:rPr>
        <w:t>: oui/non</w:t>
      </w:r>
      <w:r w:rsidRPr="00C1251D">
        <w:rPr>
          <w:sz w:val="18"/>
          <w:szCs w:val="18"/>
          <w:vertAlign w:val="superscript"/>
          <w:lang w:val="fr-FR"/>
        </w:rPr>
        <w:t>3</w:t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Code d</w:t>
      </w:r>
      <w:r>
        <w:rPr>
          <w:lang w:val="fr-FR"/>
        </w:rPr>
        <w:t>’</w:t>
      </w:r>
      <w:r w:rsidRPr="001B772D">
        <w:rPr>
          <w:lang w:val="fr-FR"/>
        </w:rPr>
        <w:t xml:space="preserve">identification </w:t>
      </w:r>
      <w:r>
        <w:rPr>
          <w:lang w:val="fr-FR"/>
        </w:rPr>
        <w:t>d</w:t>
      </w:r>
      <w:r w:rsidRPr="001B772D">
        <w:rPr>
          <w:lang w:val="fr-FR"/>
        </w:rPr>
        <w:t>u module d</w:t>
      </w:r>
      <w:r>
        <w:rPr>
          <w:lang w:val="fr-FR"/>
        </w:rPr>
        <w:t>’</w:t>
      </w:r>
      <w:r w:rsidRPr="001B772D">
        <w:rPr>
          <w:lang w:val="fr-FR"/>
        </w:rPr>
        <w:t>éclairage</w:t>
      </w:r>
      <w:r>
        <w:rPr>
          <w:lang w:val="fr-FR"/>
        </w:rPr>
        <w:t> :</w:t>
      </w:r>
      <w:r w:rsidRPr="001B772D">
        <w:rPr>
          <w:lang w:val="fr-FR"/>
        </w:rPr>
        <w:tab/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>
        <w:rPr>
          <w:lang w:val="fr-FR"/>
        </w:rPr>
        <w:t>Demande concernant</w:t>
      </w:r>
      <w:r w:rsidRPr="001B772D">
        <w:rPr>
          <w:lang w:val="fr-FR"/>
        </w:rPr>
        <w:t xml:space="preserve"> </w:t>
      </w:r>
      <w:r>
        <w:rPr>
          <w:lang w:val="fr-FR"/>
        </w:rPr>
        <w:t xml:space="preserve">un module électronique </w:t>
      </w:r>
      <w:r w:rsidRPr="001B772D">
        <w:rPr>
          <w:lang w:val="fr-FR"/>
        </w:rPr>
        <w:t>de régulation</w:t>
      </w:r>
      <w:r>
        <w:rPr>
          <w:lang w:val="fr-FR"/>
        </w:rPr>
        <w:t>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a)</w:t>
      </w:r>
      <w:r w:rsidRPr="001B772D">
        <w:rPr>
          <w:lang w:val="fr-FR"/>
        </w:rPr>
        <w:tab/>
        <w:t>Faisant partie du feu</w:t>
      </w:r>
      <w:r>
        <w:rPr>
          <w:lang w:val="fr-FR"/>
        </w:rPr>
        <w:t> </w:t>
      </w:r>
      <w:r w:rsidRPr="001B772D">
        <w:rPr>
          <w:lang w:val="fr-FR"/>
        </w:rPr>
        <w:t>: oui/non</w:t>
      </w:r>
      <w:r w:rsidRPr="00C1251D">
        <w:rPr>
          <w:sz w:val="18"/>
          <w:szCs w:val="18"/>
          <w:vertAlign w:val="superscript"/>
          <w:lang w:val="fr-FR"/>
        </w:rPr>
        <w:t>3</w:t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b)</w:t>
      </w:r>
      <w:r>
        <w:rPr>
          <w:lang w:val="fr-FR"/>
        </w:rPr>
        <w:tab/>
      </w:r>
      <w:r w:rsidRPr="001B772D">
        <w:rPr>
          <w:lang w:val="fr-FR"/>
        </w:rPr>
        <w:t>Ne faisant pas partie du feu</w:t>
      </w:r>
      <w:r>
        <w:rPr>
          <w:lang w:val="fr-FR"/>
        </w:rPr>
        <w:t> </w:t>
      </w:r>
      <w:r w:rsidRPr="001B772D">
        <w:rPr>
          <w:lang w:val="fr-FR"/>
        </w:rPr>
        <w:t>: oui/non</w:t>
      </w:r>
      <w:r w:rsidRPr="00C1251D">
        <w:rPr>
          <w:sz w:val="18"/>
          <w:szCs w:val="18"/>
          <w:vertAlign w:val="superscript"/>
          <w:lang w:val="fr-FR"/>
        </w:rPr>
        <w:t>3</w:t>
      </w:r>
    </w:p>
    <w:p w:rsidR="00D635A7" w:rsidRPr="001B772D" w:rsidRDefault="00D635A7" w:rsidP="00D635A7">
      <w:pPr>
        <w:pStyle w:val="SingleTxtGR"/>
        <w:tabs>
          <w:tab w:val="clear" w:pos="1701"/>
          <w:tab w:val="clear" w:pos="3402"/>
          <w:tab w:val="clear" w:pos="3969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Tension d</w:t>
      </w:r>
      <w:r>
        <w:rPr>
          <w:lang w:val="fr-FR"/>
        </w:rPr>
        <w:t>’alimentation</w:t>
      </w:r>
      <w:r w:rsidRPr="001B772D">
        <w:rPr>
          <w:lang w:val="fr-FR"/>
        </w:rPr>
        <w:t xml:space="preserve"> fournie par </w:t>
      </w:r>
      <w:r>
        <w:rPr>
          <w:lang w:val="fr-FR"/>
        </w:rPr>
        <w:t xml:space="preserve">le module électronique </w:t>
      </w:r>
      <w:r w:rsidRPr="001B772D">
        <w:rPr>
          <w:lang w:val="fr-FR"/>
        </w:rPr>
        <w:t>de régulation</w:t>
      </w:r>
      <w:r>
        <w:rPr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</w:p>
    <w:p w:rsidR="00D635A7" w:rsidRPr="001B772D" w:rsidRDefault="00D635A7" w:rsidP="00D635A7">
      <w:pPr>
        <w:pStyle w:val="SingleTxtGR"/>
        <w:tabs>
          <w:tab w:val="clear" w:pos="1701"/>
          <w:tab w:val="clear" w:pos="3402"/>
          <w:tab w:val="clear" w:pos="3969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 xml:space="preserve">Fabricant du </w:t>
      </w:r>
      <w:r>
        <w:rPr>
          <w:lang w:val="fr-FR"/>
        </w:rPr>
        <w:t xml:space="preserve">module électronique </w:t>
      </w:r>
      <w:r w:rsidRPr="001B772D">
        <w:rPr>
          <w:lang w:val="fr-FR"/>
        </w:rPr>
        <w:t>de régulation et numéro d</w:t>
      </w:r>
      <w:r>
        <w:rPr>
          <w:lang w:val="fr-FR"/>
        </w:rPr>
        <w:t>’</w:t>
      </w:r>
      <w:r w:rsidRPr="001B772D">
        <w:rPr>
          <w:lang w:val="fr-FR"/>
        </w:rPr>
        <w:t xml:space="preserve">identification </w:t>
      </w:r>
      <w:r>
        <w:rPr>
          <w:lang w:val="fr-FR"/>
        </w:rPr>
        <w:t xml:space="preserve">du fabricant </w:t>
      </w:r>
      <w:r w:rsidRPr="001B772D">
        <w:rPr>
          <w:lang w:val="fr-FR"/>
        </w:rPr>
        <w:t xml:space="preserve">(lorsque le </w:t>
      </w:r>
      <w:r>
        <w:rPr>
          <w:lang w:val="fr-FR"/>
        </w:rPr>
        <w:t>module électronique</w:t>
      </w:r>
      <w:r w:rsidRPr="001B772D">
        <w:rPr>
          <w:lang w:val="fr-FR"/>
        </w:rPr>
        <w:t xml:space="preserve"> de régulation fait partie du feu sans être intégré au boîtier)</w:t>
      </w:r>
      <w:r>
        <w:rPr>
          <w:lang w:val="fr-FR"/>
        </w:rPr>
        <w:t> :</w:t>
      </w:r>
    </w:p>
    <w:p w:rsidR="00D635A7" w:rsidRPr="001B772D" w:rsidRDefault="00D635A7" w:rsidP="00D635A7">
      <w:pPr>
        <w:pStyle w:val="SingleTxtGR"/>
        <w:tabs>
          <w:tab w:val="clear" w:pos="1701"/>
          <w:tab w:val="clear" w:pos="3402"/>
          <w:tab w:val="clear" w:pos="3969"/>
          <w:tab w:val="left" w:leader="dot" w:pos="8505"/>
        </w:tabs>
        <w:ind w:left="2268"/>
        <w:rPr>
          <w:lang w:val="fr-FR"/>
        </w:rPr>
      </w:pPr>
      <w:r w:rsidRPr="001B772D">
        <w:rPr>
          <w:lang w:val="fr-FR"/>
        </w:rPr>
        <w:t>Conditions géométriques d</w:t>
      </w:r>
      <w:r>
        <w:rPr>
          <w:lang w:val="fr-FR"/>
        </w:rPr>
        <w:t>’</w:t>
      </w:r>
      <w:r w:rsidRPr="001B772D">
        <w:rPr>
          <w:lang w:val="fr-FR"/>
        </w:rPr>
        <w:t>installation et variations éventuelles</w:t>
      </w:r>
      <w:r>
        <w:rPr>
          <w:lang w:val="fr-FR"/>
        </w:rPr>
        <w:t> </w:t>
      </w:r>
      <w:r w:rsidRPr="001B772D">
        <w:rPr>
          <w:lang w:val="fr-FR"/>
        </w:rPr>
        <w:t>:</w:t>
      </w:r>
      <w:r>
        <w:rPr>
          <w:lang w:val="fr-FR"/>
        </w:rPr>
        <w:tab/>
      </w:r>
    </w:p>
    <w:p w:rsidR="00D635A7" w:rsidRPr="001B772D" w:rsidRDefault="00D635A7" w:rsidP="00D635A7">
      <w:pPr>
        <w:pStyle w:val="SingleTxtGR"/>
        <w:tabs>
          <w:tab w:val="clear" w:pos="1701"/>
          <w:tab w:val="left" w:leader="dot" w:pos="8505"/>
        </w:tabs>
        <w:ind w:left="2268"/>
        <w:rPr>
          <w:bCs/>
          <w:lang w:val="fr-FR"/>
        </w:rPr>
      </w:pPr>
      <w:r w:rsidRPr="001B772D">
        <w:rPr>
          <w:bCs/>
          <w:lang w:val="fr-FR"/>
        </w:rPr>
        <w:t>Le feu ne peut être utilisé que sur un véhicule équipé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 témoin indiquant un défaut de fonctionnement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: oui/non</w:t>
      </w:r>
      <w:r w:rsidRPr="001045A3">
        <w:rPr>
          <w:bCs/>
          <w:sz w:val="18"/>
          <w:szCs w:val="18"/>
          <w:vertAlign w:val="superscript"/>
          <w:lang w:val="fr-FR"/>
        </w:rPr>
        <w:t>3</w:t>
      </w:r>
      <w:r>
        <w:rPr>
          <w:bCs/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i/>
          <w:iCs/>
          <w:lang w:val="fr-FR"/>
        </w:rPr>
      </w:pPr>
      <w:r w:rsidRPr="001B772D">
        <w:rPr>
          <w:i/>
          <w:iCs/>
          <w:lang w:val="fr-FR"/>
        </w:rPr>
        <w:t>Annexe 5</w:t>
      </w:r>
      <w:r w:rsidRPr="00DF2CE7">
        <w:rPr>
          <w:iCs/>
          <w:lang w:val="fr-FR"/>
        </w:rPr>
        <w:t xml:space="preserve"> </w:t>
      </w:r>
    </w:p>
    <w:p w:rsidR="00D635A7" w:rsidRPr="001B772D" w:rsidRDefault="00D635A7" w:rsidP="00D635A7">
      <w:pPr>
        <w:pStyle w:val="SingleTxtG"/>
        <w:keepNext/>
        <w:rPr>
          <w:iCs/>
          <w:lang w:val="fr-FR"/>
        </w:rPr>
      </w:pPr>
      <w:r w:rsidRPr="007C0514">
        <w:rPr>
          <w:i/>
          <w:iCs/>
          <w:lang w:val="fr-FR"/>
        </w:rPr>
        <w:t>Ajouter les nouveaux paragraphes 1.4 à 1.4.2</w:t>
      </w:r>
      <w:r w:rsidRPr="00DF2CE7">
        <w:rPr>
          <w:iCs/>
          <w:lang w:val="fr-FR"/>
        </w:rPr>
        <w:t xml:space="preserve">, </w:t>
      </w:r>
      <w:r w:rsidRPr="001B772D">
        <w:rPr>
          <w:iCs/>
          <w:lang w:val="fr-FR"/>
        </w:rPr>
        <w:t>comme suit</w:t>
      </w:r>
      <w:r>
        <w:rPr>
          <w:iCs/>
          <w:lang w:val="fr-FR"/>
        </w:rPr>
        <w:t> </w:t>
      </w:r>
      <w:r w:rsidRPr="001B772D">
        <w:rPr>
          <w:iCs/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Pr="001B772D">
        <w:rPr>
          <w:bCs/>
          <w:lang w:val="fr-FR"/>
        </w:rPr>
        <w:t>1.4</w:t>
      </w:r>
      <w:r w:rsidRPr="001B772D">
        <w:rPr>
          <w:bCs/>
          <w:lang w:val="fr-FR"/>
        </w:rPr>
        <w:tab/>
        <w:t>Dans le cas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une ou plusieurs lampes à incandescence non remplaçables ou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un ou plusieurs modules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éclairage équipés de lampes à incandescence non remplaçables, lors de toute vérification de la conformité de la production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bCs/>
          <w:lang w:val="fr-FR"/>
        </w:rPr>
      </w:pPr>
      <w:r w:rsidRPr="001B772D">
        <w:rPr>
          <w:bCs/>
          <w:lang w:val="fr-FR"/>
        </w:rPr>
        <w:t>1.4.1</w:t>
      </w:r>
      <w:r w:rsidRPr="001B772D">
        <w:rPr>
          <w:bCs/>
          <w:lang w:val="fr-FR"/>
        </w:rPr>
        <w:tab/>
      </w:r>
      <w:r>
        <w:rPr>
          <w:bCs/>
          <w:lang w:val="fr-FR"/>
        </w:rPr>
        <w:t>L</w:t>
      </w:r>
      <w:r w:rsidRPr="001B772D">
        <w:rPr>
          <w:bCs/>
          <w:lang w:val="fr-FR"/>
        </w:rPr>
        <w:t>e détenteur de l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est tenu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 xml:space="preserve">apporter la preuve de </w:t>
      </w:r>
      <w:r>
        <w:rPr>
          <w:bCs/>
          <w:lang w:val="fr-FR"/>
        </w:rPr>
        <w:t>l’</w:t>
      </w:r>
      <w:r w:rsidRPr="001B772D">
        <w:rPr>
          <w:bCs/>
          <w:lang w:val="fr-FR"/>
        </w:rPr>
        <w:t xml:space="preserve">utilisation </w:t>
      </w:r>
      <w:r w:rsidRPr="00B96438">
        <w:rPr>
          <w:bCs/>
          <w:lang w:val="fr-FR"/>
        </w:rPr>
        <w:t xml:space="preserve">de la ou des lampes à incandescence non remplaçables </w:t>
      </w:r>
      <w:r w:rsidRPr="001B772D">
        <w:rPr>
          <w:bCs/>
          <w:lang w:val="fr-FR"/>
        </w:rPr>
        <w:t xml:space="preserve">dans la fabrication courante et de montrer </w:t>
      </w:r>
      <w:r>
        <w:rPr>
          <w:bCs/>
          <w:lang w:val="fr-FR"/>
        </w:rPr>
        <w:t xml:space="preserve">son (leur) </w:t>
      </w:r>
      <w:r w:rsidRPr="001B772D">
        <w:rPr>
          <w:bCs/>
          <w:lang w:val="fr-FR"/>
        </w:rPr>
        <w:t>identification comme il est indiqué dans le dossier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de type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;</w:t>
      </w:r>
    </w:p>
    <w:p w:rsidR="00D635A7" w:rsidRPr="001B772D" w:rsidRDefault="00D635A7" w:rsidP="00D635A7">
      <w:pPr>
        <w:pStyle w:val="SingleTxtG"/>
        <w:ind w:left="2268" w:hanging="1134"/>
        <w:rPr>
          <w:bCs/>
          <w:lang w:val="fr-FR"/>
        </w:rPr>
      </w:pPr>
      <w:r w:rsidRPr="001B772D">
        <w:rPr>
          <w:bCs/>
          <w:lang w:val="fr-FR"/>
        </w:rPr>
        <w:t>1.4.2</w:t>
      </w:r>
      <w:r w:rsidRPr="001B772D">
        <w:rPr>
          <w:bCs/>
          <w:lang w:val="fr-FR"/>
        </w:rPr>
        <w:tab/>
      </w:r>
      <w:r>
        <w:rPr>
          <w:bCs/>
          <w:lang w:val="fr-FR"/>
        </w:rPr>
        <w:t>E</w:t>
      </w:r>
      <w:r w:rsidRPr="001B772D">
        <w:rPr>
          <w:bCs/>
          <w:lang w:val="fr-FR"/>
        </w:rPr>
        <w:t>n cas de doute quant à la conformité de la ou des lampes à incandescence non remplaçables avec les exigences en matière de durée de vie ou, dans le cas de lampes à incandescence colorisées, par rapport aux prescriptions en matière de stabilité des couleurs</w:t>
      </w:r>
      <w:r>
        <w:rPr>
          <w:bCs/>
          <w:lang w:val="fr-FR"/>
        </w:rPr>
        <w:t>,</w:t>
      </w:r>
      <w:r w:rsidRPr="001B772D">
        <w:rPr>
          <w:bCs/>
          <w:lang w:val="fr-FR"/>
        </w:rPr>
        <w:t xml:space="preserve"> qui sont énoncées au paragraphe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 xml:space="preserve">4.11 de la </w:t>
      </w:r>
      <w:r>
        <w:rPr>
          <w:bCs/>
          <w:lang w:val="fr-FR"/>
        </w:rPr>
        <w:t>p</w:t>
      </w:r>
      <w:r w:rsidRPr="001B772D">
        <w:rPr>
          <w:bCs/>
          <w:lang w:val="fr-FR"/>
        </w:rPr>
        <w:t>ublication CEI 60809, troisième édition, la conformité doit être vérifiée (par le fabricant de la source lumineuse mentionné dans le dossier d</w:t>
      </w:r>
      <w:r>
        <w:rPr>
          <w:bCs/>
          <w:lang w:val="fr-FR"/>
        </w:rPr>
        <w:t>’</w:t>
      </w:r>
      <w:r w:rsidRPr="001B772D">
        <w:rPr>
          <w:bCs/>
          <w:lang w:val="fr-FR"/>
        </w:rPr>
        <w:t>homologation de type) comme spécifié au paragraphe</w:t>
      </w:r>
      <w:r>
        <w:rPr>
          <w:bCs/>
          <w:lang w:val="fr-FR"/>
        </w:rPr>
        <w:t> </w:t>
      </w:r>
      <w:r w:rsidRPr="001B772D">
        <w:rPr>
          <w:bCs/>
          <w:lang w:val="fr-FR"/>
        </w:rPr>
        <w:t>4.11 de la</w:t>
      </w:r>
      <w:r>
        <w:rPr>
          <w:bCs/>
          <w:lang w:val="fr-FR"/>
        </w:rPr>
        <w:t>dite</w:t>
      </w:r>
      <w:r w:rsidRPr="001B772D">
        <w:rPr>
          <w:bCs/>
          <w:lang w:val="fr-FR"/>
        </w:rPr>
        <w:t xml:space="preserve"> </w:t>
      </w:r>
      <w:r>
        <w:rPr>
          <w:bCs/>
          <w:lang w:val="fr-FR"/>
        </w:rPr>
        <w:t>p</w:t>
      </w:r>
      <w:r w:rsidRPr="001B772D">
        <w:rPr>
          <w:bCs/>
          <w:lang w:val="fr-FR"/>
        </w:rPr>
        <w:t>ublication.</w:t>
      </w:r>
      <w:r>
        <w:rPr>
          <w:bCs/>
          <w:lang w:val="fr-FR"/>
        </w:rPr>
        <w:t> ».</w:t>
      </w:r>
    </w:p>
    <w:p w:rsidR="00D635A7" w:rsidRPr="001B772D" w:rsidRDefault="00D635A7" w:rsidP="00D635A7">
      <w:pPr>
        <w:pStyle w:val="SingleTxtG"/>
        <w:keepNext/>
        <w:rPr>
          <w:i/>
          <w:lang w:val="fr-FR"/>
        </w:rPr>
      </w:pPr>
      <w:r w:rsidRPr="001B772D">
        <w:rPr>
          <w:i/>
          <w:lang w:val="fr-FR"/>
        </w:rPr>
        <w:t>Annexe 6</w:t>
      </w:r>
      <w:r w:rsidRPr="00F2732C">
        <w:rPr>
          <w:lang w:val="fr-FR"/>
        </w:rPr>
        <w:t xml:space="preserve"> </w:t>
      </w:r>
    </w:p>
    <w:p w:rsidR="00D635A7" w:rsidRPr="001B772D" w:rsidRDefault="00D635A7" w:rsidP="00D635A7">
      <w:pPr>
        <w:pStyle w:val="SingleTxtG"/>
        <w:keepNext/>
        <w:rPr>
          <w:lang w:val="fr-FR"/>
        </w:rPr>
      </w:pPr>
      <w:r w:rsidRPr="001B772D">
        <w:rPr>
          <w:i/>
          <w:lang w:val="fr-FR"/>
        </w:rPr>
        <w:t>Paragraphes 2 à 5</w:t>
      </w:r>
      <w:r w:rsidRPr="001B772D">
        <w:rPr>
          <w:lang w:val="fr-FR"/>
        </w:rPr>
        <w:t xml:space="preserve">, </w:t>
      </w:r>
      <w:r>
        <w:rPr>
          <w:lang w:val="fr-FR"/>
        </w:rPr>
        <w:t>lire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B772D">
        <w:rPr>
          <w:lang w:val="fr-FR"/>
        </w:rPr>
        <w:t>2.</w:t>
      </w:r>
      <w:r w:rsidRPr="001B772D">
        <w:rPr>
          <w:lang w:val="fr-FR"/>
        </w:rPr>
        <w:tab/>
        <w:t xml:space="preserve">Premier prélèvement 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Lors du premier prélèvement, quatre feux d</w:t>
      </w:r>
      <w:r>
        <w:rPr>
          <w:lang w:val="fr-FR"/>
        </w:rPr>
        <w:t>’</w:t>
      </w:r>
      <w:r w:rsidRPr="001B772D">
        <w:rPr>
          <w:lang w:val="fr-FR"/>
        </w:rPr>
        <w:t>angle sont choisis au hasard. La</w:t>
      </w:r>
      <w:r>
        <w:rPr>
          <w:lang w:val="fr-FR"/>
        </w:rPr>
        <w:t> </w:t>
      </w:r>
      <w:r w:rsidRPr="001B772D">
        <w:rPr>
          <w:lang w:val="fr-FR"/>
        </w:rPr>
        <w:t>lettre A est apposée sur le premier et le troisième, et la lettre B sur le deuxième et le quatrième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B13E43">
        <w:rPr>
          <w:bCs/>
          <w:lang w:val="fr-FR"/>
        </w:rPr>
        <w:lastRenderedPageBreak/>
        <w:t>2</w:t>
      </w:r>
      <w:r w:rsidRPr="001B772D">
        <w:rPr>
          <w:lang w:val="fr-FR"/>
        </w:rPr>
        <w:t>.1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ne doit pas être contestée si aucune valeur mesurée sur les feux des échantillons A et B ne s</w:t>
      </w:r>
      <w:r>
        <w:rPr>
          <w:lang w:val="fr-FR"/>
        </w:rPr>
        <w:t>’</w:t>
      </w:r>
      <w:r w:rsidRPr="001B772D">
        <w:rPr>
          <w:lang w:val="fr-FR"/>
        </w:rPr>
        <w:t>écarte de plus de 20 % (pour aucun des quatre feux)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Si l</w:t>
      </w:r>
      <w:r>
        <w:rPr>
          <w:lang w:val="fr-FR"/>
        </w:rPr>
        <w:t>’</w:t>
      </w:r>
      <w:r w:rsidRPr="001B772D">
        <w:rPr>
          <w:lang w:val="fr-FR"/>
        </w:rPr>
        <w:t>écart n</w:t>
      </w:r>
      <w:r>
        <w:rPr>
          <w:lang w:val="fr-FR"/>
        </w:rPr>
        <w:t>’</w:t>
      </w:r>
      <w:r w:rsidRPr="001B772D">
        <w:rPr>
          <w:lang w:val="fr-FR"/>
        </w:rPr>
        <w:t xml:space="preserve">est pas supérieur à </w:t>
      </w:r>
      <w:r w:rsidRPr="001B772D">
        <w:rPr>
          <w:bCs/>
          <w:lang w:val="fr-FR"/>
        </w:rPr>
        <w:t>0</w:t>
      </w:r>
      <w:r w:rsidRPr="001B772D">
        <w:rPr>
          <w:lang w:val="fr-FR"/>
        </w:rPr>
        <w:t> % pour les deux feux d</w:t>
      </w:r>
      <w:r>
        <w:rPr>
          <w:lang w:val="fr-FR"/>
        </w:rPr>
        <w:t>’</w:t>
      </w:r>
      <w:r w:rsidRPr="001B772D">
        <w:rPr>
          <w:lang w:val="fr-FR"/>
        </w:rPr>
        <w:t>angle de l</w:t>
      </w:r>
      <w:r>
        <w:rPr>
          <w:lang w:val="fr-FR"/>
        </w:rPr>
        <w:t>’</w:t>
      </w:r>
      <w:r w:rsidRPr="001B772D">
        <w:rPr>
          <w:lang w:val="fr-FR"/>
        </w:rPr>
        <w:t>échantillon A</w:t>
      </w:r>
      <w:r>
        <w:rPr>
          <w:lang w:val="fr-FR"/>
        </w:rPr>
        <w:t>,</w:t>
      </w:r>
      <w:r w:rsidRPr="001B772D">
        <w:rPr>
          <w:lang w:val="fr-FR"/>
        </w:rPr>
        <w:t xml:space="preserve"> on peut arrêter les mesures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2.2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doit être contestée si l</w:t>
      </w:r>
      <w:r>
        <w:rPr>
          <w:lang w:val="fr-FR"/>
        </w:rPr>
        <w:t>’</w:t>
      </w:r>
      <w:r w:rsidRPr="001B772D">
        <w:rPr>
          <w:lang w:val="fr-FR"/>
        </w:rPr>
        <w:t>écart de la valeur mesurée sur a</w:t>
      </w:r>
      <w:r>
        <w:rPr>
          <w:lang w:val="fr-FR"/>
        </w:rPr>
        <w:t xml:space="preserve">u moins un feu des échantillons </w:t>
      </w:r>
      <w:r w:rsidRPr="001B772D">
        <w:rPr>
          <w:lang w:val="fr-FR"/>
        </w:rPr>
        <w:t>A ou B dépasse 20 %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 fabricant doit être prié de mettre sa production en conformité avec les prescriptions et il fau</w:t>
      </w:r>
      <w:r>
        <w:rPr>
          <w:lang w:val="fr-FR"/>
        </w:rPr>
        <w:t>t</w:t>
      </w:r>
      <w:r w:rsidRPr="001B772D">
        <w:rPr>
          <w:lang w:val="fr-FR"/>
        </w:rPr>
        <w:t xml:space="preserve"> procéder à un deuxième prélèvement, conformément au paragraphe 3, dans les deux mois qui suivent la notification. Les échantillons A et B doivent être conservés par le service technique jusqu</w:t>
      </w:r>
      <w:r>
        <w:rPr>
          <w:lang w:val="fr-FR"/>
        </w:rPr>
        <w:t>’</w:t>
      </w:r>
      <w:r w:rsidRPr="001B772D">
        <w:rPr>
          <w:lang w:val="fr-FR"/>
        </w:rPr>
        <w:t xml:space="preserve">à la fin du processus de vérification de la conformité. 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</w:t>
      </w:r>
      <w:r w:rsidRPr="001B772D">
        <w:rPr>
          <w:lang w:val="fr-FR"/>
        </w:rPr>
        <w:tab/>
        <w:t xml:space="preserve">Deuxième prélèvement 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On choisit au hasard un échantillon de quatre feux parmi le stock produit après mise en conformité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La lettre</w:t>
      </w:r>
      <w:r>
        <w:rPr>
          <w:lang w:val="fr-FR"/>
        </w:rPr>
        <w:t xml:space="preserve"> </w:t>
      </w:r>
      <w:r w:rsidRPr="001B772D">
        <w:rPr>
          <w:lang w:val="fr-FR"/>
        </w:rPr>
        <w:t>C est apposée sur le premier et le troisième, et la lettre</w:t>
      </w:r>
      <w:r>
        <w:rPr>
          <w:lang w:val="fr-FR"/>
        </w:rPr>
        <w:t xml:space="preserve"> </w:t>
      </w:r>
      <w:r w:rsidRPr="001B772D">
        <w:rPr>
          <w:lang w:val="fr-FR"/>
        </w:rPr>
        <w:t>D sur le deuxième et le quatrième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3.1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ne doit pas être contestée si aucune valeur mesurée sur les feux des échantillons</w:t>
      </w:r>
      <w:r>
        <w:rPr>
          <w:lang w:val="fr-FR"/>
        </w:rPr>
        <w:t xml:space="preserve"> </w:t>
      </w:r>
      <w:r w:rsidRPr="001B772D">
        <w:rPr>
          <w:lang w:val="fr-FR"/>
        </w:rPr>
        <w:t>C et D ne s</w:t>
      </w:r>
      <w:r>
        <w:rPr>
          <w:lang w:val="fr-FR"/>
        </w:rPr>
        <w:t>’</w:t>
      </w:r>
      <w:r w:rsidRPr="001B772D">
        <w:rPr>
          <w:lang w:val="fr-FR"/>
        </w:rPr>
        <w:t>écarte de plus de 20 % (pour aucun des quatre feux)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Si l</w:t>
      </w:r>
      <w:r>
        <w:rPr>
          <w:lang w:val="fr-FR"/>
        </w:rPr>
        <w:t>’</w:t>
      </w:r>
      <w:r w:rsidRPr="001B772D">
        <w:rPr>
          <w:lang w:val="fr-FR"/>
        </w:rPr>
        <w:t>écart n</w:t>
      </w:r>
      <w:r>
        <w:rPr>
          <w:lang w:val="fr-FR"/>
        </w:rPr>
        <w:t>’</w:t>
      </w:r>
      <w:r w:rsidRPr="001B772D">
        <w:rPr>
          <w:lang w:val="fr-FR"/>
        </w:rPr>
        <w:t xml:space="preserve">est pas supérieur à </w:t>
      </w:r>
      <w:r w:rsidRPr="001B772D">
        <w:rPr>
          <w:bCs/>
          <w:lang w:val="fr-FR"/>
        </w:rPr>
        <w:t>0</w:t>
      </w:r>
      <w:r w:rsidRPr="001B772D">
        <w:rPr>
          <w:lang w:val="fr-FR"/>
        </w:rPr>
        <w:t> % pour les deux feux d</w:t>
      </w:r>
      <w:r>
        <w:rPr>
          <w:lang w:val="fr-FR"/>
        </w:rPr>
        <w:t>’</w:t>
      </w:r>
      <w:r w:rsidRPr="001B772D">
        <w:rPr>
          <w:lang w:val="fr-FR"/>
        </w:rPr>
        <w:t>angle de l</w:t>
      </w:r>
      <w:r>
        <w:rPr>
          <w:lang w:val="fr-FR"/>
        </w:rPr>
        <w:t>’</w:t>
      </w:r>
      <w:r w:rsidRPr="001B772D">
        <w:rPr>
          <w:lang w:val="fr-FR"/>
        </w:rPr>
        <w:t>échantillon C</w:t>
      </w:r>
      <w:r>
        <w:rPr>
          <w:lang w:val="fr-FR"/>
        </w:rPr>
        <w:t>,</w:t>
      </w:r>
      <w:r w:rsidRPr="001B772D">
        <w:rPr>
          <w:lang w:val="fr-FR"/>
        </w:rPr>
        <w:t xml:space="preserve"> on peut arrêter les mesures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keepNext/>
        <w:ind w:left="2268" w:hanging="1134"/>
        <w:rPr>
          <w:lang w:val="fr-FR"/>
        </w:rPr>
      </w:pPr>
      <w:r w:rsidRPr="001B772D">
        <w:rPr>
          <w:lang w:val="fr-FR"/>
        </w:rPr>
        <w:t>3.2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doit être contestée si l</w:t>
      </w:r>
      <w:r>
        <w:rPr>
          <w:lang w:val="fr-FR"/>
        </w:rPr>
        <w:t>’</w:t>
      </w:r>
      <w:r w:rsidRPr="001B772D">
        <w:rPr>
          <w:lang w:val="fr-FR"/>
        </w:rPr>
        <w:t>écart de la valeur mesurée sur au moins</w:t>
      </w:r>
      <w:r>
        <w:rPr>
          <w:lang w:val="fr-FR"/>
        </w:rPr>
        <w:t> </w:t>
      </w:r>
      <w:r w:rsidRPr="001B772D">
        <w:rPr>
          <w:lang w:val="fr-FR"/>
        </w:rPr>
        <w:t>: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3.2.1</w:t>
      </w:r>
      <w:r w:rsidRPr="001B772D">
        <w:rPr>
          <w:lang w:val="fr-FR"/>
        </w:rPr>
        <w:tab/>
        <w:t>Un feu des échantillons C et D dépasse 20</w:t>
      </w:r>
      <w:r>
        <w:rPr>
          <w:lang w:val="fr-FR"/>
        </w:rPr>
        <w:t> </w:t>
      </w:r>
      <w:r w:rsidRPr="001B772D">
        <w:rPr>
          <w:lang w:val="fr-FR"/>
        </w:rPr>
        <w:t>% mais l</w:t>
      </w:r>
      <w:r>
        <w:rPr>
          <w:lang w:val="fr-FR"/>
        </w:rPr>
        <w:t>’</w:t>
      </w:r>
      <w:r w:rsidRPr="001B772D">
        <w:rPr>
          <w:lang w:val="fr-FR"/>
        </w:rPr>
        <w:t>écart de l</w:t>
      </w:r>
      <w:r>
        <w:rPr>
          <w:lang w:val="fr-FR"/>
        </w:rPr>
        <w:t>’</w:t>
      </w:r>
      <w:r w:rsidRPr="001B772D">
        <w:rPr>
          <w:lang w:val="fr-FR"/>
        </w:rPr>
        <w:t>ensemble de ces échantillons ne dépasse pas 30</w:t>
      </w:r>
      <w:r>
        <w:rPr>
          <w:lang w:val="fr-FR"/>
        </w:rPr>
        <w:t> </w:t>
      </w:r>
      <w:r w:rsidRPr="001B772D">
        <w:rPr>
          <w:lang w:val="fr-FR"/>
        </w:rPr>
        <w:t>%</w:t>
      </w:r>
      <w:r>
        <w:rPr>
          <w:lang w:val="fr-FR"/>
        </w:rPr>
        <w:t>.</w:t>
      </w:r>
    </w:p>
    <w:p w:rsidR="00D635A7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Le fabricant doit être à nouveau prié de mettre sa production en conformité avec les prescriptions</w:t>
      </w:r>
      <w:r>
        <w:rPr>
          <w:lang w:val="fr-FR"/>
        </w:rPr>
        <w:t xml:space="preserve">. 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>Il faut procéder à un troisième prélèvement</w:t>
      </w:r>
      <w:r>
        <w:rPr>
          <w:lang w:val="fr-FR"/>
        </w:rPr>
        <w:t>,</w:t>
      </w:r>
      <w:r w:rsidRPr="001B772D">
        <w:rPr>
          <w:lang w:val="fr-FR"/>
        </w:rPr>
        <w:t xml:space="preserve"> conformément au paragraphe 4 ci-après, dans les deux mois qui suivent la notification. Les échantillons C et D doivent être conservés par le service technique jusqu</w:t>
      </w:r>
      <w:r>
        <w:rPr>
          <w:lang w:val="fr-FR"/>
        </w:rPr>
        <w:t>’</w:t>
      </w:r>
      <w:r w:rsidRPr="001B772D">
        <w:rPr>
          <w:lang w:val="fr-FR"/>
        </w:rPr>
        <w:t>à la fin du processus de vérification de la conformité</w:t>
      </w:r>
      <w:r>
        <w:rPr>
          <w:lang w:val="fr-FR"/>
        </w:rPr>
        <w:t>.</w:t>
      </w:r>
      <w:r w:rsidRPr="001B772D">
        <w:rPr>
          <w:lang w:val="fr-FR"/>
        </w:rPr>
        <w:t xml:space="preserve"> 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3.2.2</w:t>
      </w:r>
      <w:r w:rsidRPr="001B772D">
        <w:rPr>
          <w:lang w:val="fr-FR"/>
        </w:rPr>
        <w:tab/>
        <w:t>Un feu des échantillons C ou D dépasse 30</w:t>
      </w:r>
      <w:r>
        <w:rPr>
          <w:lang w:val="fr-FR"/>
        </w:rPr>
        <w:t> </w:t>
      </w:r>
      <w:r w:rsidRPr="001B772D">
        <w:rPr>
          <w:lang w:val="fr-FR"/>
        </w:rPr>
        <w:t>%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Dans ce cas, il faut retirer l</w:t>
      </w:r>
      <w:r>
        <w:rPr>
          <w:lang w:val="fr-FR"/>
        </w:rPr>
        <w:t>’</w:t>
      </w:r>
      <w:r w:rsidRPr="001B772D">
        <w:rPr>
          <w:lang w:val="fr-FR"/>
        </w:rPr>
        <w:t>homologation</w:t>
      </w:r>
      <w:r>
        <w:rPr>
          <w:lang w:val="fr-FR"/>
        </w:rPr>
        <w:t xml:space="preserve"> conformément aux</w:t>
      </w:r>
      <w:r w:rsidRPr="001B772D">
        <w:rPr>
          <w:lang w:val="fr-FR"/>
        </w:rPr>
        <w:t xml:space="preserve"> dispositions du paragraphe</w:t>
      </w:r>
      <w:r>
        <w:rPr>
          <w:lang w:val="fr-FR"/>
        </w:rPr>
        <w:t> </w:t>
      </w:r>
      <w:r w:rsidRPr="001B772D">
        <w:rPr>
          <w:lang w:val="fr-FR"/>
        </w:rPr>
        <w:t>5 ci-dessous.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4.</w:t>
      </w:r>
      <w:r w:rsidRPr="001B772D">
        <w:rPr>
          <w:lang w:val="fr-FR"/>
        </w:rPr>
        <w:tab/>
        <w:t>Troisième prélèvement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On choisit au hasard quatre feux d</w:t>
      </w:r>
      <w:r>
        <w:rPr>
          <w:lang w:val="fr-FR"/>
        </w:rPr>
        <w:t>’</w:t>
      </w:r>
      <w:r w:rsidRPr="001B772D">
        <w:rPr>
          <w:lang w:val="fr-FR"/>
        </w:rPr>
        <w:t>angle parmi le stock produit après mise en conformité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La lettre E est apposée sur le premier et le troisième, et la lettre F sur le deuxième et le quatrième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4.1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ne doit pas être contestée si aucune valeur mesurée sur les feux des échantillons E et F ne s</w:t>
      </w:r>
      <w:r>
        <w:rPr>
          <w:lang w:val="fr-FR"/>
        </w:rPr>
        <w:t>’</w:t>
      </w:r>
      <w:r w:rsidRPr="001B772D">
        <w:rPr>
          <w:lang w:val="fr-FR"/>
        </w:rPr>
        <w:t>écarte de plus de 20</w:t>
      </w:r>
      <w:r>
        <w:rPr>
          <w:lang w:val="fr-FR"/>
        </w:rPr>
        <w:t> </w:t>
      </w:r>
      <w:r w:rsidRPr="001B772D">
        <w:rPr>
          <w:lang w:val="fr-FR"/>
        </w:rPr>
        <w:t>% (pour aucun des quatre feux)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Si l</w:t>
      </w:r>
      <w:r>
        <w:rPr>
          <w:lang w:val="fr-FR"/>
        </w:rPr>
        <w:t>’</w:t>
      </w:r>
      <w:r w:rsidRPr="001B772D">
        <w:rPr>
          <w:lang w:val="fr-FR"/>
        </w:rPr>
        <w:t>écart n</w:t>
      </w:r>
      <w:r>
        <w:rPr>
          <w:lang w:val="fr-FR"/>
        </w:rPr>
        <w:t>’</w:t>
      </w:r>
      <w:r w:rsidRPr="001B772D">
        <w:rPr>
          <w:lang w:val="fr-FR"/>
        </w:rPr>
        <w:t>est pas supérieur à 0</w:t>
      </w:r>
      <w:r>
        <w:rPr>
          <w:lang w:val="fr-FR"/>
        </w:rPr>
        <w:t> </w:t>
      </w:r>
      <w:r w:rsidRPr="001B772D">
        <w:rPr>
          <w:lang w:val="fr-FR"/>
        </w:rPr>
        <w:t>% pour les deux feux d</w:t>
      </w:r>
      <w:r>
        <w:rPr>
          <w:lang w:val="fr-FR"/>
        </w:rPr>
        <w:t>’</w:t>
      </w:r>
      <w:r w:rsidRPr="001B772D">
        <w:rPr>
          <w:lang w:val="fr-FR"/>
        </w:rPr>
        <w:t>angle de l</w:t>
      </w:r>
      <w:r>
        <w:rPr>
          <w:lang w:val="fr-FR"/>
        </w:rPr>
        <w:t>’</w:t>
      </w:r>
      <w:r w:rsidRPr="001B772D">
        <w:rPr>
          <w:lang w:val="fr-FR"/>
        </w:rPr>
        <w:t>échantillon E</w:t>
      </w:r>
      <w:r>
        <w:rPr>
          <w:lang w:val="fr-FR"/>
        </w:rPr>
        <w:t>,</w:t>
      </w:r>
      <w:r w:rsidRPr="001B772D">
        <w:rPr>
          <w:lang w:val="fr-FR"/>
        </w:rPr>
        <w:t xml:space="preserve"> on peut arrêter les mesures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t>4.2</w:t>
      </w:r>
      <w:r w:rsidRPr="001B772D">
        <w:rPr>
          <w:lang w:val="fr-FR"/>
        </w:rPr>
        <w:tab/>
        <w:t>La conformité des feux d</w:t>
      </w:r>
      <w:r>
        <w:rPr>
          <w:lang w:val="fr-FR"/>
        </w:rPr>
        <w:t>’</w:t>
      </w:r>
      <w:r w:rsidRPr="001B772D">
        <w:rPr>
          <w:lang w:val="fr-FR"/>
        </w:rPr>
        <w:t>angle de série doit être contestée si l</w:t>
      </w:r>
      <w:r>
        <w:rPr>
          <w:lang w:val="fr-FR"/>
        </w:rPr>
        <w:t>’</w:t>
      </w:r>
      <w:r w:rsidRPr="001B772D">
        <w:rPr>
          <w:lang w:val="fr-FR"/>
        </w:rPr>
        <w:t>écart de la valeur mesurée sur au moins un feu des échantillons E ou F dépasse 20</w:t>
      </w:r>
      <w:r>
        <w:rPr>
          <w:lang w:val="fr-FR"/>
        </w:rPr>
        <w:t> </w:t>
      </w:r>
      <w:r w:rsidRPr="001B772D">
        <w:rPr>
          <w:lang w:val="fr-FR"/>
        </w:rPr>
        <w:t>%</w:t>
      </w:r>
      <w:r>
        <w:rPr>
          <w:lang w:val="fr-FR"/>
        </w:rPr>
        <w:t>.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  <w:t>Dans ce cas, il faut retirer l</w:t>
      </w:r>
      <w:r>
        <w:rPr>
          <w:lang w:val="fr-FR"/>
        </w:rPr>
        <w:t>’</w:t>
      </w:r>
      <w:r w:rsidRPr="001B772D">
        <w:rPr>
          <w:lang w:val="fr-FR"/>
        </w:rPr>
        <w:t xml:space="preserve">homologation </w:t>
      </w:r>
      <w:r>
        <w:rPr>
          <w:lang w:val="fr-FR"/>
        </w:rPr>
        <w:t>conformément aux</w:t>
      </w:r>
      <w:r w:rsidRPr="001B772D">
        <w:rPr>
          <w:lang w:val="fr-FR"/>
        </w:rPr>
        <w:t xml:space="preserve"> dispositions du paragraphe</w:t>
      </w:r>
      <w:r>
        <w:rPr>
          <w:lang w:val="fr-FR"/>
        </w:rPr>
        <w:t> </w:t>
      </w:r>
      <w:r w:rsidRPr="001B772D">
        <w:rPr>
          <w:lang w:val="fr-FR"/>
        </w:rPr>
        <w:t>5 ci-dessous.</w:t>
      </w:r>
    </w:p>
    <w:p w:rsidR="00D635A7" w:rsidRPr="001B772D" w:rsidRDefault="00D635A7" w:rsidP="00D635A7">
      <w:pPr>
        <w:pStyle w:val="SingleTxtG"/>
        <w:ind w:left="2268" w:hanging="1134"/>
        <w:rPr>
          <w:lang w:val="fr-FR"/>
        </w:rPr>
      </w:pPr>
      <w:r w:rsidRPr="001B772D">
        <w:rPr>
          <w:lang w:val="fr-FR"/>
        </w:rPr>
        <w:lastRenderedPageBreak/>
        <w:t>5.</w:t>
      </w:r>
      <w:r w:rsidRPr="001B772D">
        <w:rPr>
          <w:lang w:val="fr-FR"/>
        </w:rPr>
        <w:tab/>
        <w:t>Retrait de l</w:t>
      </w:r>
      <w:r>
        <w:rPr>
          <w:lang w:val="fr-FR"/>
        </w:rPr>
        <w:t>’</w:t>
      </w:r>
      <w:r w:rsidRPr="001B772D">
        <w:rPr>
          <w:lang w:val="fr-FR"/>
        </w:rPr>
        <w:t xml:space="preserve">homologation </w:t>
      </w:r>
    </w:p>
    <w:p w:rsidR="00D635A7" w:rsidRPr="001B772D" w:rsidRDefault="00D635A7" w:rsidP="00D635A7">
      <w:pPr>
        <w:pStyle w:val="SingleTxtG"/>
        <w:ind w:left="2268"/>
        <w:rPr>
          <w:lang w:val="fr-FR"/>
        </w:rPr>
      </w:pPr>
      <w:r w:rsidRPr="001B772D">
        <w:rPr>
          <w:lang w:val="fr-FR"/>
        </w:rPr>
        <w:tab/>
      </w:r>
      <w:r>
        <w:rPr>
          <w:lang w:val="fr-FR"/>
        </w:rPr>
        <w:t>L’</w:t>
      </w:r>
      <w:r w:rsidRPr="001B772D">
        <w:rPr>
          <w:lang w:val="fr-FR"/>
        </w:rPr>
        <w:t xml:space="preserve">homologation </w:t>
      </w:r>
      <w:r>
        <w:rPr>
          <w:lang w:val="fr-FR"/>
        </w:rPr>
        <w:t xml:space="preserve">doit être retirée </w:t>
      </w:r>
      <w:r w:rsidRPr="001B772D">
        <w:rPr>
          <w:lang w:val="fr-FR"/>
        </w:rPr>
        <w:t>en vertu du paragraphe</w:t>
      </w:r>
      <w:r>
        <w:rPr>
          <w:lang w:val="fr-FR"/>
        </w:rPr>
        <w:t xml:space="preserve"> </w:t>
      </w:r>
      <w:r w:rsidRPr="001B772D">
        <w:rPr>
          <w:lang w:val="fr-FR"/>
        </w:rPr>
        <w:t>10 du présent Règlement.</w:t>
      </w:r>
      <w:r>
        <w:rPr>
          <w:lang w:val="fr-FR"/>
        </w:rPr>
        <w:t> </w:t>
      </w:r>
      <w:r w:rsidRPr="001B772D">
        <w:rPr>
          <w:lang w:val="fr-FR"/>
        </w:rPr>
        <w:t>».</w:t>
      </w:r>
    </w:p>
    <w:p w:rsidR="005F0207" w:rsidRDefault="00D635A7" w:rsidP="00D635A7">
      <w:pPr>
        <w:pStyle w:val="SingleTxtG"/>
        <w:rPr>
          <w:lang w:val="fr-FR"/>
        </w:rPr>
      </w:pPr>
      <w:r w:rsidRPr="001B772D">
        <w:rPr>
          <w:i/>
          <w:lang w:val="fr-FR"/>
        </w:rPr>
        <w:t>Figure 1</w:t>
      </w:r>
      <w:r w:rsidRPr="001B772D">
        <w:rPr>
          <w:lang w:val="fr-FR"/>
        </w:rPr>
        <w:t>, supprimer.</w:t>
      </w:r>
    </w:p>
    <w:p w:rsidR="00D635A7" w:rsidRPr="00D635A7" w:rsidRDefault="00D635A7" w:rsidP="00D635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35A7" w:rsidRPr="00D635A7" w:rsidSect="00D635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07" w:rsidRDefault="00A82907"/>
  </w:endnote>
  <w:endnote w:type="continuationSeparator" w:id="0">
    <w:p w:rsidR="00A82907" w:rsidRDefault="00A82907">
      <w:pPr>
        <w:pStyle w:val="Pieddepage"/>
      </w:pPr>
    </w:p>
  </w:endnote>
  <w:endnote w:type="continuationNotice" w:id="1">
    <w:p w:rsidR="00A82907" w:rsidRPr="00C451B9" w:rsidRDefault="00A8290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A7" w:rsidRPr="00D635A7" w:rsidRDefault="00D635A7" w:rsidP="00D635A7">
    <w:pPr>
      <w:pStyle w:val="Pieddepage"/>
      <w:tabs>
        <w:tab w:val="right" w:pos="9638"/>
      </w:tabs>
    </w:pPr>
    <w:r w:rsidRPr="00D635A7">
      <w:rPr>
        <w:b/>
        <w:sz w:val="18"/>
      </w:rPr>
      <w:fldChar w:fldCharType="begin"/>
    </w:r>
    <w:r w:rsidRPr="00D635A7">
      <w:rPr>
        <w:b/>
        <w:sz w:val="18"/>
      </w:rPr>
      <w:instrText xml:space="preserve"> PAGE  \* MERGEFORMAT </w:instrText>
    </w:r>
    <w:r w:rsidRPr="00D635A7">
      <w:rPr>
        <w:b/>
        <w:sz w:val="18"/>
      </w:rPr>
      <w:fldChar w:fldCharType="separate"/>
    </w:r>
    <w:r w:rsidR="00B322D1">
      <w:rPr>
        <w:b/>
        <w:noProof/>
        <w:sz w:val="18"/>
      </w:rPr>
      <w:t>6</w:t>
    </w:r>
    <w:r w:rsidRPr="00D635A7">
      <w:rPr>
        <w:b/>
        <w:sz w:val="18"/>
      </w:rPr>
      <w:fldChar w:fldCharType="end"/>
    </w:r>
    <w:r>
      <w:rPr>
        <w:b/>
        <w:sz w:val="18"/>
      </w:rPr>
      <w:tab/>
    </w:r>
    <w:r>
      <w:t>GE.17-22232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A7" w:rsidRPr="00D635A7" w:rsidRDefault="00D635A7" w:rsidP="00D635A7">
    <w:pPr>
      <w:pStyle w:val="Pieddepage"/>
      <w:tabs>
        <w:tab w:val="right" w:pos="9638"/>
      </w:tabs>
      <w:rPr>
        <w:b/>
        <w:sz w:val="18"/>
      </w:rPr>
    </w:pPr>
    <w:r>
      <w:t>GE.17-22232</w:t>
    </w:r>
    <w:r>
      <w:tab/>
    </w:r>
    <w:r w:rsidRPr="00D635A7">
      <w:rPr>
        <w:b/>
        <w:sz w:val="18"/>
      </w:rPr>
      <w:fldChar w:fldCharType="begin"/>
    </w:r>
    <w:r w:rsidRPr="00D635A7">
      <w:rPr>
        <w:b/>
        <w:sz w:val="18"/>
      </w:rPr>
      <w:instrText xml:space="preserve"> PAGE  \* MERGEFORMAT </w:instrText>
    </w:r>
    <w:r w:rsidRPr="00D635A7">
      <w:rPr>
        <w:b/>
        <w:sz w:val="18"/>
      </w:rPr>
      <w:fldChar w:fldCharType="separate"/>
    </w:r>
    <w:r w:rsidR="00B322D1">
      <w:rPr>
        <w:b/>
        <w:noProof/>
        <w:sz w:val="18"/>
      </w:rPr>
      <w:t>5</w:t>
    </w:r>
    <w:r w:rsidRPr="00D635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D635A7" w:rsidRDefault="00D635A7" w:rsidP="00D635A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17-22232  (F)    081118    211118</w:t>
    </w:r>
    <w:r>
      <w:rPr>
        <w:sz w:val="20"/>
      </w:rPr>
      <w:br/>
    </w:r>
    <w:r w:rsidRPr="00D635A7">
      <w:rPr>
        <w:rFonts w:ascii="C39T30Lfz" w:hAnsi="C39T30Lfz"/>
        <w:sz w:val="56"/>
      </w:rPr>
      <w:t></w:t>
    </w:r>
    <w:r w:rsidRPr="00D635A7">
      <w:rPr>
        <w:rFonts w:ascii="C39T30Lfz" w:hAnsi="C39T30Lfz"/>
        <w:sz w:val="56"/>
      </w:rPr>
      <w:t></w:t>
    </w:r>
    <w:r w:rsidRPr="00D635A7">
      <w:rPr>
        <w:rFonts w:ascii="C39T30Lfz" w:hAnsi="C39T30Lfz"/>
        <w:sz w:val="56"/>
      </w:rPr>
      <w:t></w:t>
    </w:r>
    <w:r w:rsidRPr="00D635A7">
      <w:rPr>
        <w:rFonts w:ascii="C39T30Lfz" w:hAnsi="C39T30Lfz"/>
        <w:sz w:val="56"/>
      </w:rPr>
      <w:t></w:t>
    </w:r>
    <w:r w:rsidRPr="00D635A7">
      <w:rPr>
        <w:rFonts w:ascii="C39T30Lfz" w:hAnsi="C39T30Lfz"/>
        <w:sz w:val="56"/>
      </w:rPr>
      <w:t></w:t>
    </w:r>
    <w:r w:rsidRPr="00D635A7">
      <w:rPr>
        <w:rFonts w:ascii="C39T30Lfz" w:hAnsi="C39T30Lfz"/>
        <w:sz w:val="56"/>
      </w:rPr>
      <w:t></w:t>
    </w:r>
    <w:r w:rsidRPr="00D635A7">
      <w:rPr>
        <w:rFonts w:ascii="C39T30Lfz" w:hAnsi="C39T30Lfz"/>
        <w:sz w:val="56"/>
      </w:rPr>
      <w:t></w:t>
    </w:r>
    <w:r w:rsidRPr="00D635A7">
      <w:rPr>
        <w:rFonts w:ascii="C39T30Lfz" w:hAnsi="C39T30Lfz"/>
        <w:sz w:val="56"/>
      </w:rPr>
      <w:t></w:t>
    </w:r>
    <w:r w:rsidRPr="00D635A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8/Rev.1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8/Rev.1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07" w:rsidRPr="00D27D5E" w:rsidRDefault="00A8290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2907" w:rsidRPr="00D171D4" w:rsidRDefault="00A8290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82907" w:rsidRPr="00C451B9" w:rsidRDefault="00A82907" w:rsidP="00C451B9">
      <w:pPr>
        <w:spacing w:line="240" w:lineRule="auto"/>
        <w:rPr>
          <w:sz w:val="2"/>
          <w:szCs w:val="2"/>
        </w:rPr>
      </w:pPr>
    </w:p>
  </w:footnote>
  <w:footnote w:id="2">
    <w:p w:rsidR="00D635A7" w:rsidRPr="00746059" w:rsidRDefault="00D635A7" w:rsidP="00D635A7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Anciens titres de l’Accord :</w:t>
      </w:r>
    </w:p>
    <w:p w:rsidR="00D635A7" w:rsidRPr="00746059" w:rsidRDefault="00D635A7" w:rsidP="00D635A7">
      <w:pPr>
        <w:pStyle w:val="Notedebasdepage"/>
        <w:rPr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>
        <w:rPr>
          <w:lang w:val="fr-FR"/>
        </w:rPr>
        <w:t> </w:t>
      </w:r>
      <w:r>
        <w:rPr>
          <w:lang w:val="fr-FR"/>
        </w:rPr>
        <w:t>20</w:t>
      </w:r>
      <w:r>
        <w:rPr>
          <w:lang w:val="fr-FR"/>
        </w:rPr>
        <w:t> </w:t>
      </w:r>
      <w:r>
        <w:rPr>
          <w:lang w:val="fr-FR"/>
        </w:rPr>
        <w:t>mars 1958 (version originale).</w:t>
      </w:r>
    </w:p>
    <w:p w:rsidR="00D635A7" w:rsidRPr="00746059" w:rsidRDefault="00D635A7" w:rsidP="00D635A7">
      <w:pPr>
        <w:pStyle w:val="Notedebasdepage"/>
      </w:pPr>
      <w:r>
        <w:rPr>
          <w:lang w:val="fr-FR"/>
        </w:rPr>
        <w:tab/>
      </w:r>
      <w:r>
        <w:rPr>
          <w:lang w:val="fr-FR"/>
        </w:rPr>
        <w:tab/>
        <w:t>Accord concernant l’adoption de prescriptions techniques uniformes applicables aux véhicules à</w:t>
      </w:r>
      <w:r>
        <w:rPr>
          <w:lang w:val="fr-FR"/>
        </w:rPr>
        <w:t> </w:t>
      </w:r>
      <w:r>
        <w:rPr>
          <w:lang w:val="fr-FR"/>
        </w:rPr>
        <w:t>roues, aux équipements et aux pièces susceptibles d’être montés ou utilisés sur un véhicule à roues et les conditions de reconnaissance réciproque des homologations délivrées conformément à ces prescri</w:t>
      </w:r>
      <w:r>
        <w:rPr>
          <w:lang w:val="fr-FR"/>
        </w:rPr>
        <w:t>ptions, en date, à Genève, du 5 </w:t>
      </w:r>
      <w:r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A7" w:rsidRPr="00D635A7" w:rsidRDefault="00D635A7">
    <w:pPr>
      <w:pStyle w:val="En-tte"/>
      <w:rPr>
        <w:lang w:val="en-US"/>
      </w:rPr>
    </w:pPr>
    <w:r>
      <w:fldChar w:fldCharType="begin"/>
    </w:r>
    <w:r w:rsidRPr="00D635A7">
      <w:rPr>
        <w:lang w:val="en-US"/>
      </w:rPr>
      <w:instrText xml:space="preserve"> TITLE  \* MERGEFORMAT </w:instrText>
    </w:r>
    <w:r>
      <w:fldChar w:fldCharType="separate"/>
    </w:r>
    <w:r w:rsidR="00B322D1">
      <w:rPr>
        <w:lang w:val="en-US"/>
      </w:rPr>
      <w:t>E/ECE/324/Rev.2/Add.118/Rev.1/Amend.5</w:t>
    </w:r>
    <w:r>
      <w:fldChar w:fldCharType="end"/>
    </w:r>
    <w:r w:rsidRPr="00D635A7">
      <w:rPr>
        <w:lang w:val="en-US"/>
      </w:rPr>
      <w:br/>
    </w:r>
    <w:r>
      <w:fldChar w:fldCharType="begin"/>
    </w:r>
    <w:r w:rsidRPr="00D635A7">
      <w:rPr>
        <w:lang w:val="en-US"/>
      </w:rPr>
      <w:instrText xml:space="preserve"> KEYWORDS  \* MERGEFORMAT </w:instrText>
    </w:r>
    <w:r>
      <w:fldChar w:fldCharType="separate"/>
    </w:r>
    <w:r w:rsidR="00B322D1">
      <w:rPr>
        <w:lang w:val="en-US"/>
      </w:rPr>
      <w:t>E/ECE/TRANS/505/Rev.2/Add.118/Rev.1/Amend.5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A7" w:rsidRPr="00D635A7" w:rsidRDefault="00D635A7" w:rsidP="00D635A7">
    <w:pPr>
      <w:pStyle w:val="En-tte"/>
      <w:jc w:val="right"/>
      <w:rPr>
        <w:lang w:val="en-US"/>
      </w:rPr>
    </w:pPr>
    <w:r>
      <w:fldChar w:fldCharType="begin"/>
    </w:r>
    <w:r w:rsidRPr="00D635A7">
      <w:rPr>
        <w:lang w:val="en-US"/>
      </w:rPr>
      <w:instrText xml:space="preserve"> TITLE  \* MERGEFORMAT </w:instrText>
    </w:r>
    <w:r>
      <w:fldChar w:fldCharType="separate"/>
    </w:r>
    <w:r w:rsidR="00B322D1">
      <w:rPr>
        <w:lang w:val="en-US"/>
      </w:rPr>
      <w:t>E/ECE/324/Rev.2/Add.118/Rev.1/Amend.5</w:t>
    </w:r>
    <w:r>
      <w:fldChar w:fldCharType="end"/>
    </w:r>
    <w:r w:rsidRPr="00D635A7">
      <w:rPr>
        <w:lang w:val="en-US"/>
      </w:rPr>
      <w:br/>
    </w:r>
    <w:r>
      <w:fldChar w:fldCharType="begin"/>
    </w:r>
    <w:r w:rsidRPr="00D635A7">
      <w:rPr>
        <w:lang w:val="en-US"/>
      </w:rPr>
      <w:instrText xml:space="preserve"> KEYWORDS  \* MERGEFORMAT </w:instrText>
    </w:r>
    <w:r>
      <w:fldChar w:fldCharType="separate"/>
    </w:r>
    <w:r w:rsidR="00B322D1">
      <w:rPr>
        <w:lang w:val="en-US"/>
      </w:rPr>
      <w:t>E/ECE/TRANS/505/Rev.2/Add.118/Rev.1/Amend.5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2907"/>
    <w:rsid w:val="00A865F6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2D1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632B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5A7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02C2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FDD31E"/>
  <w15:docId w15:val="{F9A26003-8F50-4C31-A269-A6F1C7EB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"/>
    <w:basedOn w:val="Normal"/>
    <w:link w:val="NotedebasdepageC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D635A7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D635A7"/>
    <w:rPr>
      <w:rFonts w:eastAsiaTheme="minorHAnsi"/>
      <w:b/>
      <w:sz w:val="28"/>
      <w:lang w:val="fr-CH"/>
    </w:rPr>
  </w:style>
  <w:style w:type="paragraph" w:customStyle="1" w:styleId="SingleTxtGR">
    <w:name w:val="_ Single Txt_GR"/>
    <w:basedOn w:val="Normal"/>
    <w:link w:val="SingleTxtGR0"/>
    <w:qFormat/>
    <w:rsid w:val="00D635A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/>
    </w:rPr>
  </w:style>
  <w:style w:type="character" w:customStyle="1" w:styleId="SingleTxtGR0">
    <w:name w:val="_ Single Txt_GR Знак"/>
    <w:link w:val="SingleTxtGR"/>
    <w:rsid w:val="00D635A7"/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6</Pages>
  <Words>1579</Words>
  <Characters>10266</Characters>
  <Application>Microsoft Office Word</Application>
  <DocSecurity>0</DocSecurity>
  <Lines>1026</Lines>
  <Paragraphs>696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E/ECE/324/Rev.2/Add.118/Rev.1/Amend.5</vt:lpstr>
    </vt:vector>
  </TitlesOfParts>
  <Company>CSD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E/ECE/324/Rev.2/Add.118/Rev.1/Amend.5</dc:title>
  <dc:creator>Fabienne CRELIER</dc:creator>
  <cp:keywords>E/ECE/TRANS/505/Rev.2/Add.118/Rev.1/Amend.5</cp:keywords>
  <cp:lastModifiedBy>Fabienne Crelier</cp:lastModifiedBy>
  <cp:revision>2</cp:revision>
  <cp:lastPrinted>2018-11-21T10:22:00Z</cp:lastPrinted>
  <dcterms:created xsi:type="dcterms:W3CDTF">2018-11-21T10:22:00Z</dcterms:created>
  <dcterms:modified xsi:type="dcterms:W3CDTF">2018-11-21T10:22:00Z</dcterms:modified>
</cp:coreProperties>
</file>