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D2442" w:rsidTr="00A27C92">
        <w:trPr>
          <w:trHeight w:hRule="exact" w:val="851"/>
        </w:trPr>
        <w:tc>
          <w:tcPr>
            <w:tcW w:w="9639" w:type="dxa"/>
            <w:gridSpan w:val="2"/>
            <w:tcBorders>
              <w:bottom w:val="single" w:sz="4" w:space="0" w:color="auto"/>
            </w:tcBorders>
            <w:shd w:val="clear" w:color="auto" w:fill="auto"/>
            <w:vAlign w:val="bottom"/>
          </w:tcPr>
          <w:p w:rsidR="00C06D19" w:rsidRPr="00C06D19" w:rsidRDefault="00C06D19" w:rsidP="00C06D19">
            <w:pPr>
              <w:jc w:val="right"/>
              <w:rPr>
                <w:lang w:val="en-US"/>
              </w:rPr>
            </w:pPr>
            <w:r w:rsidRPr="00C06D19">
              <w:rPr>
                <w:sz w:val="40"/>
                <w:lang w:val="en-US"/>
              </w:rPr>
              <w:t>E</w:t>
            </w:r>
            <w:r w:rsidRPr="00C06D19">
              <w:rPr>
                <w:lang w:val="en-US"/>
              </w:rPr>
              <w:t>/ECE/324/Rev.2/Add.112/Rev.3/Amend.6−</w:t>
            </w:r>
            <w:r w:rsidRPr="00C06D19">
              <w:rPr>
                <w:sz w:val="40"/>
                <w:lang w:val="en-US"/>
              </w:rPr>
              <w:t>E</w:t>
            </w:r>
            <w:r w:rsidRPr="00C06D19">
              <w:rPr>
                <w:lang w:val="en-US"/>
              </w:rPr>
              <w:t>/ECE/TRANS/505/Rev.2/Add.112/Rev.3/Amend.6</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C06D19"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C06D19" w:rsidP="00BD2442">
            <w:pPr>
              <w:spacing w:before="480" w:line="240" w:lineRule="exact"/>
            </w:pPr>
            <w:r>
              <w:t>2</w:t>
            </w:r>
            <w:r w:rsidR="00BD2442">
              <w:t>7</w:t>
            </w:r>
            <w:r>
              <w:t xml:space="preserve"> avril 2018</w:t>
            </w:r>
          </w:p>
        </w:tc>
      </w:tr>
    </w:tbl>
    <w:p w:rsidR="00421A10" w:rsidRPr="006549FF" w:rsidRDefault="0029791D" w:rsidP="00C25351">
      <w:pPr>
        <w:pStyle w:val="HChG"/>
        <w:spacing w:before="320" w:after="200"/>
      </w:pPr>
      <w:r>
        <w:tab/>
      </w:r>
      <w:r>
        <w:tab/>
      </w:r>
      <w:r w:rsidR="00421A10" w:rsidRPr="006549FF">
        <w:t>Accord</w:t>
      </w:r>
    </w:p>
    <w:p w:rsidR="00421A10" w:rsidRPr="00583D68" w:rsidRDefault="0029791D" w:rsidP="00C25351">
      <w:pPr>
        <w:pStyle w:val="H1G"/>
        <w:spacing w:before="320" w:after="200"/>
      </w:pPr>
      <w:r>
        <w:tab/>
      </w:r>
      <w:r>
        <w:tab/>
      </w:r>
      <w:r w:rsidR="00784B6A" w:rsidRPr="00C06D19">
        <w:rPr>
          <w:lang w:val="fr-FR"/>
        </w:rPr>
        <w:t xml:space="preserve">Concernant l’adoption de Règlements techniques harmonisés de l’ONU applicables aux véhicules à roues et aux équipements et pièces susceptibles d’être montés ou utilisés sur les véhicules à roues </w:t>
      </w:r>
      <w:r w:rsidR="00BD2442">
        <w:rPr>
          <w:lang w:val="fr-FR"/>
        </w:rPr>
        <w:br/>
      </w:r>
      <w:r w:rsidR="00784B6A" w:rsidRPr="00C06D19">
        <w:rPr>
          <w:lang w:val="fr-FR"/>
        </w:rPr>
        <w:t>et les conditions de reconnaissance réciproque des homologations délivrées conformément à ces Règlements</w:t>
      </w:r>
      <w:r w:rsidR="00C25351" w:rsidRPr="007526B3">
        <w:rPr>
          <w:rStyle w:val="Appelnotedebasdep"/>
          <w:b w:val="0"/>
          <w:sz w:val="20"/>
          <w:vertAlign w:val="baseline"/>
        </w:rPr>
        <w:footnoteReference w:customMarkFollows="1" w:id="2"/>
        <w:t>*</w:t>
      </w:r>
    </w:p>
    <w:p w:rsidR="00421A10" w:rsidRPr="00A12483" w:rsidRDefault="00784B6A" w:rsidP="0029791D">
      <w:pPr>
        <w:pStyle w:val="SingleTxtG"/>
        <w:jc w:val="left"/>
        <w:rPr>
          <w:b/>
          <w:sz w:val="24"/>
          <w:szCs w:val="24"/>
        </w:rPr>
      </w:pPr>
      <w:r w:rsidRPr="00C06D19">
        <w:rPr>
          <w:lang w:val="fr-FR"/>
        </w:rPr>
        <w:t>(Révision 3, comprenant les amendements entrés en vigueur le 14 septembre</w:t>
      </w:r>
      <w:r w:rsidR="002C37B7">
        <w:rPr>
          <w:lang w:val="fr-FR"/>
        </w:rPr>
        <w:t xml:space="preserve"> </w:t>
      </w:r>
      <w:r w:rsidRPr="00C06D19">
        <w:rPr>
          <w:lang w:val="fr-FR"/>
        </w:rPr>
        <w:t>2017)</w:t>
      </w:r>
    </w:p>
    <w:p w:rsidR="00421A10" w:rsidRPr="006549FF" w:rsidRDefault="0029791D" w:rsidP="0029791D">
      <w:pPr>
        <w:jc w:val="center"/>
      </w:pPr>
      <w:r>
        <w:t>_______________</w:t>
      </w:r>
    </w:p>
    <w:p w:rsidR="00421A10" w:rsidRPr="006549FF" w:rsidRDefault="0029791D" w:rsidP="00C25351">
      <w:pPr>
        <w:pStyle w:val="HChG"/>
        <w:spacing w:before="320" w:after="200"/>
      </w:pPr>
      <w:r>
        <w:tab/>
      </w:r>
      <w:r>
        <w:tab/>
      </w:r>
      <w:r w:rsidR="00784B6A" w:rsidRPr="00C06D19">
        <w:rPr>
          <w:lang w:val="fr-FR"/>
        </w:rPr>
        <w:t>Additif 11</w:t>
      </w:r>
      <w:r w:rsidR="00C06D19">
        <w:rPr>
          <w:lang w:val="fr-FR"/>
        </w:rPr>
        <w:t>2 −</w:t>
      </w:r>
      <w:r w:rsidR="00784B6A" w:rsidRPr="00C06D19">
        <w:rPr>
          <w:lang w:val="fr-FR"/>
        </w:rPr>
        <w:t xml:space="preserve"> Règlement ONU n</w:t>
      </w:r>
      <w:r w:rsidR="00784B6A" w:rsidRPr="00C06D19">
        <w:rPr>
          <w:vertAlign w:val="superscript"/>
          <w:lang w:val="fr-FR"/>
        </w:rPr>
        <w:t>o</w:t>
      </w:r>
      <w:r w:rsidR="00784B6A" w:rsidRPr="00C06D19">
        <w:rPr>
          <w:lang w:val="fr-FR"/>
        </w:rPr>
        <w:t> 113</w:t>
      </w:r>
    </w:p>
    <w:p w:rsidR="00421A10" w:rsidRPr="006549FF" w:rsidRDefault="0029791D" w:rsidP="00C25351">
      <w:pPr>
        <w:pStyle w:val="H1G"/>
        <w:spacing w:before="320" w:after="200"/>
      </w:pPr>
      <w:r>
        <w:tab/>
      </w:r>
      <w:r>
        <w:tab/>
      </w:r>
      <w:r w:rsidR="00784B6A" w:rsidRPr="00C06D19">
        <w:rPr>
          <w:lang w:val="fr-FR"/>
        </w:rPr>
        <w:t xml:space="preserve">Révision 3 </w:t>
      </w:r>
      <w:r w:rsidR="00C06D19">
        <w:rPr>
          <w:lang w:val="fr-FR"/>
        </w:rPr>
        <w:t>−</w:t>
      </w:r>
      <w:r w:rsidR="00784B6A" w:rsidRPr="00C06D19">
        <w:rPr>
          <w:lang w:val="fr-FR"/>
        </w:rPr>
        <w:t xml:space="preserve"> Amendement 6</w:t>
      </w:r>
    </w:p>
    <w:p w:rsidR="00421A10" w:rsidRPr="004A7E44" w:rsidRDefault="00784B6A" w:rsidP="0029791D">
      <w:pPr>
        <w:pStyle w:val="SingleTxtG"/>
        <w:spacing w:after="0"/>
      </w:pPr>
      <w:r w:rsidRPr="00C06D19">
        <w:rPr>
          <w:lang w:val="fr-FR"/>
        </w:rPr>
        <w:t>Série 02</w:t>
      </w:r>
      <w:r w:rsidR="002C37B7">
        <w:rPr>
          <w:lang w:val="fr-FR"/>
        </w:rPr>
        <w:t xml:space="preserve"> </w:t>
      </w:r>
      <w:r w:rsidRPr="00C06D19">
        <w:rPr>
          <w:lang w:val="fr-FR"/>
        </w:rPr>
        <w:t xml:space="preserve">d’amendements </w:t>
      </w:r>
      <w:r w:rsidR="003B272C">
        <w:rPr>
          <w:lang w:val="fr-FR"/>
        </w:rPr>
        <w:t>−</w:t>
      </w:r>
      <w:r w:rsidRPr="00C06D19">
        <w:rPr>
          <w:lang w:val="fr-FR"/>
        </w:rPr>
        <w:t xml:space="preserve"> Date d’entrée en vigueur : 10 février</w:t>
      </w:r>
      <w:r w:rsidR="002C37B7">
        <w:rPr>
          <w:lang w:val="fr-FR"/>
        </w:rPr>
        <w:t xml:space="preserve"> </w:t>
      </w:r>
      <w:r w:rsidRPr="00C06D19">
        <w:rPr>
          <w:lang w:val="fr-FR"/>
        </w:rPr>
        <w:t>2018</w:t>
      </w:r>
    </w:p>
    <w:p w:rsidR="00421A10" w:rsidRPr="0029791D" w:rsidRDefault="00421A10" w:rsidP="0029791D">
      <w:pPr>
        <w:pStyle w:val="SingleTxtG"/>
      </w:pPr>
    </w:p>
    <w:p w:rsidR="00421A10" w:rsidRDefault="0029791D" w:rsidP="00C25351">
      <w:pPr>
        <w:pStyle w:val="H1G"/>
        <w:spacing w:before="320" w:after="200"/>
      </w:pPr>
      <w:r>
        <w:tab/>
      </w:r>
      <w:r>
        <w:tab/>
      </w:r>
      <w:r w:rsidR="00784B6A" w:rsidRPr="00C06D19">
        <w:rPr>
          <w:lang w:val="fr-FR"/>
        </w:rPr>
        <w:t>Prescriptions uniformes relatives à l’homologation des projecteurs pour véhicules automobiles émettant un faisceau de croisement symétrique ou un faisceau de route ou les deux à la fois et équipés de lampes à incandescence, de sources lumineuses à décharge ou de modules DEL</w:t>
      </w:r>
    </w:p>
    <w:p w:rsidR="007526B3" w:rsidRDefault="00784B6A" w:rsidP="00C06D19">
      <w:pPr>
        <w:pStyle w:val="SingleTxtG"/>
        <w:ind w:firstLine="567"/>
        <w:rPr>
          <w:lang w:val="fr-FR"/>
        </w:rPr>
      </w:pPr>
      <w:r w:rsidRPr="00C06D19">
        <w:rPr>
          <w:lang w:val="fr-FR"/>
        </w:rPr>
        <w:t>Le présent document est communiqué uniquement à titre d’information. Le texte authentique, juridiquement contraignant, est celui du document ECE/TRANS/WP.29/</w:t>
      </w:r>
      <w:r w:rsidR="002821EC">
        <w:rPr>
          <w:lang w:val="fr-FR"/>
        </w:rPr>
        <w:t xml:space="preserve"> </w:t>
      </w:r>
      <w:r w:rsidRPr="00C06D19">
        <w:rPr>
          <w:lang w:val="fr-FR"/>
        </w:rPr>
        <w:t>2017/87.</w:t>
      </w:r>
    </w:p>
    <w:p w:rsidR="007526B3" w:rsidRPr="00CA58F0" w:rsidRDefault="007526B3" w:rsidP="00DB62AB">
      <w:pPr>
        <w:pStyle w:val="SingleTxtG"/>
        <w:ind w:firstLine="567"/>
        <w:rPr>
          <w:lang w:val="fr-FR"/>
        </w:rPr>
      </w:pPr>
      <w:r>
        <w:rPr>
          <w:noProof/>
          <w:lang w:eastAsia="ja-JP"/>
        </w:rPr>
        <mc:AlternateContent>
          <mc:Choice Requires="wps">
            <w:drawing>
              <wp:anchor distT="0" distB="0" distL="114300" distR="114300" simplePos="0" relativeHeight="251660800" behindDoc="0" locked="0" layoutInCell="1" allowOverlap="1" wp14:anchorId="431297A5" wp14:editId="3B50736D">
                <wp:simplePos x="0" y="0"/>
                <wp:positionH relativeFrom="margin">
                  <wp:posOffset>-635</wp:posOffset>
                </wp:positionH>
                <wp:positionV relativeFrom="margin">
                  <wp:posOffset>6407531</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ja-JP"/>
                              </w:rPr>
                              <w:drawing>
                                <wp:inline distT="0" distB="0" distL="0" distR="0" wp14:anchorId="78504CF7" wp14:editId="3BA59C5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297A5" id="_x0000_t202" coordsize="21600,21600" o:spt="202" path="m,l,21600r21600,l21600,xe">
                <v:stroke joinstyle="miter"/>
                <v:path gradientshapeok="t" o:connecttype="rect"/>
              </v:shapetype>
              <v:shape id="Zone de texte 4" o:spid="_x0000_s1026" type="#_x0000_t202" style="position:absolute;left:0;text-align:left;margin-left:-.05pt;margin-top:504.55pt;width:481.85pt;height:90.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ja-JP"/>
                        </w:rPr>
                        <w:drawing>
                          <wp:inline distT="0" distB="0" distL="0" distR="0" wp14:anchorId="78504CF7" wp14:editId="3BA59C5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Pr>
          <w:lang w:val="fr-FR"/>
        </w:rPr>
        <w:br w:type="page"/>
      </w:r>
      <w:r w:rsidRPr="00CA58F0">
        <w:rPr>
          <w:i/>
          <w:lang w:val="fr-FR"/>
        </w:rPr>
        <w:lastRenderedPageBreak/>
        <w:t xml:space="preserve">Paragraphe 1.3.1, </w:t>
      </w:r>
      <w:r w:rsidRPr="00CA58F0">
        <w:rPr>
          <w:lang w:val="fr-FR"/>
        </w:rPr>
        <w:t>lire</w:t>
      </w:r>
      <w:r w:rsidR="00740916">
        <w:rPr>
          <w:lang w:val="fr-FR"/>
        </w:rPr>
        <w:t> </w:t>
      </w:r>
      <w:r w:rsidRPr="00CA58F0">
        <w:rPr>
          <w:lang w:val="fr-FR"/>
        </w:rPr>
        <w:t>:</w:t>
      </w:r>
    </w:p>
    <w:p w:rsidR="007526B3" w:rsidRPr="00CA58F0" w:rsidRDefault="007526B3" w:rsidP="002821EC">
      <w:pPr>
        <w:pStyle w:val="SingleTxtG"/>
        <w:ind w:left="2268" w:hanging="1134"/>
        <w:rPr>
          <w:iCs/>
          <w:lang w:val="fr-FR"/>
        </w:rPr>
      </w:pPr>
      <w:r w:rsidRPr="00CA58F0">
        <w:rPr>
          <w:lang w:val="fr-FR"/>
        </w:rPr>
        <w:t xml:space="preserve">« 1.3.1 </w:t>
      </w:r>
      <w:r w:rsidRPr="00CA58F0">
        <w:rPr>
          <w:lang w:val="fr-FR"/>
        </w:rPr>
        <w:tab/>
      </w:r>
      <w:r w:rsidRPr="00CA58F0">
        <w:rPr>
          <w:iCs/>
          <w:lang w:val="fr-FR"/>
        </w:rPr>
        <w:t>La marque de fabrique ou de commerce</w:t>
      </w:r>
      <w:r w:rsidR="00740916">
        <w:rPr>
          <w:iCs/>
          <w:lang w:val="fr-FR"/>
        </w:rPr>
        <w:t> </w:t>
      </w:r>
      <w:r w:rsidRPr="00CA58F0">
        <w:rPr>
          <w:iCs/>
          <w:lang w:val="fr-FR"/>
        </w:rPr>
        <w:t>:</w:t>
      </w:r>
    </w:p>
    <w:p w:rsidR="007526B3" w:rsidRPr="00CA58F0" w:rsidRDefault="007526B3" w:rsidP="002821EC">
      <w:pPr>
        <w:pStyle w:val="SingleTxtG"/>
        <w:ind w:left="2835" w:hanging="567"/>
        <w:rPr>
          <w:iCs/>
          <w:lang w:val="fr-FR"/>
        </w:rPr>
      </w:pPr>
      <w:r w:rsidRPr="00CA58F0">
        <w:rPr>
          <w:iCs/>
          <w:lang w:val="fr-FR"/>
        </w:rPr>
        <w:t>a)</w:t>
      </w:r>
      <w:r w:rsidRPr="00CA58F0">
        <w:rPr>
          <w:iCs/>
          <w:lang w:val="fr-FR"/>
        </w:rPr>
        <w:tab/>
      </w:r>
      <w:r w:rsidRPr="00CA58F0">
        <w:rPr>
          <w:lang w:val="fr-FR"/>
        </w:rPr>
        <w:t xml:space="preserve">Des feux portant la même marque de fabrique ou de commerce mais produits par des fabricants différents sont considérés comme </w:t>
      </w:r>
      <w:r w:rsidRPr="00DB62AB">
        <w:rPr>
          <w:rFonts w:eastAsia="Times New Roman"/>
        </w:rPr>
        <w:t>étant</w:t>
      </w:r>
      <w:r w:rsidRPr="00CA58F0">
        <w:rPr>
          <w:lang w:val="fr-FR"/>
        </w:rPr>
        <w:t xml:space="preserve"> de types différents </w:t>
      </w:r>
      <w:r w:rsidRPr="00CA58F0">
        <w:rPr>
          <w:bCs/>
          <w:iCs/>
          <w:lang w:val="fr-FR"/>
        </w:rPr>
        <w:t>;</w:t>
      </w:r>
    </w:p>
    <w:p w:rsidR="007526B3" w:rsidRPr="00CA58F0" w:rsidRDefault="007526B3" w:rsidP="002821EC">
      <w:pPr>
        <w:pStyle w:val="SingleTxtG"/>
        <w:ind w:left="2835" w:hanging="567"/>
        <w:rPr>
          <w:iCs/>
          <w:lang w:val="fr-FR"/>
        </w:rPr>
      </w:pPr>
      <w:r w:rsidRPr="00CA58F0">
        <w:rPr>
          <w:bCs/>
          <w:iCs/>
          <w:lang w:val="fr-FR"/>
        </w:rPr>
        <w:t>b)</w:t>
      </w:r>
      <w:r w:rsidRPr="00CA58F0">
        <w:rPr>
          <w:bCs/>
          <w:iCs/>
          <w:lang w:val="fr-FR"/>
        </w:rPr>
        <w:tab/>
      </w:r>
      <w:r w:rsidRPr="00CA58F0">
        <w:rPr>
          <w:lang w:val="fr-FR"/>
        </w:rPr>
        <w:t xml:space="preserve">Des feux </w:t>
      </w:r>
      <w:r w:rsidRPr="00DB62AB">
        <w:rPr>
          <w:rFonts w:eastAsia="Times New Roman"/>
        </w:rPr>
        <w:t>produits</w:t>
      </w:r>
      <w:r w:rsidRPr="00CA58F0">
        <w:rPr>
          <w:lang w:val="fr-FR"/>
        </w:rPr>
        <w:t xml:space="preserve"> par le même fabricant et ne différant entre eux que par la marque de fabrique ou de commerce sont considérés comme étant du même type.</w:t>
      </w:r>
      <w:r w:rsidRPr="00CA58F0">
        <w:rPr>
          <w:iCs/>
          <w:lang w:val="fr-FR"/>
        </w:rPr>
        <w:t> ».</w:t>
      </w:r>
    </w:p>
    <w:p w:rsidR="007526B3" w:rsidRPr="00CA58F0" w:rsidRDefault="007526B3" w:rsidP="002821EC">
      <w:pPr>
        <w:pStyle w:val="SingleTxtG"/>
        <w:rPr>
          <w:lang w:val="fr-FR"/>
        </w:rPr>
      </w:pPr>
      <w:r w:rsidRPr="00CA58F0">
        <w:rPr>
          <w:i/>
          <w:lang w:val="fr-FR"/>
        </w:rPr>
        <w:t>Ajouter un nouveau paragraphe 2.4,</w:t>
      </w:r>
      <w:r w:rsidRPr="00CA58F0">
        <w:rPr>
          <w:lang w:val="fr-FR"/>
        </w:rPr>
        <w:t xml:space="preserve"> libellé comme suit :</w:t>
      </w:r>
    </w:p>
    <w:p w:rsidR="007526B3" w:rsidRPr="00CA58F0" w:rsidRDefault="007526B3" w:rsidP="002821EC">
      <w:pPr>
        <w:pStyle w:val="SingleTxtG"/>
        <w:ind w:left="2268" w:hanging="1134"/>
        <w:rPr>
          <w:lang w:val="fr-FR"/>
        </w:rPr>
      </w:pPr>
      <w:r w:rsidRPr="00CA58F0">
        <w:rPr>
          <w:lang w:val="fr-FR"/>
        </w:rPr>
        <w:t>« 2.4</w:t>
      </w:r>
      <w:r w:rsidRPr="00CA58F0">
        <w:rPr>
          <w:lang w:val="fr-FR"/>
        </w:rPr>
        <w:tab/>
        <w:t>Lorsqu’il s’agit d’un type de dispositif ne différant d’un type déjà homologué que par la marque de fabrique ou de commerce, il suffit de présenter :</w:t>
      </w:r>
    </w:p>
    <w:p w:rsidR="007526B3" w:rsidRPr="00CA58F0" w:rsidRDefault="007526B3" w:rsidP="002821EC">
      <w:pPr>
        <w:pStyle w:val="SingleTxtG"/>
        <w:ind w:left="2268" w:hanging="1134"/>
        <w:rPr>
          <w:lang w:val="fr-FR"/>
        </w:rPr>
      </w:pPr>
      <w:r w:rsidRPr="00CA58F0">
        <w:rPr>
          <w:lang w:val="fr-FR"/>
        </w:rPr>
        <w:t>2.4.1</w:t>
      </w:r>
      <w:r w:rsidRPr="00CA58F0">
        <w:rPr>
          <w:lang w:val="fr-FR"/>
        </w:rPr>
        <w:tab/>
        <w:t>Une déclaration du fabricant du dispositif précisant que, sauf quant à la marque de fabrique ou de commerce, le type soumis est identique au type déjà homologué (identifié par son code d’homologation) et provient du même fabricant ;</w:t>
      </w:r>
    </w:p>
    <w:p w:rsidR="007526B3" w:rsidRPr="00CA58F0" w:rsidRDefault="007526B3" w:rsidP="002821EC">
      <w:pPr>
        <w:pStyle w:val="SingleTxtG"/>
        <w:ind w:left="2268" w:hanging="1134"/>
        <w:rPr>
          <w:lang w:val="fr-FR"/>
        </w:rPr>
      </w:pPr>
      <w:r w:rsidRPr="00CA58F0">
        <w:rPr>
          <w:lang w:val="fr-FR"/>
        </w:rPr>
        <w:t>2.4.2</w:t>
      </w:r>
      <w:r w:rsidRPr="00CA58F0">
        <w:rPr>
          <w:lang w:val="fr-FR"/>
        </w:rPr>
        <w:tab/>
        <w:t>D</w:t>
      </w:r>
      <w:bookmarkStart w:id="0" w:name="_GoBack"/>
      <w:bookmarkEnd w:id="0"/>
      <w:r w:rsidRPr="00CA58F0">
        <w:rPr>
          <w:lang w:val="fr-FR"/>
        </w:rPr>
        <w:t>eux échantillons portant la nouvelle marque de fabrique ou de commerce, ou un document équivalent. ».</w:t>
      </w:r>
    </w:p>
    <w:p w:rsidR="007526B3" w:rsidRPr="00CA58F0" w:rsidRDefault="007526B3" w:rsidP="002821EC">
      <w:pPr>
        <w:pStyle w:val="SingleTxtG"/>
        <w:rPr>
          <w:i/>
          <w:iCs/>
          <w:lang w:val="fr-FR"/>
        </w:rPr>
      </w:pPr>
      <w:r w:rsidRPr="00CA58F0">
        <w:rPr>
          <w:i/>
          <w:iCs/>
          <w:lang w:val="fr-FR"/>
        </w:rPr>
        <w:t>Paragraphe 5</w:t>
      </w:r>
      <w:r w:rsidRPr="00CA58F0">
        <w:rPr>
          <w:lang w:val="fr-FR"/>
        </w:rPr>
        <w:t>, lire :</w:t>
      </w:r>
    </w:p>
    <w:p w:rsidR="007526B3" w:rsidRPr="00CA58F0" w:rsidRDefault="007526B3" w:rsidP="00E3433E">
      <w:pPr>
        <w:pStyle w:val="HChG"/>
        <w:keepNext w:val="0"/>
        <w:ind w:left="2268"/>
        <w:rPr>
          <w:szCs w:val="28"/>
          <w:lang w:val="fr-FR"/>
        </w:rPr>
      </w:pPr>
      <w:r w:rsidRPr="00DB62AB">
        <w:rPr>
          <w:b w:val="0"/>
          <w:sz w:val="20"/>
          <w:lang w:val="fr-FR"/>
        </w:rPr>
        <w:t>« </w:t>
      </w:r>
      <w:r w:rsidRPr="00CA58F0">
        <w:rPr>
          <w:szCs w:val="28"/>
          <w:lang w:val="fr-FR"/>
        </w:rPr>
        <w:t>5.</w:t>
      </w:r>
      <w:r w:rsidRPr="00CA58F0">
        <w:rPr>
          <w:szCs w:val="28"/>
          <w:lang w:val="fr-FR"/>
        </w:rPr>
        <w:tab/>
      </w:r>
      <w:r w:rsidRPr="00DB62AB">
        <w:rPr>
          <w:rFonts w:eastAsia="Times New Roman"/>
        </w:rPr>
        <w:t>Prescriptions</w:t>
      </w:r>
      <w:r w:rsidRPr="00CA58F0">
        <w:rPr>
          <w:szCs w:val="28"/>
          <w:lang w:val="fr-FR"/>
        </w:rPr>
        <w:t xml:space="preserve"> générales</w:t>
      </w:r>
    </w:p>
    <w:p w:rsidR="007526B3" w:rsidRPr="00CA58F0" w:rsidRDefault="007526B3" w:rsidP="002821EC">
      <w:pPr>
        <w:spacing w:after="120"/>
        <w:ind w:left="2268" w:right="1134"/>
        <w:jc w:val="both"/>
        <w:rPr>
          <w:lang w:val="fr-FR"/>
        </w:rPr>
      </w:pPr>
      <w:r w:rsidRPr="00CA58F0">
        <w:rPr>
          <w:lang w:val="fr-FR"/>
        </w:rPr>
        <w:t>Les prescriptions contenues dans les paragraphes 5 “Prescriptions générales” et 6 “Prescriptions particulières” ainsi que dans les annexes citées dans lesdits paragraphes des Règlements ONU n</w:t>
      </w:r>
      <w:r w:rsidRPr="00CA58F0">
        <w:rPr>
          <w:vertAlign w:val="superscript"/>
          <w:lang w:val="fr-FR"/>
        </w:rPr>
        <w:t>os</w:t>
      </w:r>
      <w:r w:rsidRPr="00CA58F0">
        <w:rPr>
          <w:lang w:val="fr-FR"/>
        </w:rPr>
        <w:t> 53, 74 et 86 et de leurs séries d’amendements en vigueur à la date de la demande d’homologation du type de feu s’appliquent au présent Règlement.</w:t>
      </w:r>
    </w:p>
    <w:p w:rsidR="007526B3" w:rsidRPr="00CA58F0" w:rsidRDefault="007526B3" w:rsidP="002821EC">
      <w:pPr>
        <w:spacing w:after="120"/>
        <w:ind w:left="2268" w:right="1134"/>
        <w:jc w:val="both"/>
        <w:rPr>
          <w:lang w:val="fr-FR"/>
        </w:rPr>
      </w:pPr>
      <w:r w:rsidRPr="00CA58F0">
        <w:rPr>
          <w:lang w:val="fr-FR"/>
        </w:rPr>
        <w:t>Les prescriptions pertinentes pour chaque feu et la (les) catégorie(s) de véhicule sur laquelle/lesquelles il est prévu d’installer le feu sont applicables, pour autant que leur vérification soit possible lors de l’homologation du type de feu.</w:t>
      </w:r>
    </w:p>
    <w:p w:rsidR="007526B3" w:rsidRPr="00CA58F0" w:rsidRDefault="007526B3" w:rsidP="002821EC">
      <w:pPr>
        <w:pStyle w:val="SingleTxtG"/>
        <w:ind w:left="2268" w:hanging="1134"/>
        <w:rPr>
          <w:lang w:val="fr-FR"/>
        </w:rPr>
      </w:pPr>
      <w:r w:rsidRPr="00CA58F0">
        <w:rPr>
          <w:lang w:val="fr-FR"/>
        </w:rPr>
        <w:t>5.1</w:t>
      </w:r>
      <w:r w:rsidRPr="00CA58F0">
        <w:rPr>
          <w:lang w:val="fr-FR"/>
        </w:rPr>
        <w:tab/>
        <w:t>… ».</w:t>
      </w:r>
    </w:p>
    <w:p w:rsidR="007526B3" w:rsidRPr="00CA58F0" w:rsidRDefault="007526B3" w:rsidP="002821EC">
      <w:pPr>
        <w:pStyle w:val="SingleTxtG"/>
        <w:rPr>
          <w:lang w:val="fr-FR"/>
        </w:rPr>
      </w:pPr>
      <w:r w:rsidRPr="00CA58F0">
        <w:rPr>
          <w:i/>
          <w:lang w:val="fr-FR"/>
        </w:rPr>
        <w:t xml:space="preserve">Paragraphe 5.3.1, </w:t>
      </w:r>
      <w:r w:rsidRPr="00CA58F0">
        <w:rPr>
          <w:lang w:val="fr-FR"/>
        </w:rPr>
        <w:t>lire :</w:t>
      </w:r>
    </w:p>
    <w:p w:rsidR="007526B3" w:rsidRPr="00CA58F0" w:rsidRDefault="007526B3" w:rsidP="002821EC">
      <w:pPr>
        <w:pStyle w:val="SingleTxtG"/>
        <w:ind w:left="2268" w:hanging="1134"/>
        <w:rPr>
          <w:rFonts w:eastAsia="SimSun"/>
          <w:lang w:val="fr-FR"/>
        </w:rPr>
      </w:pPr>
      <w:r w:rsidRPr="00CA58F0">
        <w:rPr>
          <w:bCs/>
          <w:lang w:val="fr-FR"/>
        </w:rPr>
        <w:t>« 5.3.1</w:t>
      </w:r>
      <w:r w:rsidRPr="00CA58F0">
        <w:rPr>
          <w:bCs/>
          <w:lang w:val="fr-FR"/>
        </w:rPr>
        <w:tab/>
      </w:r>
      <w:r w:rsidRPr="00CA58F0">
        <w:rPr>
          <w:rFonts w:eastAsia="SimSun"/>
          <w:lang w:val="fr-FR"/>
        </w:rPr>
        <w:tab/>
      </w:r>
      <w:r w:rsidRPr="00CA58F0">
        <w:rPr>
          <w:lang w:val="fr-FR"/>
        </w:rPr>
        <w:t>Les projecteurs doivent être munis exclusivement d’une ou plusieurs sources lumineuses à incandescence homologuées en application du Règlement ONU n</w:t>
      </w:r>
      <w:r w:rsidRPr="00CA58F0">
        <w:rPr>
          <w:vertAlign w:val="superscript"/>
          <w:lang w:val="fr-FR"/>
        </w:rPr>
        <w:t>o</w:t>
      </w:r>
      <w:r w:rsidRPr="00CA58F0">
        <w:rPr>
          <w:lang w:val="fr-FR"/>
        </w:rPr>
        <w:t> 37 et/ou d’un ou de plusieurs modules DEL.</w:t>
      </w:r>
    </w:p>
    <w:p w:rsidR="007526B3" w:rsidRPr="00CA58F0" w:rsidRDefault="007526B3" w:rsidP="002821EC">
      <w:pPr>
        <w:spacing w:after="120"/>
        <w:ind w:left="2268" w:right="1134"/>
        <w:jc w:val="both"/>
        <w:rPr>
          <w:rFonts w:eastAsia="SimSun"/>
          <w:lang w:val="fr-FR"/>
        </w:rPr>
      </w:pPr>
      <w:r w:rsidRPr="00CA58F0">
        <w:rPr>
          <w:lang w:val="fr-FR"/>
        </w:rPr>
        <w:t>Lorsqu’une ou plusieurs sources lumineuses et/ou unités d’éclairage supplémentaires sont utilisées pour produire l’éclairage de virage, celles-ci doivent être munies exclusivement de sources lumineuses à incandescence homologuées en application du Règlement ONU n</w:t>
      </w:r>
      <w:r w:rsidRPr="00CA58F0">
        <w:rPr>
          <w:vertAlign w:val="superscript"/>
          <w:lang w:val="fr-FR"/>
        </w:rPr>
        <w:t>o</w:t>
      </w:r>
      <w:r w:rsidRPr="00CA58F0">
        <w:rPr>
          <w:lang w:val="fr-FR"/>
        </w:rPr>
        <w:t> 37, sous réserve qu’aucune restriction d’usage de l’éclairage de virage ne soit énoncée dans le Règlement ONU n</w:t>
      </w:r>
      <w:r w:rsidRPr="00CA58F0">
        <w:rPr>
          <w:vertAlign w:val="superscript"/>
          <w:lang w:val="fr-FR"/>
        </w:rPr>
        <w:t>o</w:t>
      </w:r>
      <w:r w:rsidRPr="00CA58F0">
        <w:rPr>
          <w:lang w:val="fr-FR"/>
        </w:rPr>
        <w:t> 37 ou dans sa série d’amendements en vigueur au moment de la demande d’homologation, et/ou d’un ou de plusieurs modules DEL. ».</w:t>
      </w:r>
    </w:p>
    <w:p w:rsidR="007526B3" w:rsidRPr="00CA58F0" w:rsidRDefault="007526B3" w:rsidP="002821EC">
      <w:pPr>
        <w:pStyle w:val="SingleTxtG"/>
        <w:rPr>
          <w:lang w:val="fr-FR"/>
        </w:rPr>
      </w:pPr>
      <w:r w:rsidRPr="00CA58F0">
        <w:rPr>
          <w:i/>
          <w:lang w:val="fr-FR"/>
        </w:rPr>
        <w:t xml:space="preserve">Paragraphe 5.4.1, </w:t>
      </w:r>
      <w:r w:rsidRPr="00CA58F0">
        <w:rPr>
          <w:lang w:val="fr-FR"/>
        </w:rPr>
        <w:t>lire :</w:t>
      </w:r>
    </w:p>
    <w:p w:rsidR="007526B3" w:rsidRPr="00CA58F0" w:rsidRDefault="007526B3" w:rsidP="002821EC">
      <w:pPr>
        <w:pStyle w:val="SingleTxtG"/>
        <w:ind w:left="2268" w:hanging="1134"/>
        <w:rPr>
          <w:rFonts w:eastAsia="HGSGothicM"/>
          <w:lang w:val="fr-FR"/>
        </w:rPr>
      </w:pPr>
      <w:r w:rsidRPr="00CA58F0">
        <w:rPr>
          <w:rFonts w:eastAsia="HGSGothicM"/>
          <w:lang w:val="fr-FR"/>
        </w:rPr>
        <w:t>« 5.4.1</w:t>
      </w:r>
      <w:r w:rsidRPr="00CA58F0">
        <w:rPr>
          <w:rFonts w:eastAsia="HGSGothicM"/>
          <w:lang w:val="fr-FR"/>
        </w:rPr>
        <w:tab/>
      </w:r>
      <w:r w:rsidRPr="00CA58F0">
        <w:rPr>
          <w:lang w:val="fr-FR"/>
        </w:rPr>
        <w:t>Le projecteur doit être muni exclusivement d’une ou de plusieurs sources lumineuses à décharge homologuées en application du Règlement ONU n</w:t>
      </w:r>
      <w:r w:rsidRPr="00CA58F0">
        <w:rPr>
          <w:vertAlign w:val="superscript"/>
          <w:lang w:val="fr-FR"/>
        </w:rPr>
        <w:t>o</w:t>
      </w:r>
      <w:r w:rsidRPr="00CA58F0">
        <w:rPr>
          <w:lang w:val="fr-FR"/>
        </w:rPr>
        <w:t> 99 et/ou d’un ou de plusieurs modules DEL.</w:t>
      </w:r>
    </w:p>
    <w:p w:rsidR="007526B3" w:rsidRPr="00CA58F0" w:rsidRDefault="007526B3" w:rsidP="002821EC">
      <w:pPr>
        <w:spacing w:after="120"/>
        <w:ind w:left="2268" w:right="1134"/>
        <w:jc w:val="both"/>
        <w:rPr>
          <w:bCs/>
          <w:i/>
          <w:iCs/>
          <w:lang w:val="fr-FR"/>
        </w:rPr>
      </w:pPr>
      <w:r w:rsidRPr="00CA58F0">
        <w:rPr>
          <w:lang w:val="fr-FR"/>
        </w:rPr>
        <w:tab/>
        <w:t xml:space="preserve">Lorsqu’une ou plusieurs sources lumineuses et/ou unités d’éclairage supplémentaires sont utilisées pour produire l’éclairage de virage, celles-ci doivent être munies exclusivement de sources lumineuses à incandescence </w:t>
      </w:r>
      <w:r w:rsidRPr="00CA58F0">
        <w:rPr>
          <w:lang w:val="fr-FR"/>
        </w:rPr>
        <w:lastRenderedPageBreak/>
        <w:t>homologuées en application dudit Règlement</w:t>
      </w:r>
      <w:r w:rsidR="00BD2442">
        <w:rPr>
          <w:lang w:val="fr-FR"/>
        </w:rPr>
        <w:t xml:space="preserve"> ONU</w:t>
      </w:r>
      <w:r w:rsidRPr="00CA58F0">
        <w:rPr>
          <w:lang w:val="fr-FR"/>
        </w:rPr>
        <w:t>, sous réserve qu’aucune restriction d’usage de l’éclairage de virage ne soit énoncée dans le Règlement ONU n</w:t>
      </w:r>
      <w:r w:rsidRPr="00CA58F0">
        <w:rPr>
          <w:vertAlign w:val="superscript"/>
          <w:lang w:val="fr-FR"/>
        </w:rPr>
        <w:t>o</w:t>
      </w:r>
      <w:r w:rsidRPr="00CA58F0">
        <w:rPr>
          <w:lang w:val="fr-FR"/>
        </w:rPr>
        <w:t> 37 ni dans sa série d’amendements en vigueur au moment de la demande d’homologation, et/ou d’un ou de plusieurs modules DEL. ».</w:t>
      </w:r>
    </w:p>
    <w:p w:rsidR="007526B3" w:rsidRPr="00CA58F0" w:rsidRDefault="007526B3" w:rsidP="002821EC">
      <w:pPr>
        <w:pStyle w:val="SingleTxtG"/>
        <w:rPr>
          <w:bCs/>
          <w:i/>
          <w:iCs/>
          <w:lang w:val="fr-FR"/>
        </w:rPr>
      </w:pPr>
      <w:r w:rsidRPr="00CA58F0">
        <w:rPr>
          <w:bCs/>
          <w:i/>
          <w:iCs/>
          <w:lang w:val="fr-FR"/>
        </w:rPr>
        <w:t xml:space="preserve">Paragraphe 9.1, </w:t>
      </w:r>
      <w:r w:rsidRPr="00CA58F0">
        <w:rPr>
          <w:bCs/>
          <w:iCs/>
          <w:lang w:val="fr-FR"/>
        </w:rPr>
        <w:t>lire </w:t>
      </w:r>
      <w:r w:rsidRPr="00CA58F0">
        <w:rPr>
          <w:bCs/>
          <w:i/>
          <w:iCs/>
          <w:lang w:val="fr-FR"/>
        </w:rPr>
        <w:t>:</w:t>
      </w:r>
    </w:p>
    <w:p w:rsidR="007526B3" w:rsidRPr="00CA58F0" w:rsidRDefault="007526B3" w:rsidP="002821EC">
      <w:pPr>
        <w:pStyle w:val="SingleTxtG"/>
        <w:ind w:left="2268" w:hanging="1134"/>
        <w:rPr>
          <w:lang w:val="fr-FR"/>
        </w:rPr>
      </w:pPr>
      <w:r w:rsidRPr="00DB62AB">
        <w:rPr>
          <w:rFonts w:eastAsia="Times New Roman"/>
        </w:rPr>
        <w:t>«</w:t>
      </w:r>
      <w:r w:rsidRPr="00CA58F0">
        <w:rPr>
          <w:lang w:val="fr-FR"/>
        </w:rPr>
        <w:t> 9.1</w:t>
      </w:r>
      <w:r w:rsidRPr="00CA58F0">
        <w:rPr>
          <w:lang w:val="fr-FR"/>
        </w:rPr>
        <w:tab/>
        <w:t>Les projecteurs doivent être fabriqués de façon à être conformes au type homologué en application du présent Règlement.</w:t>
      </w:r>
    </w:p>
    <w:p w:rsidR="007526B3" w:rsidRPr="00CA58F0" w:rsidRDefault="007526B3" w:rsidP="002821EC">
      <w:pPr>
        <w:spacing w:after="120"/>
        <w:ind w:left="2268" w:right="1134"/>
        <w:jc w:val="both"/>
        <w:rPr>
          <w:lang w:val="fr-FR"/>
        </w:rPr>
      </w:pPr>
      <w:r w:rsidRPr="00CA58F0">
        <w:rPr>
          <w:lang w:val="fr-FR"/>
        </w:rPr>
        <w:t>Le respect des prescriptions énoncées aux paragraphes 6 et 7 ci-dessus doit être vérifié comme suit :</w:t>
      </w:r>
      <w:r w:rsidR="00740916">
        <w:rPr>
          <w:lang w:val="fr-FR"/>
        </w:rPr>
        <w:t> ».</w:t>
      </w:r>
    </w:p>
    <w:p w:rsidR="007526B3" w:rsidRPr="00CA58F0" w:rsidRDefault="007526B3" w:rsidP="002821EC">
      <w:pPr>
        <w:pStyle w:val="SingleTxtG"/>
        <w:rPr>
          <w:lang w:val="fr-FR"/>
        </w:rPr>
      </w:pPr>
      <w:r w:rsidRPr="00CA58F0">
        <w:rPr>
          <w:i/>
          <w:lang w:val="fr-FR"/>
        </w:rPr>
        <w:t xml:space="preserve">Le paragraphe 9.2 </w:t>
      </w:r>
      <w:r w:rsidRPr="00CA58F0">
        <w:rPr>
          <w:lang w:val="fr-FR"/>
        </w:rPr>
        <w:t>devient le paragraphe</w:t>
      </w:r>
      <w:r w:rsidRPr="00CA58F0">
        <w:rPr>
          <w:i/>
          <w:lang w:val="fr-FR"/>
        </w:rPr>
        <w:t xml:space="preserve"> </w:t>
      </w:r>
      <w:r w:rsidRPr="00CA58F0">
        <w:rPr>
          <w:lang w:val="fr-FR"/>
        </w:rPr>
        <w:t>9.1.1.</w:t>
      </w:r>
    </w:p>
    <w:p w:rsidR="007526B3" w:rsidRPr="00CA58F0" w:rsidRDefault="007526B3" w:rsidP="002821EC">
      <w:pPr>
        <w:pStyle w:val="SingleTxtG"/>
        <w:rPr>
          <w:bCs/>
          <w:lang w:val="fr-FR"/>
        </w:rPr>
      </w:pPr>
      <w:r w:rsidRPr="00CA58F0">
        <w:rPr>
          <w:i/>
          <w:lang w:val="fr-FR"/>
        </w:rPr>
        <w:t xml:space="preserve">Le paragraphe 9.3 </w:t>
      </w:r>
      <w:r w:rsidRPr="00CA58F0">
        <w:rPr>
          <w:lang w:val="fr-FR"/>
        </w:rPr>
        <w:t>devient le paragraphe 9.1.2.</w:t>
      </w:r>
    </w:p>
    <w:p w:rsidR="007526B3" w:rsidRPr="00CA58F0" w:rsidRDefault="007526B3" w:rsidP="002821EC">
      <w:pPr>
        <w:pStyle w:val="SingleTxtG"/>
        <w:rPr>
          <w:lang w:val="fr-FR"/>
        </w:rPr>
      </w:pPr>
      <w:r w:rsidRPr="00CA58F0">
        <w:rPr>
          <w:i/>
          <w:lang w:val="fr-FR"/>
        </w:rPr>
        <w:t>Le paragraphe 9.4</w:t>
      </w:r>
      <w:r w:rsidRPr="00CA58F0">
        <w:rPr>
          <w:lang w:val="fr-FR"/>
        </w:rPr>
        <w:t xml:space="preserve"> devient le paragraphe 9.2.</w:t>
      </w:r>
    </w:p>
    <w:p w:rsidR="007526B3" w:rsidRPr="00CA58F0" w:rsidRDefault="007526B3" w:rsidP="002821EC">
      <w:pPr>
        <w:pStyle w:val="SingleTxtG"/>
        <w:rPr>
          <w:lang w:val="fr-FR"/>
        </w:rPr>
      </w:pPr>
      <w:r w:rsidRPr="00CA58F0">
        <w:rPr>
          <w:i/>
          <w:lang w:val="fr-FR"/>
        </w:rPr>
        <w:t>Le paragraphe 9.5</w:t>
      </w:r>
      <w:r w:rsidRPr="00CA58F0">
        <w:rPr>
          <w:lang w:val="fr-FR"/>
        </w:rPr>
        <w:t xml:space="preserve"> devient le paragraphe 9.3.</w:t>
      </w:r>
    </w:p>
    <w:p w:rsidR="007526B3" w:rsidRPr="00CA58F0" w:rsidRDefault="007526B3" w:rsidP="002821EC">
      <w:pPr>
        <w:pStyle w:val="SingleTxtG"/>
        <w:rPr>
          <w:lang w:val="fr-FR"/>
        </w:rPr>
      </w:pPr>
      <w:r w:rsidRPr="00CA58F0">
        <w:rPr>
          <w:i/>
          <w:lang w:val="fr-FR"/>
        </w:rPr>
        <w:t xml:space="preserve">Le paragraphe 9.6 </w:t>
      </w:r>
      <w:r w:rsidRPr="00CA58F0">
        <w:rPr>
          <w:lang w:val="fr-FR"/>
        </w:rPr>
        <w:t>devient le paragraphe 9.4.</w:t>
      </w:r>
    </w:p>
    <w:p w:rsidR="007526B3" w:rsidRPr="00CA58F0" w:rsidRDefault="007526B3" w:rsidP="002821EC">
      <w:pPr>
        <w:pStyle w:val="SingleTxtG"/>
        <w:rPr>
          <w:rFonts w:eastAsia="SimSun"/>
          <w:bCs/>
          <w:lang w:val="fr-FR"/>
        </w:rPr>
      </w:pPr>
      <w:r w:rsidRPr="00CA58F0">
        <w:rPr>
          <w:rFonts w:eastAsia="SimSun"/>
          <w:bCs/>
          <w:i/>
          <w:lang w:val="fr-FR"/>
        </w:rPr>
        <w:t xml:space="preserve">Le paragraphe 13.5 </w:t>
      </w:r>
      <w:r w:rsidRPr="00CA58F0">
        <w:rPr>
          <w:rFonts w:eastAsia="SimSun"/>
          <w:bCs/>
          <w:lang w:val="fr-FR"/>
        </w:rPr>
        <w:t>devient le paragraphe 13.7.</w:t>
      </w:r>
    </w:p>
    <w:p w:rsidR="007526B3" w:rsidRPr="00CA58F0" w:rsidRDefault="007526B3" w:rsidP="002821EC">
      <w:pPr>
        <w:pStyle w:val="SingleTxtG"/>
        <w:rPr>
          <w:rFonts w:eastAsia="SimSun"/>
          <w:bCs/>
          <w:lang w:val="fr-FR"/>
        </w:rPr>
      </w:pPr>
      <w:r w:rsidRPr="00CA58F0">
        <w:rPr>
          <w:rFonts w:eastAsia="SimSun"/>
          <w:bCs/>
          <w:i/>
          <w:lang w:val="fr-FR"/>
        </w:rPr>
        <w:t>Ajouter de nouveaux paragraphes 13.5 et 13.6</w:t>
      </w:r>
      <w:r w:rsidRPr="00CA58F0">
        <w:rPr>
          <w:rFonts w:eastAsia="SimSun"/>
          <w:bCs/>
          <w:lang w:val="fr-FR"/>
        </w:rPr>
        <w:t>, libellés comme suit</w:t>
      </w:r>
      <w:r w:rsidR="00740916">
        <w:rPr>
          <w:rFonts w:eastAsia="SimSun"/>
          <w:bCs/>
          <w:lang w:val="fr-FR"/>
        </w:rPr>
        <w:t> </w:t>
      </w:r>
      <w:r w:rsidRPr="00CA58F0">
        <w:rPr>
          <w:rFonts w:eastAsia="SimSun"/>
          <w:bCs/>
          <w:lang w:val="fr-FR"/>
        </w:rPr>
        <w:t>:</w:t>
      </w:r>
    </w:p>
    <w:p w:rsidR="007526B3" w:rsidRPr="00CA58F0" w:rsidRDefault="007526B3" w:rsidP="002821EC">
      <w:pPr>
        <w:pStyle w:val="SingleTxtG"/>
        <w:ind w:left="2268" w:hanging="1134"/>
        <w:rPr>
          <w:rFonts w:eastAsia="SimSun"/>
          <w:bCs/>
          <w:lang w:val="fr-FR"/>
        </w:rPr>
      </w:pPr>
      <w:r w:rsidRPr="00CA58F0">
        <w:rPr>
          <w:rFonts w:eastAsia="SimSun"/>
          <w:bCs/>
          <w:lang w:val="fr-FR"/>
        </w:rPr>
        <w:t xml:space="preserve">« 13.5 </w:t>
      </w:r>
      <w:r w:rsidRPr="00CA58F0">
        <w:rPr>
          <w:rFonts w:eastAsia="SimSun"/>
          <w:bCs/>
          <w:lang w:val="fr-FR"/>
        </w:rPr>
        <w:tab/>
      </w:r>
      <w:r w:rsidRPr="00CA58F0">
        <w:rPr>
          <w:lang w:val="fr-FR"/>
        </w:rPr>
        <w:t>À compter de la date officielle d’entrée en vigueur de la série 02 d’amendements, aucune Partie contractante appliquant le présent Règlement ne pourra refuser d’accorder une homologation de type en vertu du présent Règlement tel que modifié par la série 02 d’amendements.</w:t>
      </w:r>
    </w:p>
    <w:p w:rsidR="007526B3" w:rsidRPr="00CA58F0" w:rsidRDefault="007526B3" w:rsidP="002821EC">
      <w:pPr>
        <w:pStyle w:val="SingleTxtG"/>
        <w:ind w:left="2268" w:hanging="1134"/>
        <w:rPr>
          <w:rFonts w:eastAsia="SimSun"/>
          <w:bCs/>
          <w:lang w:val="fr-FR"/>
        </w:rPr>
      </w:pPr>
      <w:r w:rsidRPr="00CA58F0">
        <w:rPr>
          <w:rFonts w:eastAsia="SimSun"/>
          <w:bCs/>
          <w:lang w:val="fr-FR"/>
        </w:rPr>
        <w:t xml:space="preserve">13.6. </w:t>
      </w:r>
      <w:r w:rsidRPr="00CA58F0">
        <w:rPr>
          <w:rFonts w:eastAsia="SimSun"/>
          <w:bCs/>
          <w:lang w:val="fr-FR"/>
        </w:rPr>
        <w:tab/>
      </w:r>
      <w:r w:rsidRPr="00CA58F0">
        <w:rPr>
          <w:lang w:val="fr-FR"/>
        </w:rPr>
        <w:t>À compter du 1</w:t>
      </w:r>
      <w:r w:rsidRPr="00CA58F0">
        <w:rPr>
          <w:vertAlign w:val="superscript"/>
          <w:lang w:val="fr-FR"/>
        </w:rPr>
        <w:t>er</w:t>
      </w:r>
      <w:r w:rsidRPr="00CA58F0">
        <w:rPr>
          <w:lang w:val="fr-FR"/>
        </w:rPr>
        <w:t> septembre</w:t>
      </w:r>
      <w:r w:rsidR="002C37B7">
        <w:rPr>
          <w:lang w:val="fr-FR"/>
        </w:rPr>
        <w:t xml:space="preserve"> </w:t>
      </w:r>
      <w:r w:rsidRPr="00CA58F0">
        <w:rPr>
          <w:lang w:val="fr-FR"/>
        </w:rPr>
        <w:t>2019, les Parties contractantes appliquant le présent Règlement ne pourront accorder d’homologation de type que si le type du projecteur à homologuer satisfait aux prescriptions dudit Règlement tel que modifié par la série 02 d’amendements. ».</w:t>
      </w:r>
    </w:p>
    <w:p w:rsidR="007526B3" w:rsidRPr="00CA58F0" w:rsidRDefault="007526B3" w:rsidP="002821EC">
      <w:pPr>
        <w:pStyle w:val="SingleTxtG"/>
        <w:rPr>
          <w:bCs/>
          <w:i/>
          <w:lang w:val="fr-FR"/>
        </w:rPr>
      </w:pPr>
      <w:r w:rsidRPr="00CA58F0">
        <w:rPr>
          <w:bCs/>
          <w:i/>
          <w:lang w:val="fr-FR"/>
        </w:rPr>
        <w:t xml:space="preserve">Annexe 4, </w:t>
      </w:r>
    </w:p>
    <w:p w:rsidR="007526B3" w:rsidRPr="00CA58F0" w:rsidRDefault="007526B3" w:rsidP="002821EC">
      <w:pPr>
        <w:pStyle w:val="SingleTxtG"/>
        <w:rPr>
          <w:lang w:val="fr-FR"/>
        </w:rPr>
      </w:pPr>
      <w:r w:rsidRPr="00CA58F0">
        <w:rPr>
          <w:bCs/>
          <w:i/>
          <w:lang w:val="fr-FR"/>
        </w:rPr>
        <w:t>Paragraphe 1.2.1.1.2,</w:t>
      </w:r>
      <w:r w:rsidRPr="00CA58F0">
        <w:rPr>
          <w:b/>
          <w:bCs/>
          <w:i/>
          <w:lang w:val="fr-FR"/>
        </w:rPr>
        <w:t xml:space="preserve"> </w:t>
      </w:r>
      <w:r w:rsidRPr="00CA58F0">
        <w:rPr>
          <w:bCs/>
          <w:lang w:val="fr-FR"/>
        </w:rPr>
        <w:t>lire</w:t>
      </w:r>
      <w:r w:rsidR="00740916">
        <w:rPr>
          <w:bCs/>
          <w:lang w:val="fr-FR"/>
        </w:rPr>
        <w:t> </w:t>
      </w:r>
      <w:r w:rsidRPr="00CA58F0">
        <w:rPr>
          <w:bCs/>
          <w:lang w:val="fr-FR"/>
        </w:rPr>
        <w:t>:</w:t>
      </w:r>
    </w:p>
    <w:p w:rsidR="007526B3" w:rsidRPr="00CA58F0" w:rsidRDefault="007526B3" w:rsidP="002821EC">
      <w:pPr>
        <w:pStyle w:val="SingleTxtG"/>
        <w:ind w:left="2268" w:hanging="1134"/>
        <w:rPr>
          <w:lang w:val="fr-FR"/>
        </w:rPr>
      </w:pPr>
      <w:r w:rsidRPr="00CA58F0">
        <w:rPr>
          <w:lang w:val="fr-FR"/>
        </w:rPr>
        <w:t>« 1.2.1.1.2</w:t>
      </w:r>
      <w:r w:rsidRPr="00CA58F0">
        <w:rPr>
          <w:lang w:val="fr-FR"/>
        </w:rPr>
        <w:tab/>
        <w:t>Pour un projecteur avec glace extérieure en plastique :</w:t>
      </w:r>
    </w:p>
    <w:p w:rsidR="007526B3" w:rsidRPr="00CA58F0" w:rsidRDefault="007526B3" w:rsidP="00B52CB9">
      <w:pPr>
        <w:spacing w:after="120"/>
        <w:ind w:left="2268" w:right="1134"/>
        <w:jc w:val="both"/>
        <w:rPr>
          <w:lang w:val="fr-FR"/>
        </w:rPr>
      </w:pPr>
      <w:r w:rsidRPr="00CA58F0">
        <w:rPr>
          <w:lang w:val="fr-FR"/>
        </w:rPr>
        <w:t>Le mélange d’eau et de polluant à appliquer sur le projecteur doit être constitué de :</w:t>
      </w:r>
    </w:p>
    <w:p w:rsidR="007526B3" w:rsidRPr="00B52CB9" w:rsidRDefault="007526B3" w:rsidP="00B52CB9">
      <w:pPr>
        <w:pStyle w:val="SingleTxtG"/>
        <w:ind w:left="2835" w:hanging="567"/>
        <w:rPr>
          <w:rFonts w:eastAsia="Times New Roman"/>
        </w:rPr>
      </w:pPr>
      <w:r w:rsidRPr="00B52CB9">
        <w:rPr>
          <w:rFonts w:eastAsia="Times New Roman"/>
        </w:rPr>
        <w:t>a)</w:t>
      </w:r>
      <w:r w:rsidRPr="00B52CB9">
        <w:rPr>
          <w:rFonts w:eastAsia="Times New Roman"/>
        </w:rPr>
        <w:tab/>
        <w:t>9</w:t>
      </w:r>
      <w:r w:rsidR="002C37B7">
        <w:rPr>
          <w:rFonts w:eastAsia="Times New Roman"/>
        </w:rPr>
        <w:t xml:space="preserve"> </w:t>
      </w:r>
      <w:r w:rsidRPr="00B52CB9">
        <w:rPr>
          <w:rFonts w:eastAsia="Times New Roman"/>
        </w:rPr>
        <w:t xml:space="preserve">parties (en poids) de sable de silice dont la granulométrie </w:t>
      </w:r>
      <w:r w:rsidRPr="00B52CB9">
        <w:rPr>
          <w:rFonts w:eastAsia="Times New Roman"/>
        </w:rPr>
        <w:tab/>
      </w:r>
      <w:r w:rsidRPr="00B52CB9">
        <w:rPr>
          <w:rFonts w:eastAsia="Times New Roman"/>
        </w:rPr>
        <w:tab/>
        <w:t>est comprise entre 0 et 100</w:t>
      </w:r>
      <w:r w:rsidR="002C37B7">
        <w:rPr>
          <w:rFonts w:eastAsia="Times New Roman"/>
        </w:rPr>
        <w:t xml:space="preserve"> </w:t>
      </w:r>
      <w:r w:rsidRPr="00B52CB9">
        <w:rPr>
          <w:rFonts w:eastAsia="Times New Roman"/>
        </w:rPr>
        <w:t>μm ;</w:t>
      </w:r>
    </w:p>
    <w:p w:rsidR="007526B3" w:rsidRPr="00CA58F0" w:rsidRDefault="007526B3" w:rsidP="00B52CB9">
      <w:pPr>
        <w:pStyle w:val="SingleTxtG"/>
        <w:ind w:left="2835" w:hanging="567"/>
        <w:rPr>
          <w:lang w:val="fr-FR"/>
        </w:rPr>
      </w:pPr>
      <w:r w:rsidRPr="00CA58F0">
        <w:rPr>
          <w:lang w:val="fr-FR"/>
        </w:rPr>
        <w:t>b)</w:t>
      </w:r>
      <w:r w:rsidRPr="00CA58F0">
        <w:rPr>
          <w:lang w:val="fr-FR"/>
        </w:rPr>
        <w:tab/>
        <w:t>1 partie (en poids) de poussière de charbon de bois (hêtre), dont la granulométrie est comprise entre 0 et 100</w:t>
      </w:r>
      <w:r w:rsidR="002C37B7">
        <w:rPr>
          <w:lang w:val="fr-FR"/>
        </w:rPr>
        <w:t xml:space="preserve"> </w:t>
      </w:r>
      <w:r w:rsidRPr="00CA58F0">
        <w:rPr>
          <w:lang w:val="fr-FR"/>
        </w:rPr>
        <w:t>μm ;</w:t>
      </w:r>
    </w:p>
    <w:p w:rsidR="007526B3" w:rsidRPr="00CA58F0" w:rsidRDefault="007526B3" w:rsidP="00B52CB9">
      <w:pPr>
        <w:pStyle w:val="SingleTxtG"/>
        <w:ind w:left="2835" w:hanging="567"/>
        <w:rPr>
          <w:lang w:val="fr-FR"/>
        </w:rPr>
      </w:pPr>
      <w:r w:rsidRPr="00CA58F0">
        <w:rPr>
          <w:lang w:val="fr-FR"/>
        </w:rPr>
        <w:t>c)</w:t>
      </w:r>
      <w:r w:rsidRPr="00CA58F0">
        <w:rPr>
          <w:lang w:val="fr-FR"/>
        </w:rPr>
        <w:tab/>
        <w:t>0,2 partie (en poids) de NaCMC</w:t>
      </w:r>
      <w:r w:rsidRPr="00CA58F0">
        <w:rPr>
          <w:vertAlign w:val="superscript"/>
          <w:lang w:val="fr-FR"/>
        </w:rPr>
        <w:t>3 </w:t>
      </w:r>
      <w:r w:rsidRPr="00CA58F0">
        <w:rPr>
          <w:lang w:val="fr-FR"/>
        </w:rPr>
        <w:t>;</w:t>
      </w:r>
    </w:p>
    <w:p w:rsidR="007526B3" w:rsidRPr="00CA58F0" w:rsidRDefault="007526B3" w:rsidP="00B52CB9">
      <w:pPr>
        <w:pStyle w:val="SingleTxtG"/>
        <w:ind w:left="2835" w:hanging="567"/>
        <w:rPr>
          <w:lang w:val="fr-FR"/>
        </w:rPr>
      </w:pPr>
      <w:r w:rsidRPr="00CA58F0">
        <w:rPr>
          <w:lang w:val="fr-FR"/>
        </w:rPr>
        <w:t>d)</w:t>
      </w:r>
      <w:r w:rsidRPr="00CA58F0">
        <w:rPr>
          <w:lang w:val="fr-FR"/>
        </w:rPr>
        <w:tab/>
        <w:t>5 parties (en poids) de chlorure de sodium (pur à 99 %) ;</w:t>
      </w:r>
    </w:p>
    <w:p w:rsidR="007526B3" w:rsidRPr="00CA58F0" w:rsidRDefault="007526B3" w:rsidP="00B52CB9">
      <w:pPr>
        <w:pStyle w:val="SingleTxtG"/>
        <w:ind w:left="2835" w:hanging="567"/>
        <w:rPr>
          <w:strike/>
          <w:vertAlign w:val="superscript"/>
          <w:lang w:val="fr-FR"/>
        </w:rPr>
      </w:pPr>
      <w:r w:rsidRPr="00CA58F0">
        <w:rPr>
          <w:lang w:val="fr-FR"/>
        </w:rPr>
        <w:t>e)</w:t>
      </w:r>
      <w:r w:rsidRPr="00CA58F0">
        <w:rPr>
          <w:lang w:val="fr-FR"/>
        </w:rPr>
        <w:tab/>
        <w:t xml:space="preserve">13 parties d’eau distillée de conductivité ≤1 mS/m ; et </w:t>
      </w:r>
    </w:p>
    <w:p w:rsidR="007526B3" w:rsidRPr="00CA58F0" w:rsidRDefault="007526B3" w:rsidP="00B52CB9">
      <w:pPr>
        <w:pStyle w:val="SingleTxtG"/>
        <w:ind w:left="2835" w:hanging="567"/>
        <w:rPr>
          <w:lang w:val="fr-FR"/>
        </w:rPr>
      </w:pPr>
      <w:r w:rsidRPr="00CA58F0">
        <w:rPr>
          <w:lang w:val="fr-FR"/>
        </w:rPr>
        <w:t>f)</w:t>
      </w:r>
      <w:r w:rsidRPr="00CA58F0">
        <w:rPr>
          <w:lang w:val="fr-FR"/>
        </w:rPr>
        <w:tab/>
        <w:t xml:space="preserve">2 </w:t>
      </w:r>
      <w:r w:rsidR="002C37B7" w:rsidRPr="002C37B7">
        <w:rPr>
          <w:lang w:val="fr-CA"/>
        </w:rPr>
        <w:sym w:font="Symbol" w:char="F0B1"/>
      </w:r>
      <w:r w:rsidR="002C37B7">
        <w:rPr>
          <w:lang w:val="fr-CA"/>
        </w:rPr>
        <w:t xml:space="preserve"> </w:t>
      </w:r>
      <w:r w:rsidRPr="00CA58F0">
        <w:rPr>
          <w:lang w:val="fr-FR"/>
        </w:rPr>
        <w:t>1 gouttes d’agent tensioactif</w:t>
      </w:r>
      <w:r w:rsidRPr="00CA58F0">
        <w:rPr>
          <w:vertAlign w:val="superscript"/>
          <w:lang w:val="fr-FR"/>
        </w:rPr>
        <w:t xml:space="preserve"> 4</w:t>
      </w:r>
      <w:r w:rsidRPr="00CA58F0">
        <w:rPr>
          <w:lang w:val="fr-FR"/>
        </w:rPr>
        <w:t>.</w:t>
      </w:r>
    </w:p>
    <w:p w:rsidR="007526B3" w:rsidRPr="00CA58F0" w:rsidRDefault="007526B3" w:rsidP="00B52CB9">
      <w:pPr>
        <w:spacing w:after="120"/>
        <w:ind w:left="2268" w:right="1134"/>
        <w:jc w:val="both"/>
        <w:rPr>
          <w:lang w:val="fr-FR"/>
        </w:rPr>
      </w:pPr>
      <w:r w:rsidRPr="00CA58F0">
        <w:rPr>
          <w:lang w:val="fr-FR"/>
        </w:rPr>
        <w:t>Le mélange ne doit pas dater de plus de 14 jours. ».</w:t>
      </w:r>
    </w:p>
    <w:p w:rsidR="007526B3" w:rsidRPr="00CA58F0" w:rsidRDefault="007526B3" w:rsidP="00432CF6">
      <w:pPr>
        <w:pStyle w:val="SingleTxtG"/>
        <w:rPr>
          <w:lang w:val="fr-FR"/>
        </w:rPr>
      </w:pPr>
      <w:r w:rsidRPr="00CA58F0">
        <w:rPr>
          <w:i/>
          <w:lang w:val="fr-FR"/>
        </w:rPr>
        <w:t>Paragraphe 2.2</w:t>
      </w:r>
      <w:r w:rsidRPr="00CA58F0">
        <w:rPr>
          <w:lang w:val="fr-FR"/>
        </w:rPr>
        <w:t>, lire</w:t>
      </w:r>
      <w:r w:rsidR="00740916">
        <w:rPr>
          <w:lang w:val="fr-FR"/>
        </w:rPr>
        <w:t> </w:t>
      </w:r>
      <w:r w:rsidRPr="00CA58F0">
        <w:rPr>
          <w:lang w:val="fr-FR"/>
        </w:rPr>
        <w:t>:</w:t>
      </w:r>
    </w:p>
    <w:p w:rsidR="007526B3" w:rsidRPr="00B52CB9" w:rsidRDefault="007526B3" w:rsidP="00432CF6">
      <w:pPr>
        <w:pStyle w:val="SingleTxtG"/>
        <w:ind w:left="2268" w:hanging="1134"/>
        <w:rPr>
          <w:lang w:val="fr-FR"/>
        </w:rPr>
      </w:pPr>
      <w:r w:rsidRPr="00B52CB9">
        <w:rPr>
          <w:lang w:val="fr-FR"/>
        </w:rPr>
        <w:t>« 2.2</w:t>
      </w:r>
      <w:r w:rsidRPr="00B52CB9">
        <w:rPr>
          <w:lang w:val="fr-FR"/>
        </w:rPr>
        <w:tab/>
        <w:t>Résultats de l’essai</w:t>
      </w:r>
    </w:p>
    <w:p w:rsidR="007526B3" w:rsidRPr="00CA58F0" w:rsidRDefault="007526B3" w:rsidP="00432CF6">
      <w:pPr>
        <w:pStyle w:val="SingleTxtG"/>
        <w:ind w:left="2268" w:hanging="1134"/>
        <w:rPr>
          <w:lang w:val="fr-FR"/>
        </w:rPr>
      </w:pPr>
      <w:r w:rsidRPr="00CA58F0">
        <w:rPr>
          <w:lang w:val="fr-FR"/>
        </w:rPr>
        <w:t>2.2.1</w:t>
      </w:r>
      <w:r w:rsidRPr="00CA58F0">
        <w:rPr>
          <w:lang w:val="fr-FR"/>
        </w:rPr>
        <w:tab/>
        <w:t>Le résultat exprimé en milliradians (mrad) est considéré comme acceptable pour un feu de croisement quand la valeur absolue Δ r</w:t>
      </w:r>
      <w:r w:rsidRPr="00CA58F0">
        <w:rPr>
          <w:vertAlign w:val="subscript"/>
          <w:lang w:val="fr-FR"/>
        </w:rPr>
        <w:t>I</w:t>
      </w:r>
      <w:r w:rsidRPr="00CA58F0">
        <w:rPr>
          <w:lang w:val="fr-FR"/>
        </w:rPr>
        <w:t xml:space="preserve"> = | r</w:t>
      </w:r>
      <w:r w:rsidRPr="00CA58F0">
        <w:rPr>
          <w:vertAlign w:val="subscript"/>
          <w:lang w:val="fr-FR"/>
        </w:rPr>
        <w:t>3</w:t>
      </w:r>
      <w:r w:rsidRPr="00CA58F0">
        <w:rPr>
          <w:lang w:val="fr-FR"/>
        </w:rPr>
        <w:t xml:space="preserve"> - r</w:t>
      </w:r>
      <w:r w:rsidRPr="00CA58F0">
        <w:rPr>
          <w:vertAlign w:val="subscript"/>
          <w:lang w:val="fr-FR"/>
        </w:rPr>
        <w:t>60</w:t>
      </w:r>
      <w:r w:rsidRPr="00CA58F0">
        <w:rPr>
          <w:lang w:val="fr-FR"/>
        </w:rPr>
        <w:t xml:space="preserve"> | enregistrée sur le projecteur n’est pas supérieure à 1,0 mrad (Δ r</w:t>
      </w:r>
      <w:r w:rsidRPr="00CA58F0">
        <w:rPr>
          <w:vertAlign w:val="subscript"/>
          <w:lang w:val="fr-FR"/>
        </w:rPr>
        <w:t>I</w:t>
      </w:r>
      <w:r w:rsidRPr="00CA58F0">
        <w:rPr>
          <w:lang w:val="fr-FR"/>
        </w:rPr>
        <w:t> &lt; 1,0 mrad) vers le haut ni à 2,0 mrad (Δ r</w:t>
      </w:r>
      <w:r w:rsidRPr="00CA58F0">
        <w:rPr>
          <w:vertAlign w:val="subscript"/>
          <w:lang w:val="fr-FR"/>
        </w:rPr>
        <w:t>I</w:t>
      </w:r>
      <w:r w:rsidRPr="00CA58F0">
        <w:rPr>
          <w:lang w:val="fr-FR"/>
        </w:rPr>
        <w:t> </w:t>
      </w:r>
      <w:r w:rsidRPr="00CA58F0">
        <w:rPr>
          <w:u w:val="single"/>
          <w:lang w:val="fr-FR"/>
        </w:rPr>
        <w:t>&lt;</w:t>
      </w:r>
      <w:r w:rsidRPr="00CA58F0">
        <w:rPr>
          <w:lang w:val="fr-FR"/>
        </w:rPr>
        <w:t> 2,0 mrad) vers le bas.</w:t>
      </w:r>
    </w:p>
    <w:p w:rsidR="007526B3" w:rsidRPr="00CA58F0" w:rsidRDefault="007526B3" w:rsidP="00784B6A">
      <w:pPr>
        <w:pStyle w:val="SingleTxtG"/>
        <w:keepNext/>
        <w:spacing w:after="100" w:line="236" w:lineRule="exact"/>
        <w:ind w:left="2268" w:hanging="1134"/>
        <w:rPr>
          <w:b/>
          <w:lang w:val="fr-FR"/>
        </w:rPr>
      </w:pPr>
      <w:r w:rsidRPr="00CA58F0">
        <w:rPr>
          <w:lang w:val="fr-FR"/>
        </w:rPr>
        <w:lastRenderedPageBreak/>
        <w:t>2.2.2</w:t>
      </w:r>
      <w:r w:rsidRPr="00CA58F0">
        <w:rPr>
          <w:lang w:val="fr-FR"/>
        </w:rPr>
        <w:tab/>
        <w:t>Cependant, si cette valeur est :</w:t>
      </w:r>
    </w:p>
    <w:tbl>
      <w:tblPr>
        <w:tblW w:w="7370" w:type="dxa"/>
        <w:tblInd w:w="1134" w:type="dxa"/>
        <w:tblLayout w:type="fixed"/>
        <w:tblCellMar>
          <w:left w:w="0" w:type="dxa"/>
          <w:right w:w="0" w:type="dxa"/>
        </w:tblCellMar>
        <w:tblLook w:val="04A0" w:firstRow="1" w:lastRow="0" w:firstColumn="1" w:lastColumn="0" w:noHBand="0" w:noVBand="1"/>
      </w:tblPr>
      <w:tblGrid>
        <w:gridCol w:w="2409"/>
        <w:gridCol w:w="4961"/>
      </w:tblGrid>
      <w:tr w:rsidR="00CD02D9" w:rsidRPr="00CD02D9" w:rsidTr="00CD02D9">
        <w:trPr>
          <w:tblHeader/>
        </w:trPr>
        <w:tc>
          <w:tcPr>
            <w:tcW w:w="2409" w:type="dxa"/>
            <w:tcBorders>
              <w:top w:val="single" w:sz="4" w:space="0" w:color="auto"/>
              <w:bottom w:val="single" w:sz="12" w:space="0" w:color="auto"/>
            </w:tcBorders>
            <w:shd w:val="clear" w:color="auto" w:fill="auto"/>
            <w:vAlign w:val="bottom"/>
          </w:tcPr>
          <w:p w:rsidR="007526B3" w:rsidRPr="00CD02D9" w:rsidRDefault="007526B3" w:rsidP="00CD02D9">
            <w:pPr>
              <w:spacing w:before="80" w:after="80" w:line="200" w:lineRule="exact"/>
              <w:ind w:right="113"/>
              <w:rPr>
                <w:i/>
                <w:sz w:val="16"/>
                <w:lang w:val="fr-FR"/>
              </w:rPr>
            </w:pPr>
            <w:r w:rsidRPr="00CD02D9">
              <w:rPr>
                <w:i/>
                <w:sz w:val="16"/>
                <w:lang w:val="fr-FR"/>
              </w:rPr>
              <w:t>Sens de déplacement</w:t>
            </w:r>
          </w:p>
        </w:tc>
        <w:tc>
          <w:tcPr>
            <w:tcW w:w="4961" w:type="dxa"/>
            <w:tcBorders>
              <w:top w:val="single" w:sz="4" w:space="0" w:color="auto"/>
              <w:bottom w:val="single" w:sz="12" w:space="0" w:color="auto"/>
            </w:tcBorders>
            <w:shd w:val="clear" w:color="auto" w:fill="auto"/>
            <w:vAlign w:val="bottom"/>
          </w:tcPr>
          <w:p w:rsidR="007526B3" w:rsidRPr="00CD02D9" w:rsidRDefault="007526B3" w:rsidP="00CD02D9">
            <w:pPr>
              <w:spacing w:before="80" w:after="80" w:line="200" w:lineRule="exact"/>
              <w:ind w:right="113"/>
              <w:rPr>
                <w:i/>
                <w:sz w:val="16"/>
                <w:lang w:val="fr-FR"/>
              </w:rPr>
            </w:pPr>
          </w:p>
        </w:tc>
      </w:tr>
      <w:tr w:rsidR="00CD02D9" w:rsidRPr="00CD02D9" w:rsidTr="00CD02D9">
        <w:trPr>
          <w:trHeight w:hRule="exact" w:val="113"/>
        </w:trPr>
        <w:tc>
          <w:tcPr>
            <w:tcW w:w="2409" w:type="dxa"/>
            <w:tcBorders>
              <w:top w:val="single" w:sz="12" w:space="0" w:color="auto"/>
            </w:tcBorders>
            <w:shd w:val="clear" w:color="auto" w:fill="auto"/>
          </w:tcPr>
          <w:p w:rsidR="00CD02D9" w:rsidRPr="00CD02D9" w:rsidRDefault="00CD02D9" w:rsidP="00CD02D9">
            <w:pPr>
              <w:spacing w:before="40" w:after="120"/>
              <w:ind w:right="113"/>
              <w:rPr>
                <w:lang w:val="fr-FR"/>
              </w:rPr>
            </w:pPr>
          </w:p>
        </w:tc>
        <w:tc>
          <w:tcPr>
            <w:tcW w:w="4961" w:type="dxa"/>
            <w:tcBorders>
              <w:top w:val="single" w:sz="12" w:space="0" w:color="auto"/>
            </w:tcBorders>
            <w:shd w:val="clear" w:color="auto" w:fill="auto"/>
          </w:tcPr>
          <w:p w:rsidR="00CD02D9" w:rsidRPr="00CD02D9" w:rsidRDefault="00CD02D9" w:rsidP="00CD02D9">
            <w:pPr>
              <w:spacing w:before="40" w:after="120"/>
              <w:ind w:right="113"/>
              <w:rPr>
                <w:lang w:val="fr-FR"/>
              </w:rPr>
            </w:pPr>
          </w:p>
        </w:tc>
      </w:tr>
      <w:tr w:rsidR="00CD02D9" w:rsidRPr="00CD02D9" w:rsidTr="00CD02D9">
        <w:tc>
          <w:tcPr>
            <w:tcW w:w="2409" w:type="dxa"/>
            <w:shd w:val="clear" w:color="auto" w:fill="auto"/>
          </w:tcPr>
          <w:p w:rsidR="007526B3" w:rsidRPr="00CD02D9" w:rsidRDefault="007526B3" w:rsidP="00784B6A">
            <w:pPr>
              <w:spacing w:before="40" w:after="100" w:line="236" w:lineRule="exact"/>
              <w:ind w:right="113"/>
              <w:rPr>
                <w:lang w:val="fr-FR"/>
              </w:rPr>
            </w:pPr>
            <w:r w:rsidRPr="00CD02D9">
              <w:rPr>
                <w:lang w:val="fr-FR"/>
              </w:rPr>
              <w:t>Vers le haut</w:t>
            </w:r>
          </w:p>
        </w:tc>
        <w:tc>
          <w:tcPr>
            <w:tcW w:w="4961" w:type="dxa"/>
            <w:shd w:val="clear" w:color="auto" w:fill="auto"/>
          </w:tcPr>
          <w:p w:rsidR="007526B3" w:rsidRPr="00CD02D9" w:rsidRDefault="007526B3" w:rsidP="00784B6A">
            <w:pPr>
              <w:spacing w:before="40" w:after="100" w:line="236" w:lineRule="exact"/>
              <w:ind w:right="113"/>
              <w:rPr>
                <w:lang w:val="fr-FR"/>
              </w:rPr>
            </w:pPr>
            <w:r w:rsidRPr="00CD02D9">
              <w:rPr>
                <w:lang w:val="fr-FR"/>
              </w:rPr>
              <w:t>Supérieure à 1,0 mrad mais inférieure ou égale à 1,5 mrad (1,0 mrad &lt; Δ r</w:t>
            </w:r>
            <w:r w:rsidRPr="00CD02D9">
              <w:rPr>
                <w:vertAlign w:val="subscript"/>
                <w:lang w:val="fr-FR"/>
              </w:rPr>
              <w:t>I</w:t>
            </w:r>
            <w:r w:rsidRPr="00CD02D9">
              <w:rPr>
                <w:lang w:val="fr-FR"/>
              </w:rPr>
              <w:t xml:space="preserve"> </w:t>
            </w:r>
            <w:r w:rsidRPr="00CD02D9">
              <w:rPr>
                <w:u w:val="single"/>
                <w:lang w:val="fr-FR"/>
              </w:rPr>
              <w:t>&lt;</w:t>
            </w:r>
            <w:r w:rsidRPr="00CD02D9">
              <w:rPr>
                <w:lang w:val="fr-FR"/>
              </w:rPr>
              <w:t xml:space="preserve"> 1,5 mrad)</w:t>
            </w:r>
          </w:p>
        </w:tc>
      </w:tr>
      <w:tr w:rsidR="00CD02D9" w:rsidRPr="00CD02D9" w:rsidTr="00CD02D9">
        <w:tc>
          <w:tcPr>
            <w:tcW w:w="2409" w:type="dxa"/>
            <w:tcBorders>
              <w:bottom w:val="single" w:sz="12" w:space="0" w:color="auto"/>
            </w:tcBorders>
            <w:shd w:val="clear" w:color="auto" w:fill="auto"/>
          </w:tcPr>
          <w:p w:rsidR="007526B3" w:rsidRPr="00CD02D9" w:rsidRDefault="007526B3" w:rsidP="00784B6A">
            <w:pPr>
              <w:spacing w:before="40" w:after="100" w:line="236" w:lineRule="exact"/>
              <w:ind w:right="113"/>
              <w:rPr>
                <w:lang w:val="fr-FR"/>
              </w:rPr>
            </w:pPr>
            <w:r w:rsidRPr="00CD02D9">
              <w:rPr>
                <w:lang w:val="fr-FR"/>
              </w:rPr>
              <w:t>Vers le bas</w:t>
            </w:r>
          </w:p>
        </w:tc>
        <w:tc>
          <w:tcPr>
            <w:tcW w:w="4961" w:type="dxa"/>
            <w:tcBorders>
              <w:bottom w:val="single" w:sz="12" w:space="0" w:color="auto"/>
            </w:tcBorders>
            <w:shd w:val="clear" w:color="auto" w:fill="auto"/>
          </w:tcPr>
          <w:p w:rsidR="007526B3" w:rsidRPr="00CD02D9" w:rsidRDefault="007526B3" w:rsidP="00784B6A">
            <w:pPr>
              <w:spacing w:before="40" w:after="100" w:line="236" w:lineRule="exact"/>
              <w:ind w:right="113"/>
              <w:rPr>
                <w:lang w:val="fr-FR"/>
              </w:rPr>
            </w:pPr>
            <w:r w:rsidRPr="00CD02D9">
              <w:rPr>
                <w:lang w:val="fr-FR"/>
              </w:rPr>
              <w:t>Supérieure à 2,0 mrad mais inférieure ou égale à 3,0 mrad (2,0 mrad &lt; Δ r</w:t>
            </w:r>
            <w:r w:rsidRPr="00CD02D9">
              <w:rPr>
                <w:vertAlign w:val="subscript"/>
                <w:lang w:val="fr-FR"/>
              </w:rPr>
              <w:t>I</w:t>
            </w:r>
            <w:r w:rsidRPr="00CD02D9">
              <w:rPr>
                <w:lang w:val="fr-FR"/>
              </w:rPr>
              <w:t xml:space="preserve"> </w:t>
            </w:r>
            <w:r w:rsidRPr="00CD02D9">
              <w:rPr>
                <w:u w:val="single"/>
                <w:lang w:val="fr-FR"/>
              </w:rPr>
              <w:t>&lt;</w:t>
            </w:r>
            <w:r w:rsidRPr="00CD02D9">
              <w:rPr>
                <w:lang w:val="fr-FR"/>
              </w:rPr>
              <w:t xml:space="preserve"> 3,0 mrad)</w:t>
            </w:r>
          </w:p>
        </w:tc>
      </w:tr>
    </w:tbl>
    <w:p w:rsidR="007526B3" w:rsidRPr="00CA58F0" w:rsidRDefault="007526B3" w:rsidP="00CD02D9">
      <w:pPr>
        <w:spacing w:before="240" w:after="100" w:line="228" w:lineRule="exact"/>
        <w:ind w:left="2268" w:right="1134"/>
        <w:jc w:val="both"/>
        <w:rPr>
          <w:lang w:val="fr-FR"/>
        </w:rPr>
      </w:pPr>
      <w:r w:rsidRPr="00CA58F0">
        <w:rPr>
          <w:lang w:val="fr-FR"/>
        </w:rPr>
        <w:tab/>
        <w:t>Un autre échantillon de projecteur monté sur un appareillage d’essai représentatif de son installation correcte sur le véhicule est mis à l’essai comme prévu au paragraphe</w:t>
      </w:r>
      <w:r w:rsidR="003B272C">
        <w:rPr>
          <w:lang w:val="fr-FR"/>
        </w:rPr>
        <w:t xml:space="preserve"> </w:t>
      </w:r>
      <w:r w:rsidRPr="00CA58F0">
        <w:rPr>
          <w:lang w:val="fr-FR"/>
        </w:rPr>
        <w:t>2.1 ci-dessus, après avoir été soumis trois fois de suite au cycle décrit ci-dessous, afin de stabiliser la position des parties mécaniques du projecteur :</w:t>
      </w:r>
    </w:p>
    <w:p w:rsidR="007526B3" w:rsidRPr="00CA58F0" w:rsidRDefault="007526B3" w:rsidP="00CD02D9">
      <w:pPr>
        <w:pStyle w:val="SingleTxtG"/>
        <w:spacing w:after="100" w:line="228" w:lineRule="exact"/>
        <w:ind w:left="2835" w:hanging="567"/>
        <w:rPr>
          <w:lang w:val="fr-FR"/>
        </w:rPr>
      </w:pPr>
      <w:r w:rsidRPr="00CA58F0">
        <w:rPr>
          <w:lang w:val="fr-FR"/>
        </w:rPr>
        <w:t>a)</w:t>
      </w:r>
      <w:r w:rsidRPr="00CA58F0">
        <w:rPr>
          <w:lang w:val="fr-FR"/>
        </w:rPr>
        <w:tab/>
        <w:t>Feu de croisement allumé pendant 1</w:t>
      </w:r>
      <w:r w:rsidR="003B272C">
        <w:rPr>
          <w:lang w:val="fr-FR"/>
        </w:rPr>
        <w:t xml:space="preserve"> </w:t>
      </w:r>
      <w:r w:rsidRPr="00CA58F0">
        <w:rPr>
          <w:lang w:val="fr-FR"/>
        </w:rPr>
        <w:t>heure (la tension étant réglée comme prévu au paragraphe</w:t>
      </w:r>
      <w:r w:rsidR="003B272C">
        <w:rPr>
          <w:lang w:val="fr-FR"/>
        </w:rPr>
        <w:t xml:space="preserve"> </w:t>
      </w:r>
      <w:r w:rsidRPr="00CA58F0">
        <w:rPr>
          <w:lang w:val="fr-FR"/>
        </w:rPr>
        <w:t>1.1.1.2 de la présente annexe) ;</w:t>
      </w:r>
    </w:p>
    <w:p w:rsidR="007526B3" w:rsidRPr="00CA58F0" w:rsidRDefault="007526B3" w:rsidP="00CD02D9">
      <w:pPr>
        <w:pStyle w:val="SingleTxtG"/>
        <w:spacing w:after="100" w:line="228" w:lineRule="exact"/>
        <w:ind w:left="2835" w:hanging="567"/>
        <w:rPr>
          <w:lang w:val="fr-FR"/>
        </w:rPr>
      </w:pPr>
      <w:r w:rsidRPr="00CA58F0">
        <w:rPr>
          <w:lang w:val="fr-FR"/>
        </w:rPr>
        <w:t>b)</w:t>
      </w:r>
      <w:r w:rsidRPr="00CA58F0">
        <w:rPr>
          <w:lang w:val="fr-FR"/>
        </w:rPr>
        <w:tab/>
        <w:t xml:space="preserve">Feu </w:t>
      </w:r>
      <w:r w:rsidRPr="00B52CB9">
        <w:rPr>
          <w:rFonts w:eastAsia="Times New Roman"/>
        </w:rPr>
        <w:t>de</w:t>
      </w:r>
      <w:r w:rsidRPr="00CA58F0">
        <w:rPr>
          <w:lang w:val="fr-FR"/>
        </w:rPr>
        <w:t xml:space="preserve"> croisement éteint pendant 1 heure.</w:t>
      </w:r>
    </w:p>
    <w:p w:rsidR="007526B3" w:rsidRPr="00CA58F0" w:rsidRDefault="007526B3" w:rsidP="00CD02D9">
      <w:pPr>
        <w:spacing w:after="100" w:line="228" w:lineRule="exact"/>
        <w:ind w:left="2268" w:right="1134"/>
        <w:jc w:val="both"/>
        <w:rPr>
          <w:lang w:val="fr-FR"/>
        </w:rPr>
      </w:pPr>
      <w:r w:rsidRPr="00CA58F0">
        <w:rPr>
          <w:lang w:val="fr-FR"/>
        </w:rPr>
        <w:t xml:space="preserve">Après avoir été soumis trois fois de suite à ce cycle, le projecteur est considéré comme acceptable si les valeurs absolues ∆r mesurées sur cet autre échantillon comme prévu au paragraphe 2.1 ci-dessus satisfont aux prescriptions du paragraphe 2.2.1 ci-dessus. ». </w:t>
      </w:r>
    </w:p>
    <w:p w:rsidR="007526B3" w:rsidRPr="00CA58F0" w:rsidRDefault="007526B3" w:rsidP="00CD02D9">
      <w:pPr>
        <w:pStyle w:val="SingleTxtG"/>
        <w:keepNext/>
        <w:spacing w:after="100" w:line="228" w:lineRule="exact"/>
        <w:rPr>
          <w:i/>
          <w:lang w:val="fr-FR"/>
        </w:rPr>
      </w:pPr>
      <w:r w:rsidRPr="00CA58F0">
        <w:rPr>
          <w:i/>
          <w:lang w:val="fr-FR"/>
        </w:rPr>
        <w:t xml:space="preserve">Annexe 5, </w:t>
      </w:r>
    </w:p>
    <w:p w:rsidR="007526B3" w:rsidRPr="00CA58F0" w:rsidRDefault="007526B3" w:rsidP="00CD02D9">
      <w:pPr>
        <w:pStyle w:val="SingleTxtG"/>
        <w:keepNext/>
        <w:spacing w:after="100" w:line="228" w:lineRule="exact"/>
        <w:rPr>
          <w:lang w:val="fr-FR"/>
        </w:rPr>
      </w:pPr>
      <w:r w:rsidRPr="00CA58F0">
        <w:rPr>
          <w:i/>
          <w:lang w:val="fr-FR"/>
        </w:rPr>
        <w:t>Paragraphe 1.4</w:t>
      </w:r>
      <w:r w:rsidRPr="00CA58F0">
        <w:rPr>
          <w:lang w:val="fr-FR"/>
        </w:rPr>
        <w:t>, lire :</w:t>
      </w:r>
    </w:p>
    <w:p w:rsidR="007526B3" w:rsidRPr="00CA58F0" w:rsidRDefault="007526B3" w:rsidP="00CD02D9">
      <w:pPr>
        <w:pStyle w:val="SingleTxtG"/>
        <w:keepNext/>
        <w:spacing w:after="100" w:line="228" w:lineRule="exact"/>
        <w:ind w:left="2268" w:hanging="1134"/>
        <w:rPr>
          <w:lang w:val="fr-FR"/>
        </w:rPr>
      </w:pPr>
      <w:r w:rsidRPr="00CA58F0">
        <w:rPr>
          <w:lang w:val="fr-FR"/>
        </w:rPr>
        <w:t xml:space="preserve">« 1.4 </w:t>
      </w:r>
      <w:r w:rsidRPr="00CA58F0">
        <w:rPr>
          <w:lang w:val="fr-FR"/>
        </w:rPr>
        <w:tab/>
        <w:t>Pour vérifier le déplacement de la position verticale de la ligne de coupure sous l’effet de la chaleur, la méthode ci-dessous est appliquée (pour des projecteurs des classes B, C, D et E seulement) :</w:t>
      </w:r>
    </w:p>
    <w:p w:rsidR="007526B3" w:rsidRPr="00CA58F0" w:rsidRDefault="007526B3" w:rsidP="00CD02D9">
      <w:pPr>
        <w:spacing w:after="100" w:line="228" w:lineRule="exact"/>
        <w:ind w:left="2268" w:right="1134"/>
        <w:jc w:val="both"/>
        <w:rPr>
          <w:lang w:val="fr-FR"/>
        </w:rPr>
      </w:pPr>
      <w:r w:rsidRPr="00CA58F0">
        <w:rPr>
          <w:lang w:val="fr-FR"/>
        </w:rPr>
        <w:t>Un des projecteurs prélevés est soumis aux essais conformément à la méthode prévue au paragraphe 2.1 de l’annexe 4, après avoir été soumis trois fois de suite au cycle défini au paragraphe</w:t>
      </w:r>
      <w:r w:rsidR="003B272C">
        <w:rPr>
          <w:lang w:val="fr-FR"/>
        </w:rPr>
        <w:t xml:space="preserve"> </w:t>
      </w:r>
      <w:r w:rsidRPr="00CA58F0">
        <w:rPr>
          <w:lang w:val="fr-FR"/>
        </w:rPr>
        <w:t>2.2.2 de l’annexe 4.</w:t>
      </w:r>
    </w:p>
    <w:p w:rsidR="007526B3" w:rsidRPr="00CA58F0" w:rsidRDefault="007526B3" w:rsidP="00CD02D9">
      <w:pPr>
        <w:spacing w:after="100" w:line="228" w:lineRule="exact"/>
        <w:ind w:left="2268" w:right="1134"/>
        <w:jc w:val="both"/>
        <w:rPr>
          <w:lang w:val="fr-FR"/>
        </w:rPr>
      </w:pPr>
      <w:r w:rsidRPr="00CA58F0">
        <w:rPr>
          <w:lang w:val="fr-FR"/>
        </w:rPr>
        <w:t>Le projecteur est considéré comme acceptable si ∆r ne dépasse pas 1,5 mrad vers le haut et 2,5 mrad vers le bas.</w:t>
      </w:r>
    </w:p>
    <w:p w:rsidR="007526B3" w:rsidRPr="00CA58F0" w:rsidRDefault="007526B3" w:rsidP="00CD02D9">
      <w:pPr>
        <w:spacing w:after="100" w:line="228" w:lineRule="exact"/>
        <w:ind w:left="2268" w:right="1134"/>
        <w:jc w:val="both"/>
        <w:rPr>
          <w:bCs/>
          <w:lang w:val="fr-FR"/>
        </w:rPr>
      </w:pPr>
      <w:r w:rsidRPr="00CA58F0">
        <w:rPr>
          <w:lang w:val="fr-FR"/>
        </w:rPr>
        <w:t>Si cette valeur dépasse 1,5 mrad sans excéder 2,0 mrad vers le haut ou si elle dépasse 2,5 mrad sans excéder 3,0 mrad vers le bas, un second spécimen est soumis à l’essai, après quoi la moyenne des valeurs absolues enregistrées pour les deux spécimens ne doit pas dépasser 1,5 mrad vers le haut et 2,5 mrad vers le bas. ».</w:t>
      </w:r>
    </w:p>
    <w:p w:rsidR="007526B3" w:rsidRPr="00CA58F0" w:rsidRDefault="007526B3" w:rsidP="00CD02D9">
      <w:pPr>
        <w:pStyle w:val="SingleTxtG"/>
        <w:keepNext/>
        <w:spacing w:after="100" w:line="228" w:lineRule="exact"/>
        <w:rPr>
          <w:i/>
          <w:lang w:val="fr-FR"/>
        </w:rPr>
      </w:pPr>
      <w:r w:rsidRPr="00CA58F0">
        <w:rPr>
          <w:i/>
          <w:lang w:val="fr-FR"/>
        </w:rPr>
        <w:t xml:space="preserve">Annexe 7, </w:t>
      </w:r>
    </w:p>
    <w:p w:rsidR="007526B3" w:rsidRPr="00CA58F0" w:rsidRDefault="007526B3" w:rsidP="00CD02D9">
      <w:pPr>
        <w:pStyle w:val="SingleTxtG"/>
        <w:keepNext/>
        <w:spacing w:after="100" w:line="228" w:lineRule="exact"/>
        <w:rPr>
          <w:lang w:val="fr-FR"/>
        </w:rPr>
      </w:pPr>
      <w:r w:rsidRPr="00CA58F0">
        <w:rPr>
          <w:i/>
          <w:lang w:val="fr-FR"/>
        </w:rPr>
        <w:t xml:space="preserve">Paragraphes 2 à 5, </w:t>
      </w:r>
      <w:r w:rsidRPr="00CA58F0">
        <w:rPr>
          <w:lang w:val="fr-FR"/>
        </w:rPr>
        <w:t>lire</w:t>
      </w:r>
      <w:r w:rsidR="00740916">
        <w:rPr>
          <w:lang w:val="fr-FR"/>
        </w:rPr>
        <w:t> </w:t>
      </w:r>
      <w:r w:rsidRPr="00CA58F0">
        <w:rPr>
          <w:lang w:val="fr-FR"/>
        </w:rPr>
        <w:t>:</w:t>
      </w:r>
    </w:p>
    <w:p w:rsidR="007526B3" w:rsidRPr="00CA58F0" w:rsidRDefault="007526B3" w:rsidP="00CD02D9">
      <w:pPr>
        <w:pStyle w:val="SingleTxtG"/>
        <w:keepNext/>
        <w:spacing w:after="100" w:line="228" w:lineRule="exact"/>
        <w:ind w:left="2268" w:hanging="1134"/>
        <w:rPr>
          <w:lang w:val="fr-FR"/>
        </w:rPr>
      </w:pPr>
      <w:r w:rsidRPr="00DB62AB">
        <w:rPr>
          <w:rFonts w:eastAsia="Times New Roman"/>
        </w:rPr>
        <w:t>«</w:t>
      </w:r>
      <w:r w:rsidRPr="00CA58F0">
        <w:rPr>
          <w:lang w:val="fr-FR"/>
        </w:rPr>
        <w:t> 2.</w:t>
      </w:r>
      <w:r w:rsidRPr="00CA58F0">
        <w:rPr>
          <w:lang w:val="fr-FR"/>
        </w:rPr>
        <w:tab/>
        <w:t>Premier prélèvement</w:t>
      </w:r>
    </w:p>
    <w:p w:rsidR="007526B3" w:rsidRPr="00CA58F0" w:rsidRDefault="007526B3" w:rsidP="00CD02D9">
      <w:pPr>
        <w:spacing w:after="100" w:line="228" w:lineRule="exact"/>
        <w:ind w:left="2268" w:right="1134"/>
        <w:jc w:val="both"/>
        <w:rPr>
          <w:lang w:val="fr-FR"/>
        </w:rPr>
      </w:pPr>
      <w:r w:rsidRPr="00CA58F0">
        <w:rPr>
          <w:lang w:val="fr-FR"/>
        </w:rPr>
        <w:t>Lors du premier prélèvement, quatre projecteurs sont choisis au hasard. La lettre A est apposée sur le premier et le troisième, et la lettre B sur le deuxième et le quatrième.</w:t>
      </w:r>
    </w:p>
    <w:p w:rsidR="007526B3" w:rsidRPr="00CA58F0" w:rsidRDefault="007526B3" w:rsidP="00CD02D9">
      <w:pPr>
        <w:pStyle w:val="SingleTxtG"/>
        <w:keepNext/>
        <w:spacing w:after="100" w:line="228" w:lineRule="exact"/>
        <w:ind w:left="2268" w:hanging="1134"/>
        <w:rPr>
          <w:lang w:val="fr-FR"/>
        </w:rPr>
      </w:pPr>
      <w:r w:rsidRPr="00CA58F0">
        <w:rPr>
          <w:lang w:val="fr-FR"/>
        </w:rPr>
        <w:t>2.1</w:t>
      </w:r>
      <w:r w:rsidRPr="00CA58F0">
        <w:rPr>
          <w:lang w:val="fr-FR"/>
        </w:rPr>
        <w:tab/>
        <w:t>La conformité des projecteurs de série n’est pas contestée si l’écart entre les valeurs mesurées sur les feux des échantillons A et B ne dépasse pas 20 % (pour aucun des quatre feux).</w:t>
      </w:r>
    </w:p>
    <w:p w:rsidR="007526B3" w:rsidRPr="00CA58F0" w:rsidRDefault="007526B3" w:rsidP="00CD02D9">
      <w:pPr>
        <w:spacing w:after="100" w:line="228" w:lineRule="exact"/>
        <w:ind w:left="2268" w:right="1134"/>
        <w:jc w:val="both"/>
        <w:rPr>
          <w:lang w:val="fr-FR"/>
        </w:rPr>
      </w:pPr>
      <w:r w:rsidRPr="00CA58F0">
        <w:rPr>
          <w:lang w:val="fr-FR"/>
        </w:rPr>
        <w:t>Si l’écart n’est pas supérieur à 0 % pour les deux feux de l’échantillon A, on peut arrêter les mesures.</w:t>
      </w:r>
    </w:p>
    <w:p w:rsidR="007526B3" w:rsidRPr="00CA58F0" w:rsidRDefault="007526B3" w:rsidP="00CD02D9">
      <w:pPr>
        <w:pStyle w:val="SingleTxtG"/>
        <w:keepNext/>
        <w:spacing w:after="100" w:line="228" w:lineRule="exact"/>
        <w:ind w:left="2268" w:hanging="1134"/>
        <w:rPr>
          <w:lang w:val="fr-FR"/>
        </w:rPr>
      </w:pPr>
      <w:r w:rsidRPr="00CA58F0">
        <w:rPr>
          <w:lang w:val="fr-FR"/>
        </w:rPr>
        <w:t>2.2</w:t>
      </w:r>
      <w:r w:rsidRPr="00CA58F0">
        <w:rPr>
          <w:lang w:val="fr-FR"/>
        </w:rPr>
        <w:tab/>
      </w:r>
      <w:r w:rsidRPr="00CA58F0">
        <w:rPr>
          <w:lang w:val="fr-FR"/>
        </w:rPr>
        <w:tab/>
        <w:t>La conformité des projecteurs de série est contestée si l’écart de la valeur mesurée sur au moins un projecteur des échantillons A ou B dépasse 20 %.</w:t>
      </w:r>
    </w:p>
    <w:p w:rsidR="007526B3" w:rsidRPr="00CA58F0" w:rsidRDefault="007526B3" w:rsidP="00CD02D9">
      <w:pPr>
        <w:spacing w:after="100" w:line="228" w:lineRule="exact"/>
        <w:ind w:left="2268" w:right="1134"/>
        <w:jc w:val="both"/>
        <w:rPr>
          <w:lang w:val="fr-FR"/>
        </w:rPr>
      </w:pPr>
      <w:r w:rsidRPr="00CA58F0">
        <w:rPr>
          <w:lang w:val="fr-FR"/>
        </w:rPr>
        <w:t>Le fabricant doit être prié de mettre sa production en conformité avec les prescriptions et il faudra procéder à un deuxième prélèvement, conformément au paragraphe</w:t>
      </w:r>
      <w:r w:rsidR="003B272C">
        <w:rPr>
          <w:lang w:val="fr-FR"/>
        </w:rPr>
        <w:t xml:space="preserve"> </w:t>
      </w:r>
      <w:r w:rsidRPr="00CA58F0">
        <w:rPr>
          <w:lang w:val="fr-FR"/>
        </w:rPr>
        <w:t>3, dans les deux mois qui suivent la notification. Les échantillons A et B doivent être conservés par le service technique jusqu’à la fin du processus de vérification de la conformité de la production.</w:t>
      </w:r>
    </w:p>
    <w:p w:rsidR="007526B3" w:rsidRPr="00CA58F0" w:rsidRDefault="007526B3" w:rsidP="00DB62AB">
      <w:pPr>
        <w:pStyle w:val="SingleTxtG"/>
        <w:keepNext/>
        <w:ind w:left="2268" w:hanging="1134"/>
        <w:rPr>
          <w:lang w:val="fr-FR"/>
        </w:rPr>
      </w:pPr>
      <w:r w:rsidRPr="00CA58F0">
        <w:rPr>
          <w:lang w:val="fr-FR"/>
        </w:rPr>
        <w:lastRenderedPageBreak/>
        <w:t>3.</w:t>
      </w:r>
      <w:r w:rsidRPr="00CA58F0">
        <w:rPr>
          <w:lang w:val="fr-FR"/>
        </w:rPr>
        <w:tab/>
      </w:r>
      <w:r w:rsidRPr="00CA58F0">
        <w:rPr>
          <w:lang w:val="fr-FR"/>
        </w:rPr>
        <w:tab/>
        <w:t>Deuxième prélèvement</w:t>
      </w:r>
    </w:p>
    <w:p w:rsidR="007526B3" w:rsidRPr="00CA58F0" w:rsidRDefault="007526B3" w:rsidP="00B52CB9">
      <w:pPr>
        <w:spacing w:after="120"/>
        <w:ind w:left="2268" w:right="1134"/>
        <w:jc w:val="both"/>
        <w:rPr>
          <w:strike/>
          <w:lang w:val="fr-FR"/>
        </w:rPr>
      </w:pPr>
      <w:r w:rsidRPr="00CA58F0">
        <w:rPr>
          <w:lang w:val="fr-FR"/>
        </w:rPr>
        <w:t>On choisit au hasard un échantillon de quatre feux parmi le stock produit après mise en conformité.</w:t>
      </w:r>
    </w:p>
    <w:p w:rsidR="007526B3" w:rsidRPr="00CA58F0" w:rsidRDefault="007526B3" w:rsidP="00B52CB9">
      <w:pPr>
        <w:spacing w:after="120"/>
        <w:ind w:left="2268" w:right="1134"/>
        <w:jc w:val="both"/>
        <w:rPr>
          <w:lang w:val="fr-FR"/>
        </w:rPr>
      </w:pPr>
      <w:r w:rsidRPr="00CA58F0">
        <w:rPr>
          <w:lang w:val="fr-FR"/>
        </w:rPr>
        <w:t>La lettre C est apposée sur le premier et le troisième, et la lettre D sur le deuxième et le quatrième.</w:t>
      </w:r>
    </w:p>
    <w:p w:rsidR="007526B3" w:rsidRPr="00CA58F0" w:rsidRDefault="007526B3" w:rsidP="00DB62AB">
      <w:pPr>
        <w:pStyle w:val="SingleTxtG"/>
        <w:keepNext/>
        <w:ind w:left="2268" w:hanging="1134"/>
        <w:rPr>
          <w:lang w:val="fr-FR"/>
        </w:rPr>
      </w:pPr>
      <w:r w:rsidRPr="00CA58F0">
        <w:rPr>
          <w:lang w:val="fr-FR"/>
        </w:rPr>
        <w:t>3.1</w:t>
      </w:r>
      <w:r w:rsidRPr="00CA58F0">
        <w:rPr>
          <w:lang w:val="fr-FR"/>
        </w:rPr>
        <w:tab/>
        <w:t>La conformité des projecteurs de série n’est pas contestée si l’écart entre les valeurs mesurées sur les feux des échantillons C et D ne dépasse pas 20 % (pour aucun des quatre feux).</w:t>
      </w:r>
    </w:p>
    <w:p w:rsidR="007526B3" w:rsidRPr="00CA58F0" w:rsidRDefault="007526B3" w:rsidP="00B52CB9">
      <w:pPr>
        <w:spacing w:after="120"/>
        <w:ind w:left="2268" w:right="1134"/>
        <w:jc w:val="both"/>
        <w:rPr>
          <w:lang w:val="fr-FR"/>
        </w:rPr>
      </w:pPr>
      <w:r w:rsidRPr="00CA58F0">
        <w:rPr>
          <w:lang w:val="fr-FR"/>
        </w:rPr>
        <w:t>Si l’écart n’est pas supérieur à 0 % pour les deux feux de l’échantillon C, on peut arrêter les mesures.</w:t>
      </w:r>
    </w:p>
    <w:p w:rsidR="007526B3" w:rsidRPr="00CA58F0" w:rsidRDefault="007526B3" w:rsidP="00DB62AB">
      <w:pPr>
        <w:pStyle w:val="SingleTxtG"/>
        <w:keepNext/>
        <w:ind w:left="2268" w:hanging="1134"/>
        <w:rPr>
          <w:lang w:val="fr-FR"/>
        </w:rPr>
      </w:pPr>
      <w:r w:rsidRPr="00CA58F0">
        <w:rPr>
          <w:lang w:val="fr-FR"/>
        </w:rPr>
        <w:t>3.2</w:t>
      </w:r>
      <w:r w:rsidRPr="00CA58F0">
        <w:rPr>
          <w:lang w:val="fr-FR"/>
        </w:rPr>
        <w:tab/>
        <w:t>La conformité des projecteurs de série est contestée si l’écart de la valeur mesurée sur au moins :</w:t>
      </w:r>
    </w:p>
    <w:p w:rsidR="007526B3" w:rsidRPr="00CA58F0" w:rsidRDefault="007526B3" w:rsidP="00DB62AB">
      <w:pPr>
        <w:pStyle w:val="SingleTxtG"/>
        <w:keepNext/>
        <w:ind w:left="2268" w:hanging="1134"/>
        <w:rPr>
          <w:lang w:val="fr-FR"/>
        </w:rPr>
      </w:pPr>
      <w:r w:rsidRPr="00CA58F0">
        <w:rPr>
          <w:lang w:val="fr-FR"/>
        </w:rPr>
        <w:t>3.2.1</w:t>
      </w:r>
      <w:r w:rsidRPr="00CA58F0">
        <w:rPr>
          <w:lang w:val="fr-FR"/>
        </w:rPr>
        <w:tab/>
      </w:r>
      <w:r w:rsidRPr="00FD4F06">
        <w:rPr>
          <w:rFonts w:eastAsia="Times New Roman"/>
          <w:szCs w:val="24"/>
          <w:lang w:val="fr-FR" w:eastAsia="fr-CH"/>
        </w:rPr>
        <w:t>Un des échantillons C ou D dépasse 20 % mais l’écart entre l’ensemble de ces échantillons ne dépasse pas 30 %.</w:t>
      </w:r>
      <w:r w:rsidRPr="00CA58F0">
        <w:rPr>
          <w:lang w:val="fr-FR"/>
        </w:rPr>
        <w:t xml:space="preserve"> </w:t>
      </w:r>
    </w:p>
    <w:p w:rsidR="007526B3" w:rsidRPr="00CA58F0" w:rsidRDefault="007526B3" w:rsidP="00B52CB9">
      <w:pPr>
        <w:spacing w:after="120"/>
        <w:ind w:left="2268" w:right="1134"/>
        <w:jc w:val="both"/>
        <w:rPr>
          <w:lang w:val="fr-FR"/>
        </w:rPr>
      </w:pPr>
      <w:r w:rsidRPr="00CA58F0">
        <w:rPr>
          <w:lang w:val="fr-FR"/>
        </w:rPr>
        <w:t>Le fabricant doit être à nouveau prié de mettre sa production en conformité avec les prescriptions.</w:t>
      </w:r>
    </w:p>
    <w:p w:rsidR="007526B3" w:rsidRPr="00CA58F0" w:rsidRDefault="007526B3" w:rsidP="00B52CB9">
      <w:pPr>
        <w:spacing w:after="120"/>
        <w:ind w:left="2268" w:right="1134"/>
        <w:jc w:val="both"/>
        <w:rPr>
          <w:lang w:val="fr-FR"/>
        </w:rPr>
      </w:pPr>
      <w:r w:rsidRPr="00CA58F0">
        <w:rPr>
          <w:lang w:val="fr-FR"/>
        </w:rPr>
        <w:t>Il faut procéder à un troisième prélèvement conformément au paragraphe</w:t>
      </w:r>
      <w:r w:rsidR="003B272C">
        <w:rPr>
          <w:lang w:val="fr-FR"/>
        </w:rPr>
        <w:t xml:space="preserve"> </w:t>
      </w:r>
      <w:r w:rsidRPr="00CA58F0">
        <w:rPr>
          <w:lang w:val="fr-FR"/>
        </w:rPr>
        <w:t>4 ci-après, dans les deux mois qui suivent la notification. Les échantillons C et D doivent être conservés par le service technique jusqu’à la fin du processus de vérification de la conformité de la production.</w:t>
      </w:r>
    </w:p>
    <w:p w:rsidR="007526B3" w:rsidRPr="00CA58F0" w:rsidRDefault="007526B3" w:rsidP="00DB62AB">
      <w:pPr>
        <w:pStyle w:val="SingleTxtG"/>
        <w:keepNext/>
        <w:ind w:left="2268" w:hanging="1134"/>
        <w:rPr>
          <w:lang w:val="fr-FR"/>
        </w:rPr>
      </w:pPr>
      <w:r w:rsidRPr="00CA58F0">
        <w:rPr>
          <w:lang w:val="fr-FR"/>
        </w:rPr>
        <w:t>3.2.</w:t>
      </w:r>
      <w:r w:rsidR="00E3433E">
        <w:rPr>
          <w:lang w:val="fr-FR"/>
        </w:rPr>
        <w:t>2</w:t>
      </w:r>
      <w:r w:rsidRPr="00CA58F0">
        <w:rPr>
          <w:lang w:val="fr-FR"/>
        </w:rPr>
        <w:tab/>
        <w:t>Un des échantillons C ou D dépasse 30 %.</w:t>
      </w:r>
    </w:p>
    <w:p w:rsidR="007526B3" w:rsidRPr="00CA58F0" w:rsidRDefault="007526B3" w:rsidP="00B52CB9">
      <w:pPr>
        <w:spacing w:after="120"/>
        <w:ind w:left="2268" w:right="1134"/>
        <w:jc w:val="both"/>
        <w:rPr>
          <w:lang w:val="fr-FR"/>
        </w:rPr>
      </w:pPr>
      <w:r w:rsidRPr="00CA58F0">
        <w:rPr>
          <w:lang w:val="fr-FR"/>
        </w:rPr>
        <w:t>Dans ce cas, il faut retirer l’homologation et appliquer les dispositions du paragraphe</w:t>
      </w:r>
      <w:r w:rsidR="003B272C">
        <w:rPr>
          <w:lang w:val="fr-FR"/>
        </w:rPr>
        <w:t xml:space="preserve"> </w:t>
      </w:r>
      <w:r w:rsidRPr="00CA58F0">
        <w:rPr>
          <w:lang w:val="fr-FR"/>
        </w:rPr>
        <w:t>5 ci-dessous.</w:t>
      </w:r>
    </w:p>
    <w:p w:rsidR="007526B3" w:rsidRPr="00CA58F0" w:rsidRDefault="007526B3" w:rsidP="00DB62AB">
      <w:pPr>
        <w:pStyle w:val="SingleTxtG"/>
        <w:keepNext/>
        <w:ind w:left="2268" w:hanging="1134"/>
        <w:rPr>
          <w:lang w:val="fr-FR"/>
        </w:rPr>
      </w:pPr>
      <w:r w:rsidRPr="00CA58F0">
        <w:rPr>
          <w:lang w:val="fr-FR"/>
        </w:rPr>
        <w:t>4.</w:t>
      </w:r>
      <w:r w:rsidRPr="00CA58F0">
        <w:rPr>
          <w:lang w:val="fr-FR"/>
        </w:rPr>
        <w:tab/>
      </w:r>
      <w:r w:rsidRPr="00CA58F0">
        <w:rPr>
          <w:lang w:val="fr-FR"/>
        </w:rPr>
        <w:tab/>
        <w:t>Troisième prélèvement</w:t>
      </w:r>
    </w:p>
    <w:p w:rsidR="007526B3" w:rsidRPr="00CA58F0" w:rsidRDefault="007526B3" w:rsidP="00B52CB9">
      <w:pPr>
        <w:spacing w:after="120"/>
        <w:ind w:left="2268" w:right="1134"/>
        <w:jc w:val="both"/>
        <w:rPr>
          <w:lang w:val="fr-FR"/>
        </w:rPr>
      </w:pPr>
      <w:r w:rsidRPr="00CA58F0">
        <w:rPr>
          <w:lang w:val="fr-FR"/>
        </w:rPr>
        <w:t xml:space="preserve">On choisit au hasard un échantillon de quatre feux parmi le stock produit après mise en conformité. </w:t>
      </w:r>
    </w:p>
    <w:p w:rsidR="007526B3" w:rsidRPr="00CA58F0" w:rsidRDefault="007526B3" w:rsidP="00B52CB9">
      <w:pPr>
        <w:spacing w:after="120"/>
        <w:ind w:left="2268" w:right="1134"/>
        <w:jc w:val="both"/>
        <w:rPr>
          <w:lang w:val="fr-FR"/>
        </w:rPr>
      </w:pPr>
      <w:r w:rsidRPr="00CA58F0">
        <w:rPr>
          <w:lang w:val="fr-FR"/>
        </w:rPr>
        <w:t>La lettre E est apposée sur le premier et le troisième, et la lettre F sur le deuxième et le quatrième.</w:t>
      </w:r>
    </w:p>
    <w:p w:rsidR="007526B3" w:rsidRPr="00CA58F0" w:rsidRDefault="007526B3" w:rsidP="00DB62AB">
      <w:pPr>
        <w:pStyle w:val="SingleTxtG"/>
        <w:keepNext/>
        <w:ind w:left="2268" w:hanging="1134"/>
        <w:rPr>
          <w:lang w:val="fr-FR"/>
        </w:rPr>
      </w:pPr>
      <w:r w:rsidRPr="00CA58F0">
        <w:rPr>
          <w:lang w:val="fr-FR"/>
        </w:rPr>
        <w:t>4.1</w:t>
      </w:r>
      <w:r w:rsidRPr="00CA58F0">
        <w:rPr>
          <w:lang w:val="fr-FR"/>
        </w:rPr>
        <w:tab/>
        <w:t>La conformité des projecteurs de série n’est pas contestée si l’écart entre les valeurs mesurées sur les feux des échantillons E et F ne dépasse pas 20 % (pour aucun des quatre feux).</w:t>
      </w:r>
    </w:p>
    <w:p w:rsidR="007526B3" w:rsidRPr="00CA58F0" w:rsidRDefault="007526B3" w:rsidP="00B52CB9">
      <w:pPr>
        <w:spacing w:after="120"/>
        <w:ind w:left="2268" w:right="1134"/>
        <w:jc w:val="both"/>
        <w:rPr>
          <w:lang w:val="fr-FR"/>
        </w:rPr>
      </w:pPr>
      <w:r w:rsidRPr="00CA58F0">
        <w:rPr>
          <w:lang w:val="fr-FR"/>
        </w:rPr>
        <w:t>Si l’écart n’est pas supérieur à 0 % pour les deux feux de l’échantillon E, on peut arrêter les mesures.</w:t>
      </w:r>
    </w:p>
    <w:p w:rsidR="007526B3" w:rsidRPr="00CA58F0" w:rsidRDefault="007526B3" w:rsidP="00DB62AB">
      <w:pPr>
        <w:pStyle w:val="SingleTxtG"/>
        <w:keepNext/>
        <w:ind w:left="2268" w:hanging="1134"/>
        <w:rPr>
          <w:lang w:val="fr-FR"/>
        </w:rPr>
      </w:pPr>
      <w:r w:rsidRPr="00CA58F0">
        <w:rPr>
          <w:lang w:val="fr-FR"/>
        </w:rPr>
        <w:t>4.2</w:t>
      </w:r>
      <w:r w:rsidRPr="00CA58F0">
        <w:rPr>
          <w:lang w:val="fr-FR"/>
        </w:rPr>
        <w:tab/>
        <w:t xml:space="preserve">La conformité des projecteurs de série est contestée si l’écart de la valeur mesurée sur au moins un feu des échantillons E ou F dépasse 20 %. </w:t>
      </w:r>
    </w:p>
    <w:p w:rsidR="007526B3" w:rsidRPr="00CA58F0" w:rsidRDefault="007526B3" w:rsidP="00B52CB9">
      <w:pPr>
        <w:spacing w:after="120"/>
        <w:ind w:left="2268" w:right="1134"/>
        <w:jc w:val="both"/>
        <w:rPr>
          <w:lang w:val="fr-FR"/>
        </w:rPr>
      </w:pPr>
      <w:r w:rsidRPr="00CA58F0">
        <w:rPr>
          <w:lang w:val="fr-FR"/>
        </w:rPr>
        <w:t>Dans ce cas, il faut retirer l’homologation et appliquer les dispositions du paragraphe</w:t>
      </w:r>
      <w:r w:rsidR="003B272C">
        <w:rPr>
          <w:lang w:val="fr-FR"/>
        </w:rPr>
        <w:t xml:space="preserve"> </w:t>
      </w:r>
      <w:r w:rsidRPr="00CA58F0">
        <w:rPr>
          <w:lang w:val="fr-FR"/>
        </w:rPr>
        <w:t>5 ci-dessous.</w:t>
      </w:r>
    </w:p>
    <w:p w:rsidR="007526B3" w:rsidRPr="00CA58F0" w:rsidRDefault="007526B3" w:rsidP="00DB62AB">
      <w:pPr>
        <w:pStyle w:val="SingleTxtG"/>
        <w:keepNext/>
        <w:ind w:left="2268" w:hanging="1134"/>
        <w:rPr>
          <w:u w:val="single"/>
          <w:lang w:val="fr-FR"/>
        </w:rPr>
      </w:pPr>
      <w:r w:rsidRPr="00CA58F0">
        <w:rPr>
          <w:lang w:val="fr-FR"/>
        </w:rPr>
        <w:t>5.</w:t>
      </w:r>
      <w:r w:rsidRPr="00CA58F0">
        <w:rPr>
          <w:lang w:val="fr-FR"/>
        </w:rPr>
        <w:tab/>
      </w:r>
      <w:r w:rsidRPr="00CA58F0">
        <w:rPr>
          <w:lang w:val="fr-FR"/>
        </w:rPr>
        <w:tab/>
        <w:t>Retrait de l’homologation</w:t>
      </w:r>
    </w:p>
    <w:p w:rsidR="007526B3" w:rsidRPr="00CA58F0" w:rsidRDefault="007526B3" w:rsidP="00B52CB9">
      <w:pPr>
        <w:spacing w:after="120"/>
        <w:ind w:left="2268" w:right="1134"/>
        <w:jc w:val="both"/>
        <w:rPr>
          <w:lang w:val="fr-FR"/>
        </w:rPr>
      </w:pPr>
      <w:r w:rsidRPr="00CA58F0">
        <w:rPr>
          <w:lang w:val="fr-FR"/>
        </w:rPr>
        <w:t>Il faut retirer l’homologation en vertu du paragraphe 10 du présent Règlement. ».</w:t>
      </w:r>
    </w:p>
    <w:p w:rsidR="005F0207" w:rsidRDefault="007526B3" w:rsidP="00DB62AB">
      <w:pPr>
        <w:pStyle w:val="SingleTxtG"/>
        <w:keepNext/>
        <w:rPr>
          <w:rFonts w:eastAsia="Times New Roman"/>
        </w:rPr>
      </w:pPr>
      <w:r w:rsidRPr="00DB62AB">
        <w:rPr>
          <w:rFonts w:eastAsia="Times New Roman"/>
          <w:i/>
        </w:rPr>
        <w:t>Figure 1</w:t>
      </w:r>
      <w:r w:rsidRPr="00DB62AB">
        <w:rPr>
          <w:rFonts w:eastAsia="Times New Roman"/>
        </w:rPr>
        <w:t>, supprimer.</w:t>
      </w:r>
    </w:p>
    <w:p w:rsidR="002C37B7" w:rsidRPr="002C37B7" w:rsidRDefault="002C37B7" w:rsidP="002C37B7">
      <w:pPr>
        <w:pStyle w:val="SingleTxtG"/>
        <w:spacing w:before="240" w:after="0"/>
        <w:jc w:val="center"/>
        <w:rPr>
          <w:u w:val="single"/>
        </w:rPr>
      </w:pPr>
      <w:r>
        <w:rPr>
          <w:u w:val="single"/>
        </w:rPr>
        <w:tab/>
      </w:r>
      <w:r>
        <w:rPr>
          <w:u w:val="single"/>
        </w:rPr>
        <w:tab/>
      </w:r>
      <w:r>
        <w:rPr>
          <w:u w:val="single"/>
        </w:rPr>
        <w:tab/>
      </w:r>
    </w:p>
    <w:sectPr w:rsidR="002C37B7" w:rsidRPr="002C37B7" w:rsidSect="00C06D19">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BF" w:rsidRDefault="008F6EBF"/>
  </w:endnote>
  <w:endnote w:type="continuationSeparator" w:id="0">
    <w:p w:rsidR="008F6EBF" w:rsidRDefault="008F6EBF">
      <w:pPr>
        <w:pStyle w:val="Pieddepage"/>
      </w:pPr>
    </w:p>
  </w:endnote>
  <w:endnote w:type="continuationNotice" w:id="1">
    <w:p w:rsidR="008F6EBF" w:rsidRPr="00C451B9" w:rsidRDefault="008F6EB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GSGothicM">
    <w:altName w:val="Arial Unicode MS"/>
    <w:charset w:val="80"/>
    <w:family w:val="modern"/>
    <w:pitch w:val="variable"/>
    <w:sig w:usb0="80000281" w:usb1="28C76CF8" w:usb2="00000010" w:usb3="00000000" w:csb0="00020000"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19" w:rsidRPr="00C06D19" w:rsidRDefault="00C06D19" w:rsidP="00C06D19">
    <w:pPr>
      <w:pStyle w:val="Pieddepage"/>
      <w:tabs>
        <w:tab w:val="right" w:pos="9638"/>
      </w:tabs>
    </w:pPr>
    <w:r w:rsidRPr="00C06D19">
      <w:rPr>
        <w:b/>
        <w:sz w:val="18"/>
      </w:rPr>
      <w:fldChar w:fldCharType="begin"/>
    </w:r>
    <w:r w:rsidRPr="00C06D19">
      <w:rPr>
        <w:b/>
        <w:sz w:val="18"/>
      </w:rPr>
      <w:instrText xml:space="preserve"> PAGE  \* MERGEFORMAT </w:instrText>
    </w:r>
    <w:r w:rsidRPr="00C06D19">
      <w:rPr>
        <w:b/>
        <w:sz w:val="18"/>
      </w:rPr>
      <w:fldChar w:fldCharType="separate"/>
    </w:r>
    <w:r w:rsidR="006317DE">
      <w:rPr>
        <w:b/>
        <w:noProof/>
        <w:sz w:val="18"/>
      </w:rPr>
      <w:t>2</w:t>
    </w:r>
    <w:r w:rsidRPr="00C06D19">
      <w:rPr>
        <w:b/>
        <w:sz w:val="18"/>
      </w:rPr>
      <w:fldChar w:fldCharType="end"/>
    </w:r>
    <w:r>
      <w:rPr>
        <w:b/>
        <w:sz w:val="18"/>
      </w:rPr>
      <w:tab/>
    </w:r>
    <w:r>
      <w:t>GE.18-06701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19" w:rsidRPr="00C06D19" w:rsidRDefault="00C06D19" w:rsidP="00C06D19">
    <w:pPr>
      <w:pStyle w:val="Pieddepage"/>
      <w:tabs>
        <w:tab w:val="right" w:pos="9638"/>
      </w:tabs>
      <w:rPr>
        <w:b/>
        <w:sz w:val="18"/>
      </w:rPr>
    </w:pPr>
    <w:r>
      <w:t>GE.18-06701</w:t>
    </w:r>
    <w:r>
      <w:tab/>
    </w:r>
    <w:r w:rsidRPr="00C06D19">
      <w:rPr>
        <w:b/>
        <w:sz w:val="18"/>
      </w:rPr>
      <w:fldChar w:fldCharType="begin"/>
    </w:r>
    <w:r w:rsidRPr="00C06D19">
      <w:rPr>
        <w:b/>
        <w:sz w:val="18"/>
      </w:rPr>
      <w:instrText xml:space="preserve"> PAGE  \* MERGEFORMAT </w:instrText>
    </w:r>
    <w:r w:rsidRPr="00C06D19">
      <w:rPr>
        <w:b/>
        <w:sz w:val="18"/>
      </w:rPr>
      <w:fldChar w:fldCharType="separate"/>
    </w:r>
    <w:r w:rsidR="006317DE">
      <w:rPr>
        <w:b/>
        <w:noProof/>
        <w:sz w:val="18"/>
      </w:rPr>
      <w:t>3</w:t>
    </w:r>
    <w:r w:rsidRPr="00C06D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C06D19" w:rsidRDefault="00C06D19" w:rsidP="00C06D19">
    <w:pPr>
      <w:pStyle w:val="Pieddepage"/>
      <w:spacing w:before="120"/>
      <w:rPr>
        <w:sz w:val="20"/>
      </w:rPr>
    </w:pPr>
    <w:r>
      <w:rPr>
        <w:sz w:val="20"/>
      </w:rPr>
      <w:t>GE.</w:t>
    </w:r>
    <w:r w:rsidR="00467F2C">
      <w:rPr>
        <w:noProof/>
        <w:lang w:eastAsia="ja-JP"/>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18-06701  (F)</w:t>
    </w:r>
    <w:r w:rsidR="00740916">
      <w:rPr>
        <w:sz w:val="20"/>
      </w:rPr>
      <w:t xml:space="preserve">    270718    2</w:t>
    </w:r>
    <w:r w:rsidR="00BD2442">
      <w:rPr>
        <w:sz w:val="20"/>
      </w:rPr>
      <w:t>6</w:t>
    </w:r>
    <w:r w:rsidR="00740916">
      <w:rPr>
        <w:sz w:val="20"/>
      </w:rPr>
      <w:t>1118</w:t>
    </w:r>
    <w:r>
      <w:rPr>
        <w:sz w:val="20"/>
      </w:rPr>
      <w:br/>
    </w:r>
    <w:r w:rsidRPr="00C06D19">
      <w:rPr>
        <w:rFonts w:ascii="C39T30Lfz" w:hAnsi="C39T30Lfz"/>
        <w:sz w:val="56"/>
      </w:rPr>
      <w:t></w:t>
    </w:r>
    <w:r w:rsidRPr="00C06D19">
      <w:rPr>
        <w:rFonts w:ascii="C39T30Lfz" w:hAnsi="C39T30Lfz"/>
        <w:sz w:val="56"/>
      </w:rPr>
      <w:t></w:t>
    </w:r>
    <w:r w:rsidRPr="00C06D19">
      <w:rPr>
        <w:rFonts w:ascii="C39T30Lfz" w:hAnsi="C39T30Lfz"/>
        <w:sz w:val="56"/>
      </w:rPr>
      <w:t></w:t>
    </w:r>
    <w:r w:rsidRPr="00C06D19">
      <w:rPr>
        <w:rFonts w:ascii="C39T30Lfz" w:hAnsi="C39T30Lfz"/>
        <w:sz w:val="56"/>
      </w:rPr>
      <w:t></w:t>
    </w:r>
    <w:r w:rsidRPr="00C06D19">
      <w:rPr>
        <w:rFonts w:ascii="C39T30Lfz" w:hAnsi="C39T30Lfz"/>
        <w:sz w:val="56"/>
      </w:rPr>
      <w:t></w:t>
    </w:r>
    <w:r w:rsidRPr="00C06D19">
      <w:rPr>
        <w:rFonts w:ascii="C39T30Lfz" w:hAnsi="C39T30Lfz"/>
        <w:sz w:val="56"/>
      </w:rPr>
      <w:t></w:t>
    </w:r>
    <w:r w:rsidRPr="00C06D19">
      <w:rPr>
        <w:rFonts w:ascii="C39T30Lfz" w:hAnsi="C39T30Lfz"/>
        <w:sz w:val="56"/>
      </w:rPr>
      <w:t></w:t>
    </w:r>
    <w:r w:rsidRPr="00C06D19">
      <w:rPr>
        <w:rFonts w:ascii="C39T30Lfz" w:hAnsi="C39T30Lfz"/>
        <w:sz w:val="56"/>
      </w:rPr>
      <w:t></w:t>
    </w:r>
    <w:r w:rsidRPr="00C06D19">
      <w:rPr>
        <w:rFonts w:ascii="C39T30Lfz" w:hAnsi="C39T30Lfz"/>
        <w:sz w:val="56"/>
      </w:rPr>
      <w:t></w:t>
    </w:r>
    <w:r>
      <w:rPr>
        <w:noProof/>
        <w:sz w:val="20"/>
        <w:lang w:eastAsia="ja-JP"/>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12/Rev.3/Amend.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12/Rev.3/Amend.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BF" w:rsidRPr="00D27D5E" w:rsidRDefault="008F6EBF" w:rsidP="00D27D5E">
      <w:pPr>
        <w:tabs>
          <w:tab w:val="right" w:pos="2155"/>
        </w:tabs>
        <w:spacing w:after="80"/>
        <w:ind w:left="680"/>
        <w:rPr>
          <w:u w:val="single"/>
        </w:rPr>
      </w:pPr>
      <w:r>
        <w:rPr>
          <w:u w:val="single"/>
        </w:rPr>
        <w:tab/>
      </w:r>
    </w:p>
  </w:footnote>
  <w:footnote w:type="continuationSeparator" w:id="0">
    <w:p w:rsidR="008F6EBF" w:rsidRPr="00D171D4" w:rsidRDefault="008F6EBF" w:rsidP="00D171D4">
      <w:pPr>
        <w:tabs>
          <w:tab w:val="right" w:pos="2155"/>
        </w:tabs>
        <w:spacing w:after="80"/>
        <w:ind w:left="680"/>
        <w:rPr>
          <w:u w:val="single"/>
        </w:rPr>
      </w:pPr>
      <w:r w:rsidRPr="00D171D4">
        <w:rPr>
          <w:u w:val="single"/>
        </w:rPr>
        <w:tab/>
      </w:r>
    </w:p>
  </w:footnote>
  <w:footnote w:type="continuationNotice" w:id="1">
    <w:p w:rsidR="008F6EBF" w:rsidRPr="00C451B9" w:rsidRDefault="008F6EBF" w:rsidP="00C451B9">
      <w:pPr>
        <w:spacing w:line="240" w:lineRule="auto"/>
        <w:rPr>
          <w:sz w:val="2"/>
          <w:szCs w:val="2"/>
        </w:rPr>
      </w:pPr>
    </w:p>
  </w:footnote>
  <w:footnote w:id="2">
    <w:p w:rsidR="004A7432" w:rsidRPr="00C25351" w:rsidRDefault="00C25351" w:rsidP="00C25351">
      <w:pPr>
        <w:pStyle w:val="Notedebasdepage"/>
      </w:pPr>
      <w:r>
        <w:rPr>
          <w:rStyle w:val="Appelnotedebasdep"/>
        </w:rPr>
        <w:tab/>
      </w:r>
      <w:r w:rsidRPr="00C25351">
        <w:rPr>
          <w:rStyle w:val="Appelnotedebasdep"/>
          <w:sz w:val="20"/>
          <w:vertAlign w:val="baseline"/>
        </w:rPr>
        <w:t>*</w:t>
      </w:r>
      <w:r>
        <w:rPr>
          <w:rStyle w:val="Appelnotedebasdep"/>
          <w:sz w:val="20"/>
          <w:vertAlign w:val="baseline"/>
        </w:rPr>
        <w:tab/>
      </w:r>
      <w:r w:rsidR="00784B6A" w:rsidRPr="00C25351">
        <w:t>Anciens titres de l’Accord</w:t>
      </w:r>
      <w:r w:rsidR="00740916">
        <w:t> :</w:t>
      </w:r>
    </w:p>
    <w:p w:rsidR="004A7432" w:rsidRPr="00C25351" w:rsidRDefault="00784B6A" w:rsidP="00C25351">
      <w:pPr>
        <w:pStyle w:val="Notedebasdepage"/>
      </w:pPr>
      <w:r w:rsidRPr="00C25351">
        <w:tab/>
      </w:r>
      <w:r w:rsidRPr="00C25351">
        <w:tab/>
        <w:t>Accord concernant l’adoption de conditions uniformes d’homologation et la reconnaissance réciproque de l’homologation des équipements et pièces de véhicules à moteur, en date, à Genève, du</w:t>
      </w:r>
      <w:r w:rsidR="003B272C">
        <w:t> </w:t>
      </w:r>
      <w:r w:rsidRPr="00C25351">
        <w:t>20</w:t>
      </w:r>
      <w:r w:rsidR="003B272C">
        <w:t> </w:t>
      </w:r>
      <w:r w:rsidRPr="00C25351">
        <w:t>mars 1958 (version originale)</w:t>
      </w:r>
      <w:r w:rsidR="00740916">
        <w:t> ;</w:t>
      </w:r>
    </w:p>
    <w:p w:rsidR="00C25351" w:rsidRPr="00C25351" w:rsidRDefault="00784B6A" w:rsidP="00C25351">
      <w:pPr>
        <w:pStyle w:val="Notedebasdepage"/>
      </w:pPr>
      <w:r w:rsidRPr="00C25351">
        <w:tab/>
      </w:r>
      <w:r w:rsidRPr="00C25351">
        <w:tab/>
        <w:t>Accord concernant l’adoption de prescriptions techniques uniformes applicables aux véhicules à</w:t>
      </w:r>
      <w:r w:rsidR="003B272C">
        <w:t> </w:t>
      </w:r>
      <w:r w:rsidRPr="00C25351">
        <w:t>roues, aux équipements et aux pièces susceptibles d’être montés ou utilisés sur un véhicule à roues et les conditions de reconnaissance réciproque des homologations délivrées conformément à</w:t>
      </w:r>
      <w:r w:rsidR="003B272C">
        <w:t> </w:t>
      </w:r>
      <w:r w:rsidRPr="00C25351">
        <w:t>ces</w:t>
      </w:r>
      <w:r w:rsidR="003B272C">
        <w:t> </w:t>
      </w:r>
      <w:r w:rsidRPr="00C25351">
        <w:t>prescriptions, en date, à Genève, du 5</w:t>
      </w:r>
      <w:r w:rsidR="003B272C">
        <w:t> </w:t>
      </w:r>
      <w:r w:rsidRPr="00C25351">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19" w:rsidRPr="00C06D19" w:rsidRDefault="00C06D19">
    <w:pPr>
      <w:pStyle w:val="En-tte"/>
      <w:rPr>
        <w:lang w:val="en-US"/>
      </w:rPr>
    </w:pPr>
    <w:r>
      <w:fldChar w:fldCharType="begin"/>
    </w:r>
    <w:r w:rsidRPr="00C06D19">
      <w:rPr>
        <w:lang w:val="en-US"/>
      </w:rPr>
      <w:instrText xml:space="preserve"> TITLE  \* MERGEFORMAT </w:instrText>
    </w:r>
    <w:r>
      <w:fldChar w:fldCharType="separate"/>
    </w:r>
    <w:r w:rsidR="006317DE">
      <w:rPr>
        <w:lang w:val="en-US"/>
      </w:rPr>
      <w:t>E/ECE/324/Rev.2/Add.112/Rev.3/Amend.6</w:t>
    </w:r>
    <w:r>
      <w:fldChar w:fldCharType="end"/>
    </w:r>
    <w:r w:rsidRPr="00C06D19">
      <w:rPr>
        <w:lang w:val="en-US"/>
      </w:rPr>
      <w:br/>
    </w:r>
    <w:r>
      <w:fldChar w:fldCharType="begin"/>
    </w:r>
    <w:r w:rsidRPr="00C06D19">
      <w:rPr>
        <w:lang w:val="en-US"/>
      </w:rPr>
      <w:instrText xml:space="preserve"> KEYWORDS  \* MERGEFORMAT </w:instrText>
    </w:r>
    <w:r>
      <w:fldChar w:fldCharType="separate"/>
    </w:r>
    <w:r w:rsidR="006317DE">
      <w:rPr>
        <w:lang w:val="en-US"/>
      </w:rPr>
      <w:t>E/ECE/TRANS/505/Rev.2/Add.112/Rev.3/Amend.6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19" w:rsidRPr="00C06D19" w:rsidRDefault="00C06D19" w:rsidP="00C06D19">
    <w:pPr>
      <w:pStyle w:val="En-tte"/>
      <w:jc w:val="right"/>
      <w:rPr>
        <w:lang w:val="en-US"/>
      </w:rPr>
    </w:pPr>
    <w:r>
      <w:fldChar w:fldCharType="begin"/>
    </w:r>
    <w:r w:rsidRPr="00C06D19">
      <w:rPr>
        <w:lang w:val="en-US"/>
      </w:rPr>
      <w:instrText xml:space="preserve"> TITLE  \* MERGEFORMAT </w:instrText>
    </w:r>
    <w:r>
      <w:fldChar w:fldCharType="separate"/>
    </w:r>
    <w:r w:rsidR="006317DE">
      <w:rPr>
        <w:lang w:val="en-US"/>
      </w:rPr>
      <w:t>E/ECE/324/Rev.2/Add.112/Rev.3/Amend.6</w:t>
    </w:r>
    <w:r>
      <w:fldChar w:fldCharType="end"/>
    </w:r>
    <w:r w:rsidRPr="00C06D19">
      <w:rPr>
        <w:lang w:val="en-US"/>
      </w:rPr>
      <w:br/>
    </w:r>
    <w:r>
      <w:fldChar w:fldCharType="begin"/>
    </w:r>
    <w:r w:rsidRPr="00C06D19">
      <w:rPr>
        <w:lang w:val="en-US"/>
      </w:rPr>
      <w:instrText xml:space="preserve"> KEYWORDS  \* MERGEFORMAT </w:instrText>
    </w:r>
    <w:r>
      <w:fldChar w:fldCharType="separate"/>
    </w:r>
    <w:r w:rsidR="006317DE">
      <w:rPr>
        <w:lang w:val="en-US"/>
      </w:rPr>
      <w:t>E/ECE/TRANS/505/Rev.2/Add.112/Rev.3/Amend.6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BF"/>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4CA"/>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21EC"/>
    <w:rsid w:val="00284C19"/>
    <w:rsid w:val="00286E23"/>
    <w:rsid w:val="002876A1"/>
    <w:rsid w:val="00287CA6"/>
    <w:rsid w:val="00287E79"/>
    <w:rsid w:val="002928F9"/>
    <w:rsid w:val="00294D5B"/>
    <w:rsid w:val="0029791D"/>
    <w:rsid w:val="002A2A2C"/>
    <w:rsid w:val="002A5D07"/>
    <w:rsid w:val="002C37B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272C"/>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2CF6"/>
    <w:rsid w:val="004342E2"/>
    <w:rsid w:val="00434354"/>
    <w:rsid w:val="00440BC8"/>
    <w:rsid w:val="00442E31"/>
    <w:rsid w:val="00454F8D"/>
    <w:rsid w:val="00454FC7"/>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57C5"/>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009FC"/>
    <w:rsid w:val="0061113B"/>
    <w:rsid w:val="00611D43"/>
    <w:rsid w:val="00612D48"/>
    <w:rsid w:val="00613A5E"/>
    <w:rsid w:val="00616B45"/>
    <w:rsid w:val="006241C6"/>
    <w:rsid w:val="00630D9B"/>
    <w:rsid w:val="006317DE"/>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0916"/>
    <w:rsid w:val="00741D90"/>
    <w:rsid w:val="007526B3"/>
    <w:rsid w:val="00755D4F"/>
    <w:rsid w:val="007607B1"/>
    <w:rsid w:val="00765296"/>
    <w:rsid w:val="00766D28"/>
    <w:rsid w:val="007723C2"/>
    <w:rsid w:val="007815B9"/>
    <w:rsid w:val="00783E82"/>
    <w:rsid w:val="00784B6A"/>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8F6EBF"/>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CB9"/>
    <w:rsid w:val="00B52F29"/>
    <w:rsid w:val="00B5388D"/>
    <w:rsid w:val="00B61990"/>
    <w:rsid w:val="00B6249B"/>
    <w:rsid w:val="00B70CCD"/>
    <w:rsid w:val="00B75E66"/>
    <w:rsid w:val="00B773BF"/>
    <w:rsid w:val="00BA5E74"/>
    <w:rsid w:val="00BC3F20"/>
    <w:rsid w:val="00BC76F0"/>
    <w:rsid w:val="00BD13E6"/>
    <w:rsid w:val="00BD2442"/>
    <w:rsid w:val="00BD28B2"/>
    <w:rsid w:val="00BD5A8D"/>
    <w:rsid w:val="00BD7343"/>
    <w:rsid w:val="00BF0556"/>
    <w:rsid w:val="00BF1C7D"/>
    <w:rsid w:val="00BF37EE"/>
    <w:rsid w:val="00BF3FEB"/>
    <w:rsid w:val="00C024A1"/>
    <w:rsid w:val="00C02C42"/>
    <w:rsid w:val="00C06D19"/>
    <w:rsid w:val="00C10FB1"/>
    <w:rsid w:val="00C11282"/>
    <w:rsid w:val="00C14108"/>
    <w:rsid w:val="00C25351"/>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2D9"/>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B62AB"/>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3433E"/>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C3A174B"/>
  <w15:docId w15:val="{93A4941F-BB7E-40A0-9EDE-E906DD2A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DB62AB"/>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5</Pages>
  <Words>1761</Words>
  <Characters>9691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E/ECE/324/Rev.2/Add.112/Rev.3/Amend.6</vt:lpstr>
    </vt:vector>
  </TitlesOfParts>
  <Company>CSD</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E/ECE/324/Rev.2/Add.112/Rev.3/Amend.6</dc:title>
  <dc:creator>Pascale BEYSARD</dc:creator>
  <cp:keywords>E/ECE/TRANS/505/Rev.2/Add.112/Rev.3/Amend.6</cp:keywords>
  <cp:lastModifiedBy>Pascale Beysard</cp:lastModifiedBy>
  <cp:revision>3</cp:revision>
  <cp:lastPrinted>2018-11-26T06:35:00Z</cp:lastPrinted>
  <dcterms:created xsi:type="dcterms:W3CDTF">2018-11-26T06:35:00Z</dcterms:created>
  <dcterms:modified xsi:type="dcterms:W3CDTF">2018-11-26T06:35:00Z</dcterms:modified>
</cp:coreProperties>
</file>