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C4DC3" w14:paraId="78CCA9E3" w14:textId="77777777" w:rsidTr="00A27C92">
        <w:trPr>
          <w:trHeight w:hRule="exact" w:val="851"/>
        </w:trPr>
        <w:tc>
          <w:tcPr>
            <w:tcW w:w="9639" w:type="dxa"/>
            <w:gridSpan w:val="2"/>
            <w:tcBorders>
              <w:bottom w:val="single" w:sz="4" w:space="0" w:color="auto"/>
            </w:tcBorders>
            <w:shd w:val="clear" w:color="auto" w:fill="auto"/>
            <w:vAlign w:val="bottom"/>
          </w:tcPr>
          <w:p w14:paraId="06655724" w14:textId="77777777" w:rsidR="00F3294A" w:rsidRPr="007C4DC3" w:rsidRDefault="00F3294A" w:rsidP="00F3294A">
            <w:pPr>
              <w:jc w:val="right"/>
            </w:pPr>
            <w:bookmarkStart w:id="0" w:name="_GoBack"/>
            <w:bookmarkEnd w:id="0"/>
            <w:r w:rsidRPr="007C4DC3">
              <w:rPr>
                <w:sz w:val="40"/>
              </w:rPr>
              <w:t>E</w:t>
            </w:r>
            <w:r w:rsidRPr="007C4DC3">
              <w:t>/ECE/324/Rev.2/Add.109/Rev.4/Amend.2−</w:t>
            </w:r>
            <w:r w:rsidRPr="007C4DC3">
              <w:rPr>
                <w:sz w:val="40"/>
              </w:rPr>
              <w:t>E</w:t>
            </w:r>
            <w:r w:rsidRPr="007C4DC3">
              <w:t>/ECE/TRANS/505/Rev.2/Add.109/Rev.4/Amend.2</w:t>
            </w:r>
          </w:p>
        </w:tc>
      </w:tr>
      <w:tr w:rsidR="00421A10" w:rsidRPr="007C4DC3" w14:paraId="1B0C2317" w14:textId="77777777" w:rsidTr="0075102A">
        <w:trPr>
          <w:trHeight w:hRule="exact" w:val="2552"/>
        </w:trPr>
        <w:tc>
          <w:tcPr>
            <w:tcW w:w="6804" w:type="dxa"/>
            <w:tcBorders>
              <w:top w:val="single" w:sz="4" w:space="0" w:color="auto"/>
              <w:bottom w:val="single" w:sz="12" w:space="0" w:color="auto"/>
            </w:tcBorders>
            <w:shd w:val="clear" w:color="auto" w:fill="auto"/>
          </w:tcPr>
          <w:p w14:paraId="5E9E50F0" w14:textId="77777777" w:rsidR="00421A10" w:rsidRPr="007C4DC3"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7A94018B" w14:textId="77777777" w:rsidR="00421A10" w:rsidRPr="007C4DC3" w:rsidRDefault="00F3294A" w:rsidP="00A27C92">
            <w:pPr>
              <w:spacing w:before="480" w:line="240" w:lineRule="exact"/>
            </w:pPr>
            <w:r w:rsidRPr="007C4DC3">
              <w:t>2 novembre 2018</w:t>
            </w:r>
          </w:p>
        </w:tc>
      </w:tr>
    </w:tbl>
    <w:p w14:paraId="3BAAEAEB" w14:textId="77777777" w:rsidR="00421A10" w:rsidRPr="007C4DC3" w:rsidRDefault="0029791D" w:rsidP="0029791D">
      <w:pPr>
        <w:pStyle w:val="HChG"/>
      </w:pPr>
      <w:r w:rsidRPr="007C4DC3">
        <w:tab/>
      </w:r>
      <w:r w:rsidRPr="007C4DC3">
        <w:tab/>
      </w:r>
      <w:r w:rsidR="00421A10" w:rsidRPr="007C4DC3">
        <w:t>Accord</w:t>
      </w:r>
    </w:p>
    <w:p w14:paraId="270310BD" w14:textId="77777777" w:rsidR="00421A10" w:rsidRPr="007C4DC3" w:rsidRDefault="0029791D" w:rsidP="00052CAC">
      <w:pPr>
        <w:pStyle w:val="H1G"/>
        <w:spacing w:before="240"/>
      </w:pPr>
      <w:r w:rsidRPr="007C4DC3">
        <w:tab/>
      </w:r>
      <w:r w:rsidRPr="007C4DC3">
        <w:tab/>
      </w:r>
      <w:r w:rsidR="00421A10" w:rsidRPr="007C4DC3">
        <w:t xml:space="preserve">Concernant </w:t>
      </w:r>
      <w:r w:rsidR="00052CAC" w:rsidRPr="007C4DC3">
        <w:t xml:space="preserve">l’adoption de Règlements techniques harmonisés de l’ONU applicables aux véhicules à roues et aux équipements et pièces </w:t>
      </w:r>
      <w:proofErr w:type="gramStart"/>
      <w:r w:rsidR="00052CAC" w:rsidRPr="007C4DC3">
        <w:t>susceptibles</w:t>
      </w:r>
      <w:proofErr w:type="gramEnd"/>
      <w:r w:rsidR="00052CAC" w:rsidRPr="007C4DC3">
        <w:t xml:space="preserve"> d’être montés ou utilisés sur les véhicules à roues et les conditions de reconnaissance réciproque des homologations délivrées conformément à ces Règlements</w:t>
      </w:r>
      <w:r w:rsidR="00442E31" w:rsidRPr="007C4DC3">
        <w:rPr>
          <w:rStyle w:val="FootnoteReference"/>
          <w:b w:val="0"/>
          <w:sz w:val="20"/>
          <w:vertAlign w:val="baseline"/>
        </w:rPr>
        <w:footnoteReference w:customMarkFollows="1" w:id="2"/>
        <w:t>*</w:t>
      </w:r>
    </w:p>
    <w:p w14:paraId="3BA5F48F" w14:textId="77777777" w:rsidR="00421A10" w:rsidRPr="007C4DC3" w:rsidRDefault="00421A10" w:rsidP="0029791D">
      <w:pPr>
        <w:pStyle w:val="SingleTxtG"/>
        <w:jc w:val="left"/>
        <w:rPr>
          <w:b/>
          <w:sz w:val="24"/>
          <w:szCs w:val="24"/>
        </w:rPr>
      </w:pPr>
      <w:r w:rsidRPr="007C4DC3">
        <w:t xml:space="preserve">(Révision </w:t>
      </w:r>
      <w:r w:rsidR="00052CAC" w:rsidRPr="007C4DC3">
        <w:t>3, comprenant les amendements entrés en vigueur le 14 septembre 2017</w:t>
      </w:r>
      <w:r w:rsidRPr="007C4DC3">
        <w:t>)</w:t>
      </w:r>
    </w:p>
    <w:p w14:paraId="68A3D9E1" w14:textId="77777777" w:rsidR="00421A10" w:rsidRPr="007C4DC3" w:rsidRDefault="0029791D" w:rsidP="0029791D">
      <w:pPr>
        <w:jc w:val="center"/>
      </w:pPr>
      <w:r w:rsidRPr="007C4DC3">
        <w:t>_______________</w:t>
      </w:r>
    </w:p>
    <w:p w14:paraId="70EA74F6" w14:textId="77777777" w:rsidR="00421A10" w:rsidRPr="007C4DC3" w:rsidRDefault="0029791D" w:rsidP="00052CAC">
      <w:pPr>
        <w:pStyle w:val="HChG"/>
        <w:spacing w:before="240"/>
      </w:pPr>
      <w:r w:rsidRPr="007C4DC3">
        <w:tab/>
      </w:r>
      <w:r w:rsidRPr="007C4DC3">
        <w:tab/>
      </w:r>
      <w:r w:rsidR="00421A10" w:rsidRPr="007C4DC3">
        <w:t xml:space="preserve">Additif </w:t>
      </w:r>
      <w:r w:rsidR="00052CAC" w:rsidRPr="007C4DC3">
        <w:t>109 −</w:t>
      </w:r>
      <w:r w:rsidR="00421A10" w:rsidRPr="007C4DC3">
        <w:t xml:space="preserve">Règlement </w:t>
      </w:r>
      <w:r w:rsidR="001E7643" w:rsidRPr="007C4DC3">
        <w:t xml:space="preserve">ONU </w:t>
      </w:r>
      <w:r w:rsidR="00421A10" w:rsidRPr="007C4DC3">
        <w:t>n</w:t>
      </w:r>
      <w:r w:rsidR="00421A10" w:rsidRPr="007C4DC3">
        <w:rPr>
          <w:vertAlign w:val="superscript"/>
        </w:rPr>
        <w:t>o</w:t>
      </w:r>
      <w:r w:rsidR="00421A10" w:rsidRPr="007C4DC3">
        <w:t> </w:t>
      </w:r>
      <w:r w:rsidR="00052CAC" w:rsidRPr="007C4DC3">
        <w:t>110</w:t>
      </w:r>
    </w:p>
    <w:p w14:paraId="6D95F49B" w14:textId="77777777" w:rsidR="00421A10" w:rsidRPr="007C4DC3" w:rsidRDefault="0029791D" w:rsidP="00052CAC">
      <w:pPr>
        <w:pStyle w:val="H1G"/>
        <w:spacing w:before="240"/>
      </w:pPr>
      <w:r w:rsidRPr="007C4DC3">
        <w:tab/>
      </w:r>
      <w:r w:rsidRPr="007C4DC3">
        <w:tab/>
      </w:r>
      <w:r w:rsidR="00421A10" w:rsidRPr="007C4DC3">
        <w:t xml:space="preserve">Révision </w:t>
      </w:r>
      <w:r w:rsidR="00052CAC" w:rsidRPr="007C4DC3">
        <w:t>4 − Amendement 2</w:t>
      </w:r>
    </w:p>
    <w:p w14:paraId="2CD5C63C" w14:textId="77777777" w:rsidR="00421A10" w:rsidRPr="007C4DC3" w:rsidRDefault="00052CAC" w:rsidP="0029791D">
      <w:pPr>
        <w:pStyle w:val="SingleTxtG"/>
        <w:spacing w:after="0"/>
      </w:pPr>
      <w:r w:rsidRPr="007C4DC3">
        <w:t>Série 03 d’amendements − Date d’entrée en vigueur</w:t>
      </w:r>
      <w:r w:rsidR="000D2B97" w:rsidRPr="007C4DC3">
        <w:t> :</w:t>
      </w:r>
      <w:r w:rsidRPr="007C4DC3">
        <w:t xml:space="preserve"> 16 octobre 2018</w:t>
      </w:r>
    </w:p>
    <w:p w14:paraId="2022C33E" w14:textId="77777777" w:rsidR="00052CAC" w:rsidRPr="007C4DC3" w:rsidRDefault="0029791D" w:rsidP="00052CAC">
      <w:pPr>
        <w:pStyle w:val="H1G"/>
        <w:spacing w:before="240" w:after="0"/>
      </w:pPr>
      <w:r w:rsidRPr="007C4DC3">
        <w:tab/>
      </w:r>
      <w:r w:rsidRPr="007C4DC3">
        <w:tab/>
      </w:r>
      <w:r w:rsidR="00421A10" w:rsidRPr="007C4DC3">
        <w:t xml:space="preserve">Prescriptions </w:t>
      </w:r>
      <w:r w:rsidR="00052CAC" w:rsidRPr="007C4DC3">
        <w:t>uniformes relatives à l’homologation</w:t>
      </w:r>
      <w:r w:rsidR="000D2B97" w:rsidRPr="007C4DC3">
        <w:t> :</w:t>
      </w:r>
    </w:p>
    <w:p w14:paraId="70A8D406" w14:textId="77777777" w:rsidR="00052CAC" w:rsidRPr="005071BA" w:rsidRDefault="00052CAC" w:rsidP="0075102A">
      <w:pPr>
        <w:pStyle w:val="H1G"/>
        <w:spacing w:before="0" w:after="0"/>
        <w:ind w:left="1701" w:hanging="567"/>
      </w:pPr>
      <w:r w:rsidRPr="007C4DC3">
        <w:t>I.</w:t>
      </w:r>
      <w:r w:rsidRPr="007C4DC3">
        <w:tab/>
      </w:r>
      <w:r w:rsidRPr="005071BA">
        <w:t>Des organes spéciaux pour l’alimentation du moteur au gaz naturel comprimé (GNC) et/ou au gaz naturel liquéfié (GNL) sur</w:t>
      </w:r>
      <w:r w:rsidR="005071BA">
        <w:t> </w:t>
      </w:r>
      <w:r w:rsidRPr="005071BA">
        <w:t xml:space="preserve">les véhicules </w:t>
      </w:r>
    </w:p>
    <w:p w14:paraId="17DAD45B" w14:textId="77777777" w:rsidR="00421A10" w:rsidRPr="007C4DC3" w:rsidRDefault="00052CAC" w:rsidP="0075102A">
      <w:pPr>
        <w:pStyle w:val="H1G"/>
        <w:spacing w:before="0"/>
        <w:ind w:left="1701" w:hanging="567"/>
      </w:pPr>
      <w:r w:rsidRPr="007C4DC3">
        <w:t>II.</w:t>
      </w:r>
      <w:r w:rsidRPr="007C4DC3">
        <w:tab/>
        <w:t>Des véhicules munis d’organes spéciaux d’un type homologué pour l’alimentation du moteur au gaz naturel comprimé (GNC) et/ou au gaz naturel liquéfié (GNL) en ce qui concerne l’installation de ces organes</w:t>
      </w:r>
    </w:p>
    <w:p w14:paraId="4111695F" w14:textId="77777777" w:rsidR="00F3294A" w:rsidRPr="007C4DC3" w:rsidRDefault="00052CAC" w:rsidP="00052CAC">
      <w:pPr>
        <w:pStyle w:val="SingleTxtG"/>
        <w:rPr>
          <w:spacing w:val="-2"/>
        </w:rPr>
      </w:pPr>
      <w:r w:rsidRPr="007C4DC3">
        <w:rPr>
          <w:spacing w:val="-2"/>
        </w:rPr>
        <w:t>Le présent document est communiqué uniquement à titre d’information. Le texte authentique, juridiquement contraignant, est celui du document ECE/TRANS/WP.29/2018/22.</w:t>
      </w:r>
      <w:r w:rsidRPr="007C4DC3">
        <w:rPr>
          <w:noProof/>
          <w:spacing w:val="-2"/>
          <w:lang w:eastAsia="fr-CH"/>
        </w:rPr>
        <mc:AlternateContent>
          <mc:Choice Requires="wps">
            <w:drawing>
              <wp:anchor distT="0" distB="0" distL="114300" distR="114300" simplePos="0" relativeHeight="251659264" behindDoc="0" locked="0" layoutInCell="1" allowOverlap="1" wp14:anchorId="4BE59F5D" wp14:editId="431F8787">
                <wp:simplePos x="0" y="0"/>
                <wp:positionH relativeFrom="margin">
                  <wp:posOffset>0</wp:posOffset>
                </wp:positionH>
                <wp:positionV relativeFrom="margin">
                  <wp:posOffset>6427165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5D842A5C" w14:textId="77777777" w:rsidR="000D2B97" w:rsidRPr="0029791D" w:rsidRDefault="000D2B97" w:rsidP="000D2B97">
                            <w:pPr>
                              <w:ind w:left="1134" w:right="1134"/>
                              <w:jc w:val="center"/>
                            </w:pPr>
                            <w:r>
                              <w:t>_______________</w:t>
                            </w:r>
                          </w:p>
                          <w:p w14:paraId="3259E483" w14:textId="77777777" w:rsidR="000D2B97" w:rsidRDefault="000D2B97" w:rsidP="000D2B97">
                            <w:pPr>
                              <w:jc w:val="center"/>
                              <w:rPr>
                                <w:b/>
                                <w:bCs/>
                                <w:sz w:val="22"/>
                              </w:rPr>
                            </w:pPr>
                            <w:r>
                              <w:rPr>
                                <w:noProof/>
                                <w:lang w:eastAsia="fr-CH"/>
                              </w:rPr>
                              <w:drawing>
                                <wp:inline distT="0" distB="0" distL="0" distR="0" wp14:anchorId="368E05B5" wp14:editId="017DCAF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DA04E4E" w14:textId="77777777" w:rsidR="000D2B97" w:rsidRDefault="000D2B97"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59F5D" id="_x0000_t202" coordsize="21600,21600" o:spt="202" path="m,l,21600r21600,l21600,xe">
                <v:stroke joinstyle="miter"/>
                <v:path gradientshapeok="t" o:connecttype="rect"/>
              </v:shapetype>
              <v:shape id="Zone de texte 4" o:spid="_x0000_s1026" type="#_x0000_t202" style="position:absolute;left:0;text-align:left;margin-left:0;margin-top:506.1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" stroked="f">
                <v:textbox inset="0,0,0,0">
                  <w:txbxContent>
                    <w:p w14:paraId="5D842A5C" w14:textId="77777777" w:rsidR="000D2B97" w:rsidRPr="0029791D" w:rsidRDefault="000D2B97" w:rsidP="000D2B97">
                      <w:pPr>
                        <w:ind w:left="1134" w:right="1134"/>
                        <w:jc w:val="center"/>
                      </w:pPr>
                      <w:r>
                        <w:t>_______________</w:t>
                      </w:r>
                    </w:p>
                    <w:p w14:paraId="3259E483" w14:textId="77777777" w:rsidR="000D2B97" w:rsidRDefault="000D2B97" w:rsidP="000D2B97">
                      <w:pPr>
                        <w:jc w:val="center"/>
                        <w:rPr>
                          <w:b/>
                          <w:bCs/>
                          <w:sz w:val="22"/>
                        </w:rPr>
                      </w:pPr>
                      <w:r>
                        <w:rPr>
                          <w:noProof/>
                          <w:lang w:eastAsia="fr-CH"/>
                        </w:rPr>
                        <w:drawing>
                          <wp:inline distT="0" distB="0" distL="0" distR="0" wp14:anchorId="368E05B5" wp14:editId="017DCAF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DA04E4E" w14:textId="77777777" w:rsidR="000D2B97" w:rsidRDefault="000D2B97" w:rsidP="00C6525D">
                      <w:pPr>
                        <w:jc w:val="center"/>
                      </w:pPr>
                      <w:r w:rsidRPr="0029791D">
                        <w:rPr>
                          <w:b/>
                          <w:bCs/>
                          <w:sz w:val="24"/>
                          <w:szCs w:val="24"/>
                        </w:rPr>
                        <w:t>Nations Unies</w:t>
                      </w:r>
                    </w:p>
                  </w:txbxContent>
                </v:textbox>
                <w10:wrap anchorx="margin" anchory="margin"/>
              </v:shape>
            </w:pict>
          </mc:Fallback>
        </mc:AlternateContent>
      </w:r>
    </w:p>
    <w:p w14:paraId="540431D5" w14:textId="77777777" w:rsidR="00052CAC" w:rsidRPr="007C4DC3" w:rsidRDefault="00F3294A" w:rsidP="000D2B97">
      <w:pPr>
        <w:pStyle w:val="SingleTxtG"/>
        <w:rPr>
          <w:i/>
        </w:rPr>
      </w:pPr>
      <w:r w:rsidRPr="007C4DC3">
        <w:br w:type="page"/>
      </w:r>
      <w:r w:rsidR="00052CAC" w:rsidRPr="007C4DC3">
        <w:rPr>
          <w:i/>
        </w:rPr>
        <w:lastRenderedPageBreak/>
        <w:t>Table des matières, Annexe 3A</w:t>
      </w:r>
      <w:r w:rsidR="00052CAC" w:rsidRPr="007C4DC3">
        <w:t>, supprimer la rubrique « Appendice H ».</w:t>
      </w:r>
    </w:p>
    <w:p w14:paraId="3FF8ADCB" w14:textId="77777777" w:rsidR="00052CAC" w:rsidRPr="007C4DC3" w:rsidRDefault="00052CAC" w:rsidP="000D2B97">
      <w:pPr>
        <w:pStyle w:val="SingleTxtG"/>
        <w:keepNext/>
      </w:pPr>
      <w:r w:rsidRPr="007C4DC3">
        <w:rPr>
          <w:i/>
        </w:rPr>
        <w:t>Paragraphe 2 (Références)</w:t>
      </w:r>
      <w:r w:rsidRPr="007C4DC3">
        <w:t>, lire</w:t>
      </w:r>
      <w:r w:rsidR="000D2B97" w:rsidRPr="007C4DC3">
        <w:t> :</w:t>
      </w:r>
    </w:p>
    <w:p w14:paraId="4230106D" w14:textId="77777777" w:rsidR="00052CAC" w:rsidRPr="007C4DC3" w:rsidRDefault="00052CAC" w:rsidP="000D2B97">
      <w:pPr>
        <w:pStyle w:val="HChG"/>
        <w:ind w:left="2268"/>
      </w:pPr>
      <w:r w:rsidRPr="007C4DC3">
        <w:rPr>
          <w:b w:val="0"/>
          <w:sz w:val="20"/>
        </w:rPr>
        <w:t>« </w:t>
      </w:r>
      <w:r w:rsidRPr="007C4DC3">
        <w:t>2.</w:t>
      </w:r>
      <w:r w:rsidRPr="007C4DC3">
        <w:tab/>
        <w:t>Références</w:t>
      </w:r>
    </w:p>
    <w:p w14:paraId="48F2EA9B" w14:textId="77777777" w:rsidR="00052CAC" w:rsidRPr="007C4DC3" w:rsidRDefault="00052CAC" w:rsidP="000D2B97">
      <w:pPr>
        <w:pStyle w:val="SingleTxtG"/>
        <w:ind w:left="2268"/>
      </w:pPr>
      <w:r w:rsidRPr="007C4DC3">
        <w:t>Les normes suivantes contiennent des dispositions qui, par suite de la référence qui y est faite, constituent des dispositions valables pour le présent Règlement.</w:t>
      </w:r>
    </w:p>
    <w:p w14:paraId="2A1F2150" w14:textId="77777777" w:rsidR="00052CAC" w:rsidRPr="007C4DC3" w:rsidRDefault="00052CAC" w:rsidP="007C4DC3">
      <w:pPr>
        <w:pStyle w:val="SingleTxtG"/>
        <w:keepNext/>
        <w:ind w:left="2268"/>
      </w:pPr>
      <w:r w:rsidRPr="007C4DC3">
        <w:t>Normes ASTM</w:t>
      </w:r>
      <w:r w:rsidRPr="007C4DC3">
        <w:rPr>
          <w:rStyle w:val="FootnoteReference"/>
        </w:rPr>
        <w:footnoteReference w:id="3"/>
      </w:r>
    </w:p>
    <w:p w14:paraId="074DCE36" w14:textId="77777777" w:rsidR="00052CAC" w:rsidRPr="007C4DC3" w:rsidRDefault="00052CAC" w:rsidP="007C4DC3">
      <w:pPr>
        <w:pStyle w:val="SingleTxtG"/>
        <w:ind w:left="4536" w:hanging="2268"/>
      </w:pPr>
      <w:r w:rsidRPr="007C4DC3">
        <w:t>ASTM B117-90</w:t>
      </w:r>
      <w:r w:rsidRPr="007C4DC3">
        <w:tab/>
        <w:t xml:space="preserve">Test </w:t>
      </w:r>
      <w:proofErr w:type="spellStart"/>
      <w:r w:rsidRPr="007C4DC3">
        <w:t>method</w:t>
      </w:r>
      <w:proofErr w:type="spellEnd"/>
      <w:r w:rsidRPr="007C4DC3">
        <w:t xml:space="preserve"> of Salt Spray (Fog) </w:t>
      </w:r>
      <w:proofErr w:type="spellStart"/>
      <w:r w:rsidRPr="007C4DC3">
        <w:t>Testing</w:t>
      </w:r>
      <w:proofErr w:type="spellEnd"/>
    </w:p>
    <w:p w14:paraId="4EECA06B" w14:textId="77777777" w:rsidR="00052CAC" w:rsidRPr="007C4DC3" w:rsidRDefault="00052CAC" w:rsidP="007C4DC3">
      <w:pPr>
        <w:pStyle w:val="SingleTxtG"/>
        <w:ind w:left="4536" w:hanging="2268"/>
      </w:pPr>
      <w:r w:rsidRPr="007C4DC3">
        <w:t>ASTM B154-92</w:t>
      </w:r>
      <w:r w:rsidRPr="007C4DC3">
        <w:tab/>
      </w:r>
      <w:proofErr w:type="spellStart"/>
      <w:r w:rsidRPr="007C4DC3">
        <w:t>Mercurous</w:t>
      </w:r>
      <w:proofErr w:type="spellEnd"/>
      <w:r w:rsidRPr="007C4DC3">
        <w:t xml:space="preserve"> Nitrate Test for Copper and Copper </w:t>
      </w:r>
      <w:proofErr w:type="spellStart"/>
      <w:r w:rsidRPr="007C4DC3">
        <w:t>Alloys</w:t>
      </w:r>
      <w:proofErr w:type="spellEnd"/>
    </w:p>
    <w:p w14:paraId="66D3088D" w14:textId="77777777" w:rsidR="00052CAC" w:rsidRPr="007C4DC3" w:rsidRDefault="00052CAC" w:rsidP="007C4DC3">
      <w:pPr>
        <w:pStyle w:val="SingleTxtG"/>
        <w:ind w:left="4536" w:hanging="2268"/>
      </w:pPr>
      <w:r w:rsidRPr="007C4DC3">
        <w:t>ASTM D522-92</w:t>
      </w:r>
      <w:r w:rsidRPr="007C4DC3">
        <w:tab/>
      </w:r>
      <w:proofErr w:type="spellStart"/>
      <w:r w:rsidRPr="007C4DC3">
        <w:t>Mandrel</w:t>
      </w:r>
      <w:proofErr w:type="spellEnd"/>
      <w:r w:rsidRPr="007C4DC3">
        <w:t xml:space="preserve"> Bend Test of </w:t>
      </w:r>
      <w:proofErr w:type="spellStart"/>
      <w:r w:rsidRPr="007C4DC3">
        <w:t>attached</w:t>
      </w:r>
      <w:proofErr w:type="spellEnd"/>
      <w:r w:rsidRPr="007C4DC3">
        <w:t xml:space="preserve"> </w:t>
      </w:r>
      <w:proofErr w:type="spellStart"/>
      <w:r w:rsidRPr="007C4DC3">
        <w:t>Organic</w:t>
      </w:r>
      <w:proofErr w:type="spellEnd"/>
      <w:r w:rsidRPr="007C4DC3">
        <w:t xml:space="preserve"> </w:t>
      </w:r>
      <w:proofErr w:type="spellStart"/>
      <w:r w:rsidRPr="007C4DC3">
        <w:t>Coatings</w:t>
      </w:r>
      <w:proofErr w:type="spellEnd"/>
    </w:p>
    <w:p w14:paraId="48FC07B4" w14:textId="77777777" w:rsidR="00052CAC" w:rsidRPr="007C4DC3" w:rsidRDefault="00052CAC" w:rsidP="007C4DC3">
      <w:pPr>
        <w:pStyle w:val="SingleTxtG"/>
        <w:ind w:left="4536" w:hanging="2268"/>
      </w:pPr>
      <w:r w:rsidRPr="007C4DC3">
        <w:t>ASTM D1308-87</w:t>
      </w:r>
      <w:r w:rsidRPr="007C4DC3">
        <w:tab/>
      </w:r>
      <w:proofErr w:type="spellStart"/>
      <w:r w:rsidRPr="007C4DC3">
        <w:t>Effect</w:t>
      </w:r>
      <w:proofErr w:type="spellEnd"/>
      <w:r w:rsidRPr="007C4DC3">
        <w:t xml:space="preserve"> of </w:t>
      </w:r>
      <w:proofErr w:type="spellStart"/>
      <w:r w:rsidRPr="007C4DC3">
        <w:t>Household</w:t>
      </w:r>
      <w:proofErr w:type="spellEnd"/>
      <w:r w:rsidRPr="007C4DC3">
        <w:t xml:space="preserve"> Chemicals on Clear and </w:t>
      </w:r>
      <w:proofErr w:type="spellStart"/>
      <w:r w:rsidRPr="007C4DC3">
        <w:t>Pigmented</w:t>
      </w:r>
      <w:proofErr w:type="spellEnd"/>
      <w:r w:rsidRPr="007C4DC3">
        <w:t xml:space="preserve"> </w:t>
      </w:r>
      <w:proofErr w:type="spellStart"/>
      <w:r w:rsidRPr="007C4DC3">
        <w:t>Organic</w:t>
      </w:r>
      <w:proofErr w:type="spellEnd"/>
      <w:r w:rsidRPr="007C4DC3">
        <w:t xml:space="preserve"> </w:t>
      </w:r>
      <w:proofErr w:type="spellStart"/>
      <w:r w:rsidRPr="007C4DC3">
        <w:t>Finishes</w:t>
      </w:r>
      <w:proofErr w:type="spellEnd"/>
    </w:p>
    <w:p w14:paraId="07C04F3F" w14:textId="77777777" w:rsidR="00052CAC" w:rsidRPr="007C4DC3" w:rsidRDefault="00052CAC" w:rsidP="007C4DC3">
      <w:pPr>
        <w:pStyle w:val="SingleTxtG"/>
        <w:ind w:left="4536" w:hanging="2268"/>
      </w:pPr>
      <w:r w:rsidRPr="007C4DC3">
        <w:t>ASTM D2344-84</w:t>
      </w:r>
      <w:r w:rsidRPr="007C4DC3">
        <w:tab/>
        <w:t xml:space="preserve">Test Method for Apparent </w:t>
      </w:r>
      <w:proofErr w:type="spellStart"/>
      <w:r w:rsidRPr="007C4DC3">
        <w:t>interlaminar</w:t>
      </w:r>
      <w:proofErr w:type="spellEnd"/>
      <w:r w:rsidRPr="007C4DC3">
        <w:t xml:space="preserve"> </w:t>
      </w:r>
      <w:proofErr w:type="spellStart"/>
      <w:r w:rsidRPr="007C4DC3">
        <w:t>Shear</w:t>
      </w:r>
      <w:proofErr w:type="spellEnd"/>
      <w:r w:rsidRPr="007C4DC3">
        <w:t xml:space="preserve"> </w:t>
      </w:r>
      <w:proofErr w:type="spellStart"/>
      <w:r w:rsidRPr="007C4DC3">
        <w:t>Strength</w:t>
      </w:r>
      <w:proofErr w:type="spellEnd"/>
      <w:r w:rsidRPr="007C4DC3">
        <w:t xml:space="preserve"> of </w:t>
      </w:r>
      <w:proofErr w:type="spellStart"/>
      <w:r w:rsidRPr="007C4DC3">
        <w:t>Parallel</w:t>
      </w:r>
      <w:proofErr w:type="spellEnd"/>
      <w:r w:rsidRPr="007C4DC3">
        <w:t xml:space="preserve"> Fibre Composites by the Short Beam Method</w:t>
      </w:r>
    </w:p>
    <w:p w14:paraId="77ACE8F8" w14:textId="77777777" w:rsidR="00052CAC" w:rsidRPr="007C4DC3" w:rsidRDefault="00052CAC" w:rsidP="007C4DC3">
      <w:pPr>
        <w:pStyle w:val="SingleTxtG"/>
        <w:ind w:left="4536" w:hanging="2268"/>
      </w:pPr>
      <w:r w:rsidRPr="007C4DC3">
        <w:t>ASTM D2794-92</w:t>
      </w:r>
      <w:r w:rsidRPr="007C4DC3">
        <w:tab/>
        <w:t xml:space="preserve">Test Method for Resistance of </w:t>
      </w:r>
      <w:proofErr w:type="spellStart"/>
      <w:r w:rsidRPr="007C4DC3">
        <w:t>Organic</w:t>
      </w:r>
      <w:proofErr w:type="spellEnd"/>
      <w:r w:rsidRPr="007C4DC3">
        <w:t xml:space="preserve"> </w:t>
      </w:r>
      <w:proofErr w:type="spellStart"/>
      <w:r w:rsidRPr="007C4DC3">
        <w:t>Coatings</w:t>
      </w:r>
      <w:proofErr w:type="spellEnd"/>
      <w:r w:rsidRPr="007C4DC3">
        <w:t xml:space="preserve"> to the </w:t>
      </w:r>
      <w:proofErr w:type="spellStart"/>
      <w:r w:rsidRPr="007C4DC3">
        <w:t>Effects</w:t>
      </w:r>
      <w:proofErr w:type="spellEnd"/>
      <w:r w:rsidRPr="007C4DC3">
        <w:t xml:space="preserve"> of Rapid </w:t>
      </w:r>
      <w:proofErr w:type="spellStart"/>
      <w:r w:rsidRPr="007C4DC3">
        <w:t>Deformation</w:t>
      </w:r>
      <w:proofErr w:type="spellEnd"/>
      <w:r w:rsidRPr="007C4DC3">
        <w:t xml:space="preserve"> (Impact)</w:t>
      </w:r>
    </w:p>
    <w:p w14:paraId="3F725E11" w14:textId="77777777" w:rsidR="00052CAC" w:rsidRPr="007C4DC3" w:rsidRDefault="00052CAC" w:rsidP="007C4DC3">
      <w:pPr>
        <w:pStyle w:val="SingleTxtG"/>
        <w:ind w:left="4536" w:hanging="2268"/>
      </w:pPr>
      <w:r w:rsidRPr="007C4DC3">
        <w:t>ASTM D3170-87</w:t>
      </w:r>
      <w:r w:rsidRPr="007C4DC3">
        <w:tab/>
      </w:r>
      <w:proofErr w:type="spellStart"/>
      <w:r w:rsidRPr="007C4DC3">
        <w:t>Chipping</w:t>
      </w:r>
      <w:proofErr w:type="spellEnd"/>
      <w:r w:rsidRPr="007C4DC3">
        <w:t xml:space="preserve"> Resistance of </w:t>
      </w:r>
      <w:proofErr w:type="spellStart"/>
      <w:r w:rsidRPr="007C4DC3">
        <w:t>Coatings</w:t>
      </w:r>
      <w:proofErr w:type="spellEnd"/>
    </w:p>
    <w:p w14:paraId="218F8247" w14:textId="77777777" w:rsidR="00052CAC" w:rsidRPr="007C4DC3" w:rsidRDefault="00052CAC" w:rsidP="007C4DC3">
      <w:pPr>
        <w:pStyle w:val="SingleTxtG"/>
        <w:ind w:left="4536" w:hanging="2268"/>
      </w:pPr>
      <w:r w:rsidRPr="007C4DC3">
        <w:t>ASTM D3418-83</w:t>
      </w:r>
      <w:r w:rsidRPr="007C4DC3">
        <w:tab/>
        <w:t xml:space="preserve">Test Method for Transition </w:t>
      </w:r>
      <w:proofErr w:type="spellStart"/>
      <w:r w:rsidRPr="007C4DC3">
        <w:t>Temperatures</w:t>
      </w:r>
      <w:proofErr w:type="spellEnd"/>
      <w:r w:rsidRPr="007C4DC3">
        <w:t xml:space="preserve"> </w:t>
      </w:r>
      <w:proofErr w:type="spellStart"/>
      <w:r w:rsidRPr="007C4DC3">
        <w:t>Polymers</w:t>
      </w:r>
      <w:proofErr w:type="spellEnd"/>
      <w:r w:rsidRPr="007C4DC3">
        <w:t xml:space="preserve"> by Thermal </w:t>
      </w:r>
      <w:proofErr w:type="spellStart"/>
      <w:r w:rsidRPr="007C4DC3">
        <w:t>Analysis</w:t>
      </w:r>
      <w:proofErr w:type="spellEnd"/>
    </w:p>
    <w:p w14:paraId="198597F1" w14:textId="77777777" w:rsidR="00052CAC" w:rsidRPr="007C4DC3" w:rsidRDefault="00052CAC" w:rsidP="007C4DC3">
      <w:pPr>
        <w:pStyle w:val="SingleTxtG"/>
        <w:ind w:left="4536" w:hanging="2268"/>
      </w:pPr>
      <w:r w:rsidRPr="007C4DC3">
        <w:t>ASTM D4814-17</w:t>
      </w:r>
      <w:r w:rsidRPr="007C4DC3">
        <w:tab/>
        <w:t xml:space="preserve">Standard </w:t>
      </w:r>
      <w:proofErr w:type="spellStart"/>
      <w:r w:rsidRPr="007C4DC3">
        <w:t>Specification</w:t>
      </w:r>
      <w:proofErr w:type="spellEnd"/>
      <w:r w:rsidRPr="007C4DC3">
        <w:t xml:space="preserve"> for Automotive Spark-Ignition Engine Fuel</w:t>
      </w:r>
    </w:p>
    <w:p w14:paraId="3522AA3B" w14:textId="77777777" w:rsidR="00052CAC" w:rsidRPr="007C4DC3" w:rsidRDefault="00052CAC" w:rsidP="007C4DC3">
      <w:pPr>
        <w:pStyle w:val="SingleTxtG"/>
        <w:ind w:left="4536" w:hanging="2268"/>
      </w:pPr>
      <w:r w:rsidRPr="007C4DC3">
        <w:t>ASTM E647-93</w:t>
      </w:r>
      <w:r w:rsidRPr="007C4DC3">
        <w:tab/>
        <w:t xml:space="preserve">Standard Test, Method for </w:t>
      </w:r>
      <w:proofErr w:type="spellStart"/>
      <w:r w:rsidRPr="007C4DC3">
        <w:t>Measurement</w:t>
      </w:r>
      <w:proofErr w:type="spellEnd"/>
      <w:r w:rsidRPr="007C4DC3">
        <w:t xml:space="preserve"> of Fatigue Crack </w:t>
      </w:r>
      <w:proofErr w:type="spellStart"/>
      <w:r w:rsidRPr="007C4DC3">
        <w:t>Growth</w:t>
      </w:r>
      <w:proofErr w:type="spellEnd"/>
      <w:r w:rsidRPr="007C4DC3">
        <w:t xml:space="preserve"> Rates</w:t>
      </w:r>
    </w:p>
    <w:p w14:paraId="0DE95D52" w14:textId="77777777" w:rsidR="00052CAC" w:rsidRPr="007C4DC3" w:rsidRDefault="00052CAC" w:rsidP="007C4DC3">
      <w:pPr>
        <w:pStyle w:val="SingleTxtG"/>
        <w:ind w:left="4536" w:hanging="2268"/>
      </w:pPr>
      <w:r w:rsidRPr="007C4DC3">
        <w:t>ASTM E813-89</w:t>
      </w:r>
      <w:r w:rsidRPr="007C4DC3">
        <w:tab/>
        <w:t>Test Method for J</w:t>
      </w:r>
      <w:r w:rsidRPr="007C4DC3">
        <w:rPr>
          <w:vertAlign w:val="subscript"/>
        </w:rPr>
        <w:t>IC</w:t>
      </w:r>
      <w:r w:rsidRPr="007C4DC3">
        <w:t xml:space="preserve">, a </w:t>
      </w:r>
      <w:proofErr w:type="spellStart"/>
      <w:r w:rsidRPr="007C4DC3">
        <w:t>Measure</w:t>
      </w:r>
      <w:proofErr w:type="spellEnd"/>
      <w:r w:rsidRPr="007C4DC3">
        <w:t xml:space="preserve"> of Fracture </w:t>
      </w:r>
      <w:proofErr w:type="spellStart"/>
      <w:r w:rsidRPr="007C4DC3">
        <w:t>Toughness</w:t>
      </w:r>
      <w:proofErr w:type="spellEnd"/>
    </w:p>
    <w:p w14:paraId="4CADDBFE" w14:textId="77777777" w:rsidR="00052CAC" w:rsidRPr="007C4DC3" w:rsidRDefault="00052CAC" w:rsidP="007C4DC3">
      <w:pPr>
        <w:pStyle w:val="SingleTxtG"/>
        <w:ind w:left="4536" w:hanging="2268"/>
      </w:pPr>
      <w:r w:rsidRPr="007C4DC3">
        <w:t>ASTM G154-16</w:t>
      </w:r>
      <w:r w:rsidRPr="007C4DC3">
        <w:tab/>
        <w:t xml:space="preserve">Standard Practice for Operating Fluorescent Light </w:t>
      </w:r>
      <w:proofErr w:type="spellStart"/>
      <w:r w:rsidRPr="007C4DC3">
        <w:t>Apparatus</w:t>
      </w:r>
      <w:proofErr w:type="spellEnd"/>
      <w:r w:rsidRPr="007C4DC3">
        <w:t xml:space="preserve"> for UV </w:t>
      </w:r>
      <w:proofErr w:type="spellStart"/>
      <w:r w:rsidRPr="007C4DC3">
        <w:t>Exposure</w:t>
      </w:r>
      <w:proofErr w:type="spellEnd"/>
      <w:r w:rsidRPr="007C4DC3">
        <w:t xml:space="preserve"> of </w:t>
      </w:r>
      <w:proofErr w:type="spellStart"/>
      <w:r w:rsidRPr="007C4DC3">
        <w:t>Nonmetallic</w:t>
      </w:r>
      <w:proofErr w:type="spellEnd"/>
      <w:r w:rsidRPr="007C4DC3">
        <w:t xml:space="preserve"> Materials</w:t>
      </w:r>
    </w:p>
    <w:p w14:paraId="44DD8ADF" w14:textId="77777777" w:rsidR="00052CAC" w:rsidRPr="007C4DC3" w:rsidRDefault="00052CAC" w:rsidP="007C4DC3">
      <w:pPr>
        <w:pStyle w:val="SingleTxtG"/>
        <w:keepNext/>
        <w:ind w:left="3969" w:hanging="1701"/>
      </w:pPr>
      <w:r w:rsidRPr="007C4DC3">
        <w:t>Normes BSI</w:t>
      </w:r>
      <w:r w:rsidRPr="007C4DC3">
        <w:rPr>
          <w:rStyle w:val="FootnoteReference"/>
        </w:rPr>
        <w:footnoteReference w:id="4"/>
      </w:r>
    </w:p>
    <w:p w14:paraId="02256090" w14:textId="77777777" w:rsidR="00052CAC" w:rsidRPr="007C4DC3" w:rsidRDefault="00052CAC" w:rsidP="007C4DC3">
      <w:pPr>
        <w:pStyle w:val="SingleTxtG"/>
        <w:ind w:left="4536" w:hanging="2268"/>
      </w:pPr>
      <w:r w:rsidRPr="007C4DC3">
        <w:t>BS 5045</w:t>
      </w:r>
      <w:r w:rsidRPr="007C4DC3">
        <w:tab/>
        <w:t xml:space="preserve">Part 1 (1982) Transportable Gas Containers − </w:t>
      </w:r>
      <w:proofErr w:type="spellStart"/>
      <w:r w:rsidRPr="007C4DC3">
        <w:t>Specification</w:t>
      </w:r>
      <w:proofErr w:type="spellEnd"/>
      <w:r w:rsidRPr="007C4DC3">
        <w:t xml:space="preserve"> for </w:t>
      </w:r>
      <w:proofErr w:type="spellStart"/>
      <w:r w:rsidRPr="007C4DC3">
        <w:t>Seamless</w:t>
      </w:r>
      <w:proofErr w:type="spellEnd"/>
      <w:r w:rsidRPr="007C4DC3">
        <w:t xml:space="preserve"> Steel Gas Containers </w:t>
      </w:r>
      <w:proofErr w:type="spellStart"/>
      <w:r w:rsidRPr="007C4DC3">
        <w:t>Above</w:t>
      </w:r>
      <w:proofErr w:type="spellEnd"/>
      <w:r w:rsidRPr="007C4DC3">
        <w:t xml:space="preserve"> 0.5</w:t>
      </w:r>
      <w:r w:rsidR="000D2B97" w:rsidRPr="007C4DC3">
        <w:t> </w:t>
      </w:r>
      <w:r w:rsidRPr="007C4DC3">
        <w:t xml:space="preserve">litre Water </w:t>
      </w:r>
      <w:proofErr w:type="spellStart"/>
      <w:r w:rsidRPr="007C4DC3">
        <w:t>Capacity</w:t>
      </w:r>
      <w:proofErr w:type="spellEnd"/>
    </w:p>
    <w:p w14:paraId="6EF615BA" w14:textId="77777777" w:rsidR="00052CAC" w:rsidRPr="007C4DC3" w:rsidRDefault="00052CAC" w:rsidP="007C4DC3">
      <w:pPr>
        <w:pStyle w:val="SingleTxtG"/>
        <w:ind w:left="4536" w:hanging="2268"/>
      </w:pPr>
      <w:r w:rsidRPr="007C4DC3">
        <w:t>BS 7448-91</w:t>
      </w:r>
      <w:r w:rsidRPr="007C4DC3">
        <w:tab/>
        <w:t xml:space="preserve">Fracture </w:t>
      </w:r>
      <w:proofErr w:type="spellStart"/>
      <w:r w:rsidRPr="007C4DC3">
        <w:t>Mechanics</w:t>
      </w:r>
      <w:proofErr w:type="spellEnd"/>
      <w:r w:rsidRPr="007C4DC3">
        <w:t xml:space="preserve"> </w:t>
      </w:r>
      <w:proofErr w:type="spellStart"/>
      <w:r w:rsidRPr="007C4DC3">
        <w:t>Toughness</w:t>
      </w:r>
      <w:proofErr w:type="spellEnd"/>
      <w:r w:rsidRPr="007C4DC3">
        <w:t xml:space="preserve"> Tests Part I − Method for </w:t>
      </w:r>
      <w:proofErr w:type="spellStart"/>
      <w:r w:rsidRPr="007C4DC3">
        <w:t>Determination</w:t>
      </w:r>
      <w:proofErr w:type="spellEnd"/>
      <w:r w:rsidRPr="007C4DC3">
        <w:t xml:space="preserve"> of K</w:t>
      </w:r>
      <w:r w:rsidRPr="007C4DC3">
        <w:rPr>
          <w:vertAlign w:val="subscript"/>
        </w:rPr>
        <w:t>IC</w:t>
      </w:r>
      <w:r w:rsidRPr="007C4DC3">
        <w:t xml:space="preserve">, Critical COD and Critical J Values of BS PD 6493-1991. Guidance and Methods for </w:t>
      </w:r>
      <w:proofErr w:type="spellStart"/>
      <w:r w:rsidRPr="007C4DC3">
        <w:t>Assessing</w:t>
      </w:r>
      <w:proofErr w:type="spellEnd"/>
      <w:r w:rsidRPr="007C4DC3">
        <w:t xml:space="preserve"> the A </w:t>
      </w:r>
      <w:proofErr w:type="spellStart"/>
      <w:r w:rsidRPr="007C4DC3">
        <w:t>Acceptability</w:t>
      </w:r>
      <w:proofErr w:type="spellEnd"/>
      <w:r w:rsidRPr="007C4DC3">
        <w:t xml:space="preserve"> of </w:t>
      </w:r>
      <w:proofErr w:type="spellStart"/>
      <w:r w:rsidRPr="007C4DC3">
        <w:t>Flaws</w:t>
      </w:r>
      <w:proofErr w:type="spellEnd"/>
      <w:r w:rsidRPr="007C4DC3">
        <w:t xml:space="preserve"> in Fusion </w:t>
      </w:r>
      <w:proofErr w:type="spellStart"/>
      <w:r w:rsidRPr="007C4DC3">
        <w:t>Welded</w:t>
      </w:r>
      <w:proofErr w:type="spellEnd"/>
      <w:r w:rsidRPr="007C4DC3">
        <w:t xml:space="preserve"> </w:t>
      </w:r>
      <w:proofErr w:type="gramStart"/>
      <w:r w:rsidRPr="007C4DC3">
        <w:t>Structures</w:t>
      </w:r>
      <w:r w:rsidR="000D2B97" w:rsidRPr="007C4DC3">
        <w:t>;</w:t>
      </w:r>
      <w:proofErr w:type="gramEnd"/>
      <w:r w:rsidRPr="007C4DC3">
        <w:t xml:space="preserve"> </w:t>
      </w:r>
      <w:proofErr w:type="spellStart"/>
      <w:r w:rsidRPr="007C4DC3">
        <w:t>Metallic</w:t>
      </w:r>
      <w:proofErr w:type="spellEnd"/>
      <w:r w:rsidRPr="007C4DC3">
        <w:t xml:space="preserve"> Materials</w:t>
      </w:r>
    </w:p>
    <w:p w14:paraId="71AC8139" w14:textId="77777777" w:rsidR="00052CAC" w:rsidRPr="007C4DC3" w:rsidRDefault="00052CAC" w:rsidP="007C4DC3">
      <w:pPr>
        <w:pStyle w:val="SingleTxtG"/>
        <w:keepNext/>
        <w:ind w:left="3969" w:hanging="1701"/>
      </w:pPr>
      <w:r w:rsidRPr="007C4DC3">
        <w:lastRenderedPageBreak/>
        <w:t>Normes EN</w:t>
      </w:r>
      <w:r w:rsidRPr="007C4DC3">
        <w:rPr>
          <w:rStyle w:val="FootnoteReference"/>
        </w:rPr>
        <w:footnoteReference w:id="5"/>
      </w:r>
    </w:p>
    <w:p w14:paraId="01E653D5" w14:textId="77777777" w:rsidR="00052CAC" w:rsidRPr="007C4DC3" w:rsidRDefault="00052CAC" w:rsidP="007C4DC3">
      <w:pPr>
        <w:pStyle w:val="SingleTxtG"/>
        <w:ind w:left="4536" w:hanging="2268"/>
      </w:pPr>
      <w:r w:rsidRPr="007C4DC3">
        <w:t>EN 1251-2 2000</w:t>
      </w:r>
      <w:r w:rsidRPr="007C4DC3">
        <w:tab/>
        <w:t>Récipients cryogéniques − Récipients transportables, isolés sous vide, d’un volume n’excédant pas 1 000 litres</w:t>
      </w:r>
    </w:p>
    <w:p w14:paraId="7C2ACA0C" w14:textId="77777777" w:rsidR="00052CAC" w:rsidRPr="007C4DC3" w:rsidRDefault="00052CAC" w:rsidP="007C4DC3">
      <w:pPr>
        <w:pStyle w:val="SingleTxtG"/>
        <w:ind w:left="4536" w:hanging="2268"/>
      </w:pPr>
      <w:r w:rsidRPr="007C4DC3">
        <w:t xml:space="preserve">EN </w:t>
      </w:r>
      <w:proofErr w:type="gramStart"/>
      <w:r w:rsidRPr="007C4DC3">
        <w:t>895</w:t>
      </w:r>
      <w:r w:rsidR="000D2B97" w:rsidRPr="007C4DC3">
        <w:t>:</w:t>
      </w:r>
      <w:proofErr w:type="gramEnd"/>
      <w:r w:rsidR="000D2B97" w:rsidRPr="007C4DC3">
        <w:t>1</w:t>
      </w:r>
      <w:r w:rsidRPr="007C4DC3">
        <w:t>995</w:t>
      </w:r>
      <w:r w:rsidRPr="007C4DC3">
        <w:tab/>
        <w:t>Essais destructifs des soudures sur matériaux métalliques. Essai de traction transversale</w:t>
      </w:r>
    </w:p>
    <w:p w14:paraId="10962CFE" w14:textId="77777777" w:rsidR="00052CAC" w:rsidRPr="007C4DC3" w:rsidRDefault="00052CAC" w:rsidP="007C4DC3">
      <w:pPr>
        <w:pStyle w:val="SingleTxtG"/>
        <w:ind w:left="4536" w:hanging="2268"/>
      </w:pPr>
      <w:r w:rsidRPr="007C4DC3">
        <w:t xml:space="preserve">EN </w:t>
      </w:r>
      <w:proofErr w:type="gramStart"/>
      <w:r w:rsidRPr="007C4DC3">
        <w:t>910</w:t>
      </w:r>
      <w:r w:rsidR="000D2B97" w:rsidRPr="007C4DC3">
        <w:t>:</w:t>
      </w:r>
      <w:proofErr w:type="gramEnd"/>
      <w:r w:rsidR="000D2B97" w:rsidRPr="007C4DC3">
        <w:t>1</w:t>
      </w:r>
      <w:r w:rsidRPr="007C4DC3">
        <w:t>996</w:t>
      </w:r>
      <w:r w:rsidRPr="007C4DC3">
        <w:tab/>
        <w:t>Essais destructifs des soudures sur matériaux métalliques. Essais de pliage</w:t>
      </w:r>
    </w:p>
    <w:p w14:paraId="6C48D5C7" w14:textId="77777777" w:rsidR="00052CAC" w:rsidRPr="007C4DC3" w:rsidRDefault="00052CAC" w:rsidP="007C4DC3">
      <w:pPr>
        <w:pStyle w:val="SingleTxtG"/>
        <w:ind w:left="4536" w:hanging="2268"/>
      </w:pPr>
      <w:r w:rsidRPr="007C4DC3">
        <w:t xml:space="preserve">EN </w:t>
      </w:r>
      <w:proofErr w:type="gramStart"/>
      <w:r w:rsidRPr="007C4DC3">
        <w:t>1435</w:t>
      </w:r>
      <w:r w:rsidR="000D2B97" w:rsidRPr="007C4DC3">
        <w:t>:</w:t>
      </w:r>
      <w:proofErr w:type="gramEnd"/>
      <w:r w:rsidR="000D2B97" w:rsidRPr="007C4DC3">
        <w:t>1</w:t>
      </w:r>
      <w:r w:rsidRPr="007C4DC3">
        <w:t>997</w:t>
      </w:r>
      <w:r w:rsidRPr="007C4DC3">
        <w:tab/>
        <w:t>Contrôle non destructif des assemblages soudés. Contrôle par radiographie des assemblages soudés</w:t>
      </w:r>
    </w:p>
    <w:p w14:paraId="413E1466" w14:textId="77777777" w:rsidR="00052CAC" w:rsidRPr="007C4DC3" w:rsidRDefault="00052CAC" w:rsidP="007C4DC3">
      <w:pPr>
        <w:pStyle w:val="SingleTxtG"/>
        <w:ind w:left="4536" w:hanging="2268"/>
      </w:pPr>
      <w:r w:rsidRPr="007C4DC3">
        <w:t>EN 6892-</w:t>
      </w:r>
      <w:proofErr w:type="gramStart"/>
      <w:r w:rsidRPr="007C4DC3">
        <w:t>1</w:t>
      </w:r>
      <w:r w:rsidR="000D2B97" w:rsidRPr="007C4DC3">
        <w:t>:</w:t>
      </w:r>
      <w:proofErr w:type="gramEnd"/>
      <w:r w:rsidR="000D2B97" w:rsidRPr="007C4DC3">
        <w:t>2</w:t>
      </w:r>
      <w:r w:rsidRPr="007C4DC3">
        <w:t>016</w:t>
      </w:r>
      <w:r w:rsidRPr="007C4DC3">
        <w:tab/>
        <w:t>Matériaux métalliques − Essai de traction</w:t>
      </w:r>
    </w:p>
    <w:p w14:paraId="05A1767C" w14:textId="77777777" w:rsidR="00052CAC" w:rsidRPr="007C4DC3" w:rsidRDefault="00052CAC" w:rsidP="007C4DC3">
      <w:pPr>
        <w:pStyle w:val="SingleTxtG"/>
        <w:ind w:left="4536" w:hanging="2268"/>
      </w:pPr>
      <w:r w:rsidRPr="007C4DC3">
        <w:t>EN 10045-</w:t>
      </w:r>
      <w:proofErr w:type="gramStart"/>
      <w:r w:rsidRPr="007C4DC3">
        <w:t>1</w:t>
      </w:r>
      <w:r w:rsidR="000D2B97" w:rsidRPr="007C4DC3">
        <w:t>:</w:t>
      </w:r>
      <w:proofErr w:type="gramEnd"/>
      <w:r w:rsidR="000D2B97" w:rsidRPr="007C4DC3">
        <w:t>1</w:t>
      </w:r>
      <w:r w:rsidRPr="007C4DC3">
        <w:t>990</w:t>
      </w:r>
      <w:r w:rsidRPr="007C4DC3">
        <w:tab/>
        <w:t>Essai Charpy de choc sur matériaux métalliques − Méthode d’essai (entailles en V et en U)</w:t>
      </w:r>
    </w:p>
    <w:p w14:paraId="1E4B15F7" w14:textId="77777777" w:rsidR="00052CAC" w:rsidRPr="007C4DC3" w:rsidRDefault="00052CAC" w:rsidP="007C4DC3">
      <w:pPr>
        <w:pStyle w:val="SingleTxtG"/>
        <w:keepNext/>
        <w:ind w:left="3969" w:hanging="1701"/>
      </w:pPr>
      <w:r w:rsidRPr="007C4DC3">
        <w:t>Normes ISO</w:t>
      </w:r>
      <w:r w:rsidRPr="007C4DC3">
        <w:rPr>
          <w:rStyle w:val="FootnoteReference"/>
        </w:rPr>
        <w:footnoteReference w:id="6"/>
      </w:r>
    </w:p>
    <w:p w14:paraId="419670EF" w14:textId="77777777" w:rsidR="00052CAC" w:rsidRPr="007C4DC3" w:rsidRDefault="00052CAC" w:rsidP="007C4DC3">
      <w:pPr>
        <w:pStyle w:val="SingleTxtG"/>
        <w:ind w:left="4536" w:hanging="2268"/>
      </w:pPr>
      <w:r w:rsidRPr="007C4DC3">
        <w:t xml:space="preserve">ISO </w:t>
      </w:r>
      <w:proofErr w:type="gramStart"/>
      <w:r w:rsidRPr="007C4DC3">
        <w:t>37</w:t>
      </w:r>
      <w:r w:rsidR="000D2B97" w:rsidRPr="007C4DC3">
        <w:t>:</w:t>
      </w:r>
      <w:proofErr w:type="gramEnd"/>
      <w:r w:rsidR="000D2B97" w:rsidRPr="007C4DC3">
        <w:t>2</w:t>
      </w:r>
      <w:r w:rsidRPr="007C4DC3">
        <w:t>011</w:t>
      </w:r>
      <w:r w:rsidRPr="007C4DC3">
        <w:tab/>
        <w:t>Caoutchouc vulcanisé ou thermoplastique −</w:t>
      </w:r>
      <w:r w:rsidR="000D2B97" w:rsidRPr="007C4DC3">
        <w:t xml:space="preserve"> </w:t>
      </w:r>
      <w:r w:rsidRPr="007C4DC3">
        <w:t>Détermination des caractéristiques de contrainte-déformation en traction.</w:t>
      </w:r>
    </w:p>
    <w:p w14:paraId="43775040" w14:textId="77777777" w:rsidR="00052CAC" w:rsidRPr="00004227" w:rsidRDefault="00052CAC" w:rsidP="007C4DC3">
      <w:pPr>
        <w:pStyle w:val="SingleTxtG"/>
        <w:ind w:left="4536" w:hanging="2268"/>
        <w:rPr>
          <w:spacing w:val="-1"/>
        </w:rPr>
      </w:pPr>
      <w:r w:rsidRPr="007C4DC3">
        <w:t>ISO 148-1983</w:t>
      </w:r>
      <w:r w:rsidRPr="007C4DC3">
        <w:tab/>
      </w:r>
      <w:r w:rsidRPr="00004227">
        <w:rPr>
          <w:spacing w:val="-1"/>
        </w:rPr>
        <w:t>Acier − Essai de résilience Charpy (entaille en V)</w:t>
      </w:r>
    </w:p>
    <w:p w14:paraId="534E6F68" w14:textId="77777777" w:rsidR="00052CAC" w:rsidRPr="007C4DC3" w:rsidRDefault="00052CAC" w:rsidP="007C4DC3">
      <w:pPr>
        <w:pStyle w:val="SingleTxtG"/>
        <w:ind w:left="4536" w:hanging="2268"/>
      </w:pPr>
      <w:r w:rsidRPr="007C4DC3">
        <w:t xml:space="preserve">ISO </w:t>
      </w:r>
      <w:proofErr w:type="gramStart"/>
      <w:r w:rsidRPr="007C4DC3">
        <w:t>188</w:t>
      </w:r>
      <w:r w:rsidR="000D2B97" w:rsidRPr="007C4DC3">
        <w:t>:</w:t>
      </w:r>
      <w:proofErr w:type="gramEnd"/>
      <w:r w:rsidR="000D2B97" w:rsidRPr="007C4DC3">
        <w:t>2</w:t>
      </w:r>
      <w:r w:rsidRPr="007C4DC3">
        <w:t>011</w:t>
      </w:r>
      <w:r w:rsidRPr="007C4DC3">
        <w:tab/>
        <w:t>Caoutchouc vulcanisé ou thermoplastique − Essais de résistance au vieillissement accéléré et à la chaleur</w:t>
      </w:r>
    </w:p>
    <w:p w14:paraId="0314BF8D" w14:textId="77777777" w:rsidR="00052CAC" w:rsidRPr="007C4DC3" w:rsidRDefault="00052CAC" w:rsidP="007C4DC3">
      <w:pPr>
        <w:pStyle w:val="SingleTxtG"/>
        <w:ind w:left="4536" w:hanging="2268"/>
      </w:pPr>
      <w:r w:rsidRPr="007C4DC3">
        <w:t xml:space="preserve">ISO </w:t>
      </w:r>
      <w:proofErr w:type="gramStart"/>
      <w:r w:rsidRPr="007C4DC3">
        <w:t>306</w:t>
      </w:r>
      <w:r w:rsidR="000D2B97" w:rsidRPr="007C4DC3">
        <w:t>:</w:t>
      </w:r>
      <w:proofErr w:type="gramEnd"/>
      <w:r w:rsidR="000D2B97" w:rsidRPr="007C4DC3">
        <w:t>2</w:t>
      </w:r>
      <w:r w:rsidRPr="007C4DC3">
        <w:t>004</w:t>
      </w:r>
      <w:r w:rsidRPr="007C4DC3">
        <w:tab/>
        <w:t>Plastiques − Matières thermoplastiques − Détermination de la température de ramollissement Vicat (VST)</w:t>
      </w:r>
    </w:p>
    <w:p w14:paraId="4E0544BC" w14:textId="77777777" w:rsidR="00052CAC" w:rsidRPr="007C4DC3" w:rsidRDefault="00052CAC" w:rsidP="007C4DC3">
      <w:pPr>
        <w:pStyle w:val="SingleTxtG"/>
        <w:ind w:left="4536" w:hanging="2268"/>
      </w:pPr>
      <w:r w:rsidRPr="007C4DC3">
        <w:t>ISO 527-</w:t>
      </w:r>
      <w:proofErr w:type="gramStart"/>
      <w:r w:rsidRPr="007C4DC3">
        <w:t>2</w:t>
      </w:r>
      <w:r w:rsidR="000D2B97" w:rsidRPr="007C4DC3">
        <w:t>:</w:t>
      </w:r>
      <w:proofErr w:type="gramEnd"/>
      <w:r w:rsidR="000D2B97" w:rsidRPr="007C4DC3">
        <w:t>2</w:t>
      </w:r>
      <w:r w:rsidRPr="007C4DC3">
        <w:t>012</w:t>
      </w:r>
      <w:r w:rsidRPr="007C4DC3">
        <w:tab/>
        <w:t>Plastiques − Détermination des propriétés en traction − Partie 2</w:t>
      </w:r>
      <w:r w:rsidR="000D2B97" w:rsidRPr="007C4DC3">
        <w:t> :</w:t>
      </w:r>
      <w:r w:rsidRPr="007C4DC3">
        <w:t xml:space="preserve"> Conditions d’essai des plastiques pour moulage et extrusion</w:t>
      </w:r>
    </w:p>
    <w:p w14:paraId="3B2AC933" w14:textId="77777777" w:rsidR="00052CAC" w:rsidRPr="007C4DC3" w:rsidRDefault="00052CAC" w:rsidP="007C4DC3">
      <w:pPr>
        <w:pStyle w:val="SingleTxtG"/>
        <w:ind w:left="4536" w:hanging="2268"/>
      </w:pPr>
      <w:r w:rsidRPr="007C4DC3">
        <w:t xml:space="preserve">ISO </w:t>
      </w:r>
      <w:proofErr w:type="gramStart"/>
      <w:r w:rsidRPr="007C4DC3">
        <w:t>642</w:t>
      </w:r>
      <w:r w:rsidR="000D2B97" w:rsidRPr="007C4DC3">
        <w:t>:</w:t>
      </w:r>
      <w:proofErr w:type="gramEnd"/>
      <w:r w:rsidR="000D2B97" w:rsidRPr="007C4DC3">
        <w:t>1</w:t>
      </w:r>
      <w:r w:rsidRPr="007C4DC3">
        <w:t>999</w:t>
      </w:r>
      <w:r w:rsidRPr="007C4DC3">
        <w:tab/>
      </w:r>
      <w:r w:rsidRPr="007C4DC3">
        <w:tab/>
        <w:t>Acier −</w:t>
      </w:r>
      <w:r w:rsidR="000D2B97" w:rsidRPr="007C4DC3">
        <w:t xml:space="preserve"> </w:t>
      </w:r>
      <w:r w:rsidRPr="007C4DC3">
        <w:t xml:space="preserve">Essai de trempabilité par trempe en bout (essai </w:t>
      </w:r>
      <w:proofErr w:type="spellStart"/>
      <w:r w:rsidRPr="007C4DC3">
        <w:t>Jominy</w:t>
      </w:r>
      <w:proofErr w:type="spellEnd"/>
      <w:r w:rsidRPr="007C4DC3">
        <w:t>)</w:t>
      </w:r>
    </w:p>
    <w:p w14:paraId="73757F64" w14:textId="77777777" w:rsidR="00052CAC" w:rsidRPr="007C4DC3" w:rsidRDefault="00052CAC" w:rsidP="007C4DC3">
      <w:pPr>
        <w:pStyle w:val="SingleTxtG"/>
        <w:ind w:left="4536" w:hanging="2268"/>
      </w:pPr>
      <w:r w:rsidRPr="007C4DC3">
        <w:t xml:space="preserve">ISO </w:t>
      </w:r>
      <w:proofErr w:type="gramStart"/>
      <w:r w:rsidRPr="007C4DC3">
        <w:t>1307</w:t>
      </w:r>
      <w:r w:rsidR="000D2B97" w:rsidRPr="007C4DC3">
        <w:t>:</w:t>
      </w:r>
      <w:proofErr w:type="gramEnd"/>
      <w:r w:rsidR="000D2B97" w:rsidRPr="007C4DC3">
        <w:t>2</w:t>
      </w:r>
      <w:r w:rsidRPr="007C4DC3">
        <w:t>006</w:t>
      </w:r>
      <w:r w:rsidRPr="007C4DC3">
        <w:tab/>
        <w:t>Tuyaux en caoutchouc et en plastique − Dimensions des tuyaux, diamètres intérieurs minimaux et maximaux, et tolérances sur la longueur de coupe</w:t>
      </w:r>
    </w:p>
    <w:p w14:paraId="7DA525AC" w14:textId="77777777" w:rsidR="00052CAC" w:rsidRPr="007C4DC3" w:rsidRDefault="00052CAC" w:rsidP="007C4DC3">
      <w:pPr>
        <w:pStyle w:val="SingleTxtG"/>
        <w:ind w:left="4536" w:hanging="2268"/>
      </w:pPr>
      <w:r w:rsidRPr="007C4DC3">
        <w:t xml:space="preserve">ISO </w:t>
      </w:r>
      <w:proofErr w:type="gramStart"/>
      <w:r w:rsidRPr="007C4DC3">
        <w:t>1402</w:t>
      </w:r>
      <w:r w:rsidR="000D2B97" w:rsidRPr="007C4DC3">
        <w:t>:</w:t>
      </w:r>
      <w:proofErr w:type="gramEnd"/>
      <w:r w:rsidR="000D2B97" w:rsidRPr="007C4DC3">
        <w:t>2</w:t>
      </w:r>
      <w:r w:rsidRPr="007C4DC3">
        <w:t>009</w:t>
      </w:r>
      <w:r w:rsidRPr="007C4DC3">
        <w:tab/>
        <w:t>Tuyaux et flexibles en caoutchouc et en plastique − Essais hydrostatiques</w:t>
      </w:r>
    </w:p>
    <w:p w14:paraId="43A32B8C" w14:textId="77777777" w:rsidR="00052CAC" w:rsidRPr="007C4DC3" w:rsidRDefault="00052CAC" w:rsidP="007C4DC3">
      <w:pPr>
        <w:pStyle w:val="SingleTxtG"/>
        <w:ind w:left="4536" w:hanging="2268"/>
      </w:pPr>
      <w:r w:rsidRPr="007C4DC3">
        <w:t xml:space="preserve">ISO </w:t>
      </w:r>
      <w:proofErr w:type="gramStart"/>
      <w:r w:rsidRPr="007C4DC3">
        <w:t>1431</w:t>
      </w:r>
      <w:r w:rsidR="000D2B97" w:rsidRPr="007C4DC3">
        <w:t>:</w:t>
      </w:r>
      <w:proofErr w:type="gramEnd"/>
      <w:r w:rsidR="000D2B97" w:rsidRPr="007C4DC3">
        <w:t>2</w:t>
      </w:r>
      <w:r w:rsidRPr="007C4DC3">
        <w:t>009</w:t>
      </w:r>
      <w:r w:rsidRPr="007C4DC3">
        <w:tab/>
        <w:t>Caoutchouc vulcanisé ou thermoplastique − Résistance au craquelage par l’ozone</w:t>
      </w:r>
    </w:p>
    <w:p w14:paraId="65CA81A2" w14:textId="77777777" w:rsidR="00052CAC" w:rsidRPr="007C4DC3" w:rsidRDefault="00052CAC" w:rsidP="007C4DC3">
      <w:pPr>
        <w:pStyle w:val="SingleTxtG"/>
        <w:ind w:left="4536" w:hanging="2268"/>
      </w:pPr>
      <w:r w:rsidRPr="007C4DC3">
        <w:t xml:space="preserve">ISO </w:t>
      </w:r>
      <w:proofErr w:type="gramStart"/>
      <w:r w:rsidRPr="007C4DC3">
        <w:t>1436</w:t>
      </w:r>
      <w:r w:rsidR="000D2B97" w:rsidRPr="007C4DC3">
        <w:t>:</w:t>
      </w:r>
      <w:proofErr w:type="gramEnd"/>
      <w:r w:rsidR="000D2B97" w:rsidRPr="007C4DC3">
        <w:t>2</w:t>
      </w:r>
      <w:r w:rsidRPr="007C4DC3">
        <w:t>009</w:t>
      </w:r>
      <w:r w:rsidRPr="007C4DC3">
        <w:tab/>
        <w:t>Tuyaux et flexibles en caoutchouc − Types hydrauliques avec armature de fils métalliques tressés pour fluides à base d’huile ou à base d’eau − Spécifications</w:t>
      </w:r>
    </w:p>
    <w:p w14:paraId="24DC13A6" w14:textId="77777777" w:rsidR="00052CAC" w:rsidRPr="007C4DC3" w:rsidRDefault="00052CAC" w:rsidP="007C4DC3">
      <w:pPr>
        <w:pStyle w:val="SingleTxtG"/>
        <w:ind w:left="4536" w:hanging="2268"/>
      </w:pPr>
      <w:r w:rsidRPr="007C4DC3">
        <w:t xml:space="preserve">ISO </w:t>
      </w:r>
      <w:proofErr w:type="gramStart"/>
      <w:r w:rsidRPr="007C4DC3">
        <w:t>1817</w:t>
      </w:r>
      <w:r w:rsidR="000D2B97" w:rsidRPr="007C4DC3">
        <w:t>:</w:t>
      </w:r>
      <w:proofErr w:type="gramEnd"/>
      <w:r w:rsidR="000D2B97" w:rsidRPr="007C4DC3">
        <w:t>2</w:t>
      </w:r>
      <w:r w:rsidRPr="007C4DC3">
        <w:t>015</w:t>
      </w:r>
      <w:r w:rsidRPr="007C4DC3">
        <w:tab/>
        <w:t>Caoutchouc vulcanisé ou thermoplastique −</w:t>
      </w:r>
      <w:r w:rsidR="000D2B97" w:rsidRPr="007C4DC3">
        <w:t xml:space="preserve"> </w:t>
      </w:r>
      <w:r w:rsidRPr="007C4DC3">
        <w:t>Détermination de l’action des liquides</w:t>
      </w:r>
    </w:p>
    <w:p w14:paraId="29EA7B15" w14:textId="77777777" w:rsidR="00052CAC" w:rsidRPr="007C4DC3" w:rsidRDefault="00052CAC" w:rsidP="007C4DC3">
      <w:pPr>
        <w:pStyle w:val="SingleTxtG"/>
        <w:ind w:left="4536" w:hanging="2268"/>
      </w:pPr>
      <w:r w:rsidRPr="007C4DC3">
        <w:t xml:space="preserve">ISO </w:t>
      </w:r>
      <w:proofErr w:type="gramStart"/>
      <w:r w:rsidRPr="007C4DC3">
        <w:t>2808</w:t>
      </w:r>
      <w:r w:rsidR="000D2B97" w:rsidRPr="007C4DC3">
        <w:t>:</w:t>
      </w:r>
      <w:proofErr w:type="gramEnd"/>
      <w:r w:rsidR="000D2B97" w:rsidRPr="007C4DC3">
        <w:t>2</w:t>
      </w:r>
      <w:r w:rsidRPr="007C4DC3">
        <w:t>007</w:t>
      </w:r>
      <w:r w:rsidRPr="007C4DC3">
        <w:tab/>
        <w:t>Peintures et vernis −</w:t>
      </w:r>
      <w:r w:rsidR="00004227">
        <w:t xml:space="preserve"> </w:t>
      </w:r>
      <w:r w:rsidRPr="007C4DC3">
        <w:t>Détermination de l’épaisseur du feuil</w:t>
      </w:r>
    </w:p>
    <w:p w14:paraId="23809BD0" w14:textId="77777777" w:rsidR="00052CAC" w:rsidRPr="007C4DC3" w:rsidRDefault="00052CAC" w:rsidP="007C4DC3">
      <w:pPr>
        <w:pStyle w:val="SingleTxtG"/>
        <w:ind w:left="4536" w:hanging="2268"/>
      </w:pPr>
      <w:r w:rsidRPr="007C4DC3">
        <w:lastRenderedPageBreak/>
        <w:t xml:space="preserve">ISO </w:t>
      </w:r>
      <w:proofErr w:type="gramStart"/>
      <w:r w:rsidRPr="007C4DC3">
        <w:t>4080</w:t>
      </w:r>
      <w:r w:rsidR="000D2B97" w:rsidRPr="007C4DC3">
        <w:t>:</w:t>
      </w:r>
      <w:proofErr w:type="gramEnd"/>
      <w:r w:rsidR="000D2B97" w:rsidRPr="007C4DC3">
        <w:t>2</w:t>
      </w:r>
      <w:r w:rsidRPr="007C4DC3">
        <w:t>009</w:t>
      </w:r>
      <w:r w:rsidRPr="007C4DC3">
        <w:tab/>
        <w:t>Tuyaux et flexibles en caoutchouc et en plastique − Détermination de la perméabilité au gaz</w:t>
      </w:r>
    </w:p>
    <w:p w14:paraId="17E64378" w14:textId="77777777" w:rsidR="00052CAC" w:rsidRPr="007C4DC3" w:rsidRDefault="00052CAC" w:rsidP="007C4DC3">
      <w:pPr>
        <w:pStyle w:val="SingleTxtG"/>
        <w:ind w:left="4536" w:hanging="2268"/>
      </w:pPr>
      <w:r w:rsidRPr="007C4DC3">
        <w:t xml:space="preserve">ISO </w:t>
      </w:r>
      <w:proofErr w:type="gramStart"/>
      <w:r w:rsidRPr="007C4DC3">
        <w:t>4624</w:t>
      </w:r>
      <w:r w:rsidR="000D2B97" w:rsidRPr="007C4DC3">
        <w:t>:</w:t>
      </w:r>
      <w:proofErr w:type="gramEnd"/>
      <w:r w:rsidR="000D2B97" w:rsidRPr="007C4DC3">
        <w:t>2</w:t>
      </w:r>
      <w:r w:rsidRPr="007C4DC3">
        <w:t>016</w:t>
      </w:r>
      <w:r w:rsidRPr="007C4DC3">
        <w:tab/>
        <w:t>Peintures et vernis − Essai de traction</w:t>
      </w:r>
    </w:p>
    <w:p w14:paraId="77B72250" w14:textId="77777777" w:rsidR="00052CAC" w:rsidRPr="007C4DC3" w:rsidRDefault="00052CAC" w:rsidP="007C4DC3">
      <w:pPr>
        <w:pStyle w:val="SingleTxtG"/>
        <w:ind w:left="4536" w:hanging="2268"/>
      </w:pPr>
      <w:r w:rsidRPr="007C4DC3">
        <w:t xml:space="preserve">ISO </w:t>
      </w:r>
      <w:proofErr w:type="gramStart"/>
      <w:r w:rsidRPr="007C4DC3">
        <w:t>10619</w:t>
      </w:r>
      <w:r w:rsidR="000D2B97" w:rsidRPr="007C4DC3">
        <w:t>:</w:t>
      </w:r>
      <w:proofErr w:type="gramEnd"/>
      <w:r w:rsidR="000D2B97" w:rsidRPr="007C4DC3">
        <w:t>2</w:t>
      </w:r>
      <w:r w:rsidRPr="007C4DC3">
        <w:t>011</w:t>
      </w:r>
      <w:r w:rsidRPr="007C4DC3">
        <w:tab/>
        <w:t>Tuyaux et tubes en caoutchouc et en plastique − Mesurage de la flexibilité et de la rigidité − Partie 2</w:t>
      </w:r>
      <w:r w:rsidR="000D2B97" w:rsidRPr="007C4DC3">
        <w:t> :</w:t>
      </w:r>
      <w:r w:rsidRPr="007C4DC3">
        <w:t xml:space="preserve"> Essais de courbure à température ambiante</w:t>
      </w:r>
    </w:p>
    <w:p w14:paraId="47AC6174" w14:textId="77777777" w:rsidR="00052CAC" w:rsidRPr="007C4DC3" w:rsidRDefault="00052CAC" w:rsidP="007C4DC3">
      <w:pPr>
        <w:pStyle w:val="SingleTxtG"/>
        <w:ind w:left="4536" w:hanging="2268"/>
      </w:pPr>
      <w:r w:rsidRPr="007C4DC3">
        <w:t xml:space="preserve">ISO </w:t>
      </w:r>
      <w:proofErr w:type="gramStart"/>
      <w:r w:rsidRPr="007C4DC3">
        <w:t>6892</w:t>
      </w:r>
      <w:r w:rsidR="000D2B97" w:rsidRPr="007C4DC3">
        <w:t>:</w:t>
      </w:r>
      <w:proofErr w:type="gramEnd"/>
      <w:r w:rsidR="000D2B97" w:rsidRPr="007C4DC3">
        <w:t>2</w:t>
      </w:r>
      <w:r w:rsidRPr="007C4DC3">
        <w:t>016</w:t>
      </w:r>
      <w:r w:rsidRPr="007C4DC3">
        <w:tab/>
        <w:t>Matériaux métalliques − Essai de traction</w:t>
      </w:r>
    </w:p>
    <w:p w14:paraId="3B238BDD" w14:textId="77777777" w:rsidR="00052CAC" w:rsidRPr="007C4DC3" w:rsidRDefault="00052CAC" w:rsidP="007C4DC3">
      <w:pPr>
        <w:pStyle w:val="SingleTxtG"/>
        <w:ind w:left="4536" w:hanging="2268"/>
      </w:pPr>
      <w:r w:rsidRPr="007C4DC3">
        <w:t>ISO 6506-</w:t>
      </w:r>
      <w:proofErr w:type="gramStart"/>
      <w:r w:rsidRPr="007C4DC3">
        <w:t>1</w:t>
      </w:r>
      <w:r w:rsidR="000D2B97" w:rsidRPr="007C4DC3">
        <w:t>:</w:t>
      </w:r>
      <w:proofErr w:type="gramEnd"/>
      <w:r w:rsidR="000D2B97" w:rsidRPr="007C4DC3">
        <w:t>2</w:t>
      </w:r>
      <w:r w:rsidRPr="007C4DC3">
        <w:t xml:space="preserve">014 </w:t>
      </w:r>
      <w:r w:rsidRPr="007C4DC3">
        <w:tab/>
      </w:r>
      <w:r w:rsidRPr="007C4DC3">
        <w:rPr>
          <w:spacing w:val="-4"/>
        </w:rPr>
        <w:t>Matériaux métalliques − Essai de dureté Brinell − Partie</w:t>
      </w:r>
      <w:r w:rsidRPr="007C4DC3">
        <w:t xml:space="preserve"> 1</w:t>
      </w:r>
      <w:r w:rsidR="000D2B97" w:rsidRPr="007C4DC3">
        <w:t> :</w:t>
      </w:r>
      <w:r w:rsidRPr="007C4DC3">
        <w:t xml:space="preserve"> Méthode d’essai</w:t>
      </w:r>
    </w:p>
    <w:p w14:paraId="5DB96644" w14:textId="77777777" w:rsidR="00052CAC" w:rsidRPr="007C4DC3" w:rsidRDefault="00052CAC" w:rsidP="007C4DC3">
      <w:pPr>
        <w:pStyle w:val="SingleTxtG"/>
        <w:ind w:left="4536" w:hanging="2268"/>
      </w:pPr>
      <w:r w:rsidRPr="007C4DC3">
        <w:t>ISO 6508-</w:t>
      </w:r>
      <w:proofErr w:type="gramStart"/>
      <w:r w:rsidRPr="007C4DC3">
        <w:t>1</w:t>
      </w:r>
      <w:r w:rsidR="000D2B97" w:rsidRPr="007C4DC3">
        <w:t>:</w:t>
      </w:r>
      <w:proofErr w:type="gramEnd"/>
      <w:r w:rsidR="000D2B97" w:rsidRPr="007C4DC3">
        <w:t>2</w:t>
      </w:r>
      <w:r w:rsidRPr="007C4DC3">
        <w:t>015</w:t>
      </w:r>
      <w:r w:rsidRPr="007C4DC3">
        <w:tab/>
        <w:t>Matériaux métalliques − Essai de dureté Rockwell −</w:t>
      </w:r>
      <w:r w:rsidR="000D2B97" w:rsidRPr="007C4DC3">
        <w:t xml:space="preserve"> </w:t>
      </w:r>
      <w:r w:rsidRPr="007C4DC3">
        <w:t>Partie 1</w:t>
      </w:r>
      <w:r w:rsidR="000D2B97" w:rsidRPr="007C4DC3">
        <w:t> :</w:t>
      </w:r>
      <w:r w:rsidRPr="007C4DC3">
        <w:t xml:space="preserve"> Méthode d’essai</w:t>
      </w:r>
    </w:p>
    <w:p w14:paraId="2C951566" w14:textId="77777777" w:rsidR="00052CAC" w:rsidRPr="007C4DC3" w:rsidRDefault="00052CAC" w:rsidP="007C4DC3">
      <w:pPr>
        <w:pStyle w:val="SingleTxtG"/>
        <w:ind w:left="4536" w:hanging="2268"/>
      </w:pPr>
      <w:r w:rsidRPr="007C4DC3">
        <w:t xml:space="preserve">ISO </w:t>
      </w:r>
      <w:proofErr w:type="gramStart"/>
      <w:r w:rsidRPr="007C4DC3">
        <w:t>7225</w:t>
      </w:r>
      <w:r w:rsidR="000D2B97" w:rsidRPr="007C4DC3">
        <w:t>:</w:t>
      </w:r>
      <w:proofErr w:type="gramEnd"/>
      <w:r w:rsidR="000D2B97" w:rsidRPr="007C4DC3">
        <w:t>2</w:t>
      </w:r>
      <w:r w:rsidRPr="007C4DC3">
        <w:t>005</w:t>
      </w:r>
      <w:r w:rsidRPr="007C4DC3">
        <w:tab/>
        <w:t>Bouteilles à gaz − Étiquettes informatives</w:t>
      </w:r>
    </w:p>
    <w:p w14:paraId="6E62A399" w14:textId="77777777" w:rsidR="00052CAC" w:rsidRPr="007C4DC3" w:rsidRDefault="00052CAC" w:rsidP="007C4DC3">
      <w:pPr>
        <w:pStyle w:val="SingleTxtG"/>
        <w:ind w:left="4536" w:hanging="2268"/>
      </w:pPr>
      <w:r w:rsidRPr="007C4DC3">
        <w:t xml:space="preserve">ISO </w:t>
      </w:r>
      <w:proofErr w:type="gramStart"/>
      <w:r w:rsidRPr="007C4DC3">
        <w:t>7866</w:t>
      </w:r>
      <w:r w:rsidR="000D2B97" w:rsidRPr="007C4DC3">
        <w:t>:</w:t>
      </w:r>
      <w:proofErr w:type="gramEnd"/>
      <w:r w:rsidR="000D2B97" w:rsidRPr="007C4DC3">
        <w:t>2</w:t>
      </w:r>
      <w:r w:rsidRPr="007C4DC3">
        <w:t>012</w:t>
      </w:r>
      <w:r w:rsidRPr="007C4DC3">
        <w:tab/>
        <w:t>Bouteilles à gaz − Bouteilles à gaz sans soudure en alliage d’aluminium destinées à être rechargées −</w:t>
      </w:r>
      <w:r w:rsidR="000D2B97" w:rsidRPr="007C4DC3">
        <w:t xml:space="preserve"> </w:t>
      </w:r>
      <w:r w:rsidRPr="007C4DC3">
        <w:t>Conception, construction et essais</w:t>
      </w:r>
    </w:p>
    <w:p w14:paraId="592B119A" w14:textId="77777777" w:rsidR="00052CAC" w:rsidRPr="007C4DC3" w:rsidRDefault="00052CAC" w:rsidP="007C4DC3">
      <w:pPr>
        <w:pStyle w:val="SingleTxtG"/>
        <w:ind w:left="4536" w:hanging="2268"/>
      </w:pPr>
      <w:r w:rsidRPr="007C4DC3">
        <w:t xml:space="preserve">ISO </w:t>
      </w:r>
      <w:proofErr w:type="gramStart"/>
      <w:r w:rsidRPr="007C4DC3">
        <w:t>9001</w:t>
      </w:r>
      <w:r w:rsidR="000D2B97" w:rsidRPr="007C4DC3">
        <w:t>:</w:t>
      </w:r>
      <w:proofErr w:type="gramEnd"/>
      <w:r w:rsidR="000D2B97" w:rsidRPr="007C4DC3">
        <w:t>2</w:t>
      </w:r>
      <w:r w:rsidRPr="007C4DC3">
        <w:t>015</w:t>
      </w:r>
      <w:r w:rsidRPr="007C4DC3">
        <w:tab/>
        <w:t>Systèmes de management de la qualité − Exigences</w:t>
      </w:r>
    </w:p>
    <w:p w14:paraId="644F25DF" w14:textId="77777777" w:rsidR="00052CAC" w:rsidRPr="007C4DC3" w:rsidRDefault="00052CAC" w:rsidP="007C4DC3">
      <w:pPr>
        <w:pStyle w:val="SingleTxtG"/>
        <w:ind w:left="4536" w:hanging="2268"/>
      </w:pPr>
      <w:r w:rsidRPr="007C4DC3">
        <w:t xml:space="preserve">ISO/TS </w:t>
      </w:r>
      <w:proofErr w:type="gramStart"/>
      <w:r w:rsidRPr="007C4DC3">
        <w:t>9002</w:t>
      </w:r>
      <w:r w:rsidR="000D2B97" w:rsidRPr="007C4DC3">
        <w:t>:</w:t>
      </w:r>
      <w:proofErr w:type="gramEnd"/>
      <w:r w:rsidR="000D2B97" w:rsidRPr="007C4DC3">
        <w:t>2</w:t>
      </w:r>
      <w:r w:rsidRPr="007C4DC3">
        <w:t>016</w:t>
      </w:r>
      <w:r w:rsidRPr="007C4DC3">
        <w:tab/>
        <w:t>Systèmes de management de la qualité − Lignes directrices pour l’application de l’ISO</w:t>
      </w:r>
      <w:r w:rsidR="000D2B97" w:rsidRPr="007C4DC3">
        <w:t xml:space="preserve"> </w:t>
      </w:r>
      <w:r w:rsidRPr="007C4DC3">
        <w:t>9001</w:t>
      </w:r>
      <w:r w:rsidR="000D2B97" w:rsidRPr="007C4DC3">
        <w:t>:2</w:t>
      </w:r>
      <w:r w:rsidRPr="007C4DC3">
        <w:t>015</w:t>
      </w:r>
    </w:p>
    <w:p w14:paraId="4B6CCF8D" w14:textId="77777777" w:rsidR="00052CAC" w:rsidRPr="007C4DC3" w:rsidRDefault="00052CAC" w:rsidP="007C4DC3">
      <w:pPr>
        <w:pStyle w:val="SingleTxtG"/>
        <w:ind w:left="4536" w:hanging="2268"/>
      </w:pPr>
      <w:r w:rsidRPr="007C4DC3">
        <w:t xml:space="preserve">ISO </w:t>
      </w:r>
      <w:proofErr w:type="gramStart"/>
      <w:r w:rsidRPr="007C4DC3">
        <w:t>12991</w:t>
      </w:r>
      <w:r w:rsidR="000D2B97" w:rsidRPr="007C4DC3">
        <w:t>:</w:t>
      </w:r>
      <w:proofErr w:type="gramEnd"/>
      <w:r w:rsidR="000D2B97" w:rsidRPr="007C4DC3">
        <w:t>2</w:t>
      </w:r>
      <w:r w:rsidRPr="007C4DC3">
        <w:t>012</w:t>
      </w:r>
      <w:r w:rsidRPr="007C4DC3">
        <w:tab/>
      </w:r>
      <w:r w:rsidRPr="007C4DC3">
        <w:rPr>
          <w:spacing w:val="-2"/>
        </w:rPr>
        <w:t>Gaz naturel liquéfié (GNL) − Réservoirs pour le</w:t>
      </w:r>
      <w:r w:rsidRPr="007C4DC3">
        <w:t xml:space="preserve"> stockage à bord comme carburant pour véhicules automobiles</w:t>
      </w:r>
    </w:p>
    <w:p w14:paraId="28633183" w14:textId="77777777" w:rsidR="00052CAC" w:rsidRPr="007C4DC3" w:rsidRDefault="00052CAC" w:rsidP="007C4DC3">
      <w:pPr>
        <w:pStyle w:val="SingleTxtG"/>
        <w:ind w:left="4536" w:hanging="2268"/>
      </w:pPr>
      <w:r w:rsidRPr="007C4DC3">
        <w:t xml:space="preserve">ISO </w:t>
      </w:r>
      <w:proofErr w:type="gramStart"/>
      <w:r w:rsidRPr="007C4DC3">
        <w:t>14469</w:t>
      </w:r>
      <w:r w:rsidR="000D2B97" w:rsidRPr="007C4DC3">
        <w:t>:</w:t>
      </w:r>
      <w:proofErr w:type="gramEnd"/>
      <w:r w:rsidR="000D2B97" w:rsidRPr="007C4DC3">
        <w:t>2</w:t>
      </w:r>
      <w:r w:rsidRPr="007C4DC3">
        <w:t>017</w:t>
      </w:r>
      <w:r w:rsidRPr="007C4DC3">
        <w:tab/>
        <w:t>Véhicules routiers − Connecteur de remplissage en gaz naturel comprimé (GNC)</w:t>
      </w:r>
    </w:p>
    <w:p w14:paraId="006F278A" w14:textId="77777777" w:rsidR="00052CAC" w:rsidRPr="007C4DC3" w:rsidRDefault="00052CAC" w:rsidP="007C4DC3">
      <w:pPr>
        <w:pStyle w:val="SingleTxtG"/>
        <w:ind w:left="4536" w:hanging="2268"/>
      </w:pPr>
      <w:r w:rsidRPr="007C4DC3">
        <w:t>ISO 15500-</w:t>
      </w:r>
      <w:proofErr w:type="gramStart"/>
      <w:r w:rsidRPr="007C4DC3">
        <w:t>2</w:t>
      </w:r>
      <w:r w:rsidR="000D2B97" w:rsidRPr="007C4DC3">
        <w:t>:</w:t>
      </w:r>
      <w:proofErr w:type="gramEnd"/>
      <w:r w:rsidR="000D2B97" w:rsidRPr="007C4DC3">
        <w:t>2</w:t>
      </w:r>
      <w:r w:rsidRPr="007C4DC3">
        <w:t>016</w:t>
      </w:r>
      <w:r w:rsidRPr="007C4DC3">
        <w:tab/>
        <w:t>Véhicules routiers − Composants des systèmes de combustible gaz naturel comprimé (GNC) − Partie</w:t>
      </w:r>
      <w:r w:rsidR="000D2B97" w:rsidRPr="007C4DC3">
        <w:t xml:space="preserve"> </w:t>
      </w:r>
      <w:r w:rsidRPr="007C4DC3">
        <w:t>2</w:t>
      </w:r>
      <w:r w:rsidR="000D2B97" w:rsidRPr="007C4DC3">
        <w:t> :</w:t>
      </w:r>
      <w:r w:rsidRPr="007C4DC3">
        <w:t xml:space="preserve"> Performances et méthodes d’essai générales</w:t>
      </w:r>
    </w:p>
    <w:p w14:paraId="434C8E68" w14:textId="77777777" w:rsidR="00052CAC" w:rsidRPr="007C4DC3" w:rsidRDefault="00052CAC" w:rsidP="007C4DC3">
      <w:pPr>
        <w:pStyle w:val="SingleTxtG"/>
        <w:ind w:left="4536" w:hanging="2268"/>
      </w:pPr>
      <w:r w:rsidRPr="007C4DC3">
        <w:t>ISO 15500-</w:t>
      </w:r>
      <w:proofErr w:type="gramStart"/>
      <w:r w:rsidRPr="007C4DC3">
        <w:t>17</w:t>
      </w:r>
      <w:r w:rsidR="000D2B97" w:rsidRPr="007C4DC3">
        <w:t>:</w:t>
      </w:r>
      <w:proofErr w:type="gramEnd"/>
      <w:r w:rsidR="000D2B97" w:rsidRPr="007C4DC3">
        <w:t>2</w:t>
      </w:r>
      <w:r w:rsidRPr="007C4DC3">
        <w:t>012</w:t>
      </w:r>
      <w:r w:rsidRPr="007C4DC3">
        <w:tab/>
        <w:t>Véhicules routiers − Composants des systèmes de combustible gaz naturel comprimé (GNC) − Partie 17</w:t>
      </w:r>
      <w:r w:rsidR="000D2B97" w:rsidRPr="007C4DC3">
        <w:t> :</w:t>
      </w:r>
      <w:r w:rsidRPr="007C4DC3">
        <w:t xml:space="preserve"> Tuyauterie flexible pour combustible</w:t>
      </w:r>
    </w:p>
    <w:p w14:paraId="6B000B3D" w14:textId="77777777" w:rsidR="00052CAC" w:rsidRPr="007C4DC3" w:rsidRDefault="00052CAC" w:rsidP="007C4DC3">
      <w:pPr>
        <w:pStyle w:val="SingleTxtG"/>
        <w:ind w:left="4536" w:hanging="2268"/>
      </w:pPr>
      <w:r w:rsidRPr="007C4DC3">
        <w:t>ISO 21028-</w:t>
      </w:r>
      <w:proofErr w:type="gramStart"/>
      <w:r w:rsidRPr="007C4DC3">
        <w:t>1</w:t>
      </w:r>
      <w:r w:rsidR="000D2B97" w:rsidRPr="007C4DC3">
        <w:t>:</w:t>
      </w:r>
      <w:proofErr w:type="gramEnd"/>
      <w:r w:rsidR="000D2B97" w:rsidRPr="007C4DC3">
        <w:t>2</w:t>
      </w:r>
      <w:r w:rsidRPr="007C4DC3">
        <w:t>016</w:t>
      </w:r>
      <w:r w:rsidRPr="007C4DC3">
        <w:tab/>
        <w:t>Récipients cryogéniques − Exigences de ténacité pour les matériaux à température cryogénique − Partie 1</w:t>
      </w:r>
      <w:r w:rsidR="000D2B97" w:rsidRPr="007C4DC3">
        <w:t> :</w:t>
      </w:r>
      <w:r w:rsidRPr="007C4DC3">
        <w:t xml:space="preserve"> Températures inférieures à -80</w:t>
      </w:r>
      <w:r w:rsidR="000D2B97" w:rsidRPr="007C4DC3">
        <w:t> °</w:t>
      </w:r>
      <w:r w:rsidRPr="007C4DC3">
        <w:t>C</w:t>
      </w:r>
    </w:p>
    <w:p w14:paraId="7BBC1832" w14:textId="77777777" w:rsidR="00052CAC" w:rsidRPr="007C4DC3" w:rsidRDefault="00052CAC" w:rsidP="007C4DC3">
      <w:pPr>
        <w:pStyle w:val="SingleTxtG"/>
        <w:ind w:left="4536" w:hanging="2268"/>
      </w:pPr>
      <w:r w:rsidRPr="007C4DC3">
        <w:t>ISO 21029-</w:t>
      </w:r>
      <w:proofErr w:type="gramStart"/>
      <w:r w:rsidRPr="007C4DC3">
        <w:t>1</w:t>
      </w:r>
      <w:r w:rsidR="000D2B97" w:rsidRPr="007C4DC3">
        <w:t>:</w:t>
      </w:r>
      <w:proofErr w:type="gramEnd"/>
      <w:r w:rsidR="000D2B97" w:rsidRPr="007C4DC3">
        <w:t>2</w:t>
      </w:r>
      <w:r w:rsidRPr="007C4DC3">
        <w:t>015</w:t>
      </w:r>
      <w:r w:rsidRPr="007C4DC3">
        <w:tab/>
        <w:t>Récipients cryogéniques − Récipients transportables, isolés sous vide, d’un volume n’excédant pas 1</w:t>
      </w:r>
      <w:r w:rsidR="00CD2C93">
        <w:t> </w:t>
      </w:r>
      <w:r w:rsidRPr="007C4DC3">
        <w:t>000</w:t>
      </w:r>
      <w:r w:rsidR="00CD2C93">
        <w:t xml:space="preserve"> </w:t>
      </w:r>
      <w:r w:rsidRPr="007C4DC3">
        <w:t>litres − Partie</w:t>
      </w:r>
      <w:r w:rsidR="000D2B97" w:rsidRPr="007C4DC3">
        <w:t xml:space="preserve"> </w:t>
      </w:r>
      <w:r w:rsidRPr="007C4DC3">
        <w:t>I</w:t>
      </w:r>
      <w:r w:rsidR="000D2B97" w:rsidRPr="007C4DC3">
        <w:t> :</w:t>
      </w:r>
      <w:r w:rsidRPr="007C4DC3">
        <w:t xml:space="preserve"> Conception, fabrication, inspection et essais</w:t>
      </w:r>
    </w:p>
    <w:p w14:paraId="79F92BE0" w14:textId="77777777" w:rsidR="00052CAC" w:rsidRPr="007C4DC3" w:rsidRDefault="00052CAC" w:rsidP="007C4DC3">
      <w:pPr>
        <w:pStyle w:val="SingleTxtG"/>
        <w:ind w:left="4536" w:hanging="2268"/>
      </w:pPr>
      <w:r w:rsidRPr="007C4DC3">
        <w:t xml:space="preserve">ISO/IEC </w:t>
      </w:r>
      <w:proofErr w:type="gramStart"/>
      <w:r w:rsidRPr="007C4DC3">
        <w:t>17025</w:t>
      </w:r>
      <w:r w:rsidR="000D2B97" w:rsidRPr="007C4DC3">
        <w:t>:</w:t>
      </w:r>
      <w:proofErr w:type="gramEnd"/>
      <w:r w:rsidR="000D2B97" w:rsidRPr="007C4DC3">
        <w:t>2</w:t>
      </w:r>
      <w:r w:rsidRPr="007C4DC3">
        <w:t>005</w:t>
      </w:r>
      <w:r w:rsidRPr="007C4DC3">
        <w:tab/>
        <w:t>Exigences générales concernant la compétence des laboratoires d’étalonnages et d’essais</w:t>
      </w:r>
    </w:p>
    <w:p w14:paraId="67151800" w14:textId="77777777" w:rsidR="00052CAC" w:rsidRPr="007C4DC3" w:rsidRDefault="00052CAC" w:rsidP="007C4DC3">
      <w:pPr>
        <w:pStyle w:val="SingleTxtG"/>
        <w:ind w:left="4536" w:hanging="2268"/>
      </w:pPr>
      <w:r w:rsidRPr="007C4DC3">
        <w:t>ISO 9809-</w:t>
      </w:r>
      <w:proofErr w:type="gramStart"/>
      <w:r w:rsidRPr="007C4DC3">
        <w:t>1</w:t>
      </w:r>
      <w:r w:rsidR="000D2B97" w:rsidRPr="007C4DC3">
        <w:t>:</w:t>
      </w:r>
      <w:proofErr w:type="gramEnd"/>
      <w:r w:rsidR="000D2B97" w:rsidRPr="007C4DC3">
        <w:t>2</w:t>
      </w:r>
      <w:r w:rsidRPr="007C4DC3">
        <w:t>010</w:t>
      </w:r>
      <w:r w:rsidRPr="007C4DC3">
        <w:tab/>
        <w:t>Bouteilles à gaz − Bouteilles à gaz rechargeables en acier sans soudure − Conception, construction et essais − Partie</w:t>
      </w:r>
      <w:r w:rsidR="000D2B97" w:rsidRPr="007C4DC3">
        <w:t xml:space="preserve"> </w:t>
      </w:r>
      <w:r w:rsidRPr="007C4DC3">
        <w:t>1</w:t>
      </w:r>
      <w:r w:rsidR="000D2B97" w:rsidRPr="007C4DC3">
        <w:t> :</w:t>
      </w:r>
      <w:r w:rsidRPr="007C4DC3">
        <w:t xml:space="preserve"> Bouteilles en acier trempé et revenu ayant une résistance à la traction inférieure à 1</w:t>
      </w:r>
      <w:r w:rsidR="000D2B97" w:rsidRPr="007C4DC3">
        <w:t> </w:t>
      </w:r>
      <w:r w:rsidRPr="007C4DC3">
        <w:t>100</w:t>
      </w:r>
      <w:r w:rsidR="000D2B97" w:rsidRPr="007C4DC3">
        <w:t xml:space="preserve"> </w:t>
      </w:r>
      <w:r w:rsidRPr="007C4DC3">
        <w:t>MPa</w:t>
      </w:r>
    </w:p>
    <w:p w14:paraId="2F4699EF" w14:textId="77777777" w:rsidR="00052CAC" w:rsidRPr="007C4DC3" w:rsidRDefault="00052CAC" w:rsidP="007C4DC3">
      <w:pPr>
        <w:pStyle w:val="SingleTxtG"/>
        <w:ind w:left="4536" w:hanging="2268"/>
      </w:pPr>
      <w:r w:rsidRPr="007C4DC3">
        <w:t xml:space="preserve">ISO </w:t>
      </w:r>
      <w:proofErr w:type="gramStart"/>
      <w:r w:rsidRPr="007C4DC3">
        <w:t>11439</w:t>
      </w:r>
      <w:r w:rsidR="000D2B97" w:rsidRPr="007C4DC3">
        <w:t>:</w:t>
      </w:r>
      <w:proofErr w:type="gramEnd"/>
      <w:r w:rsidR="000D2B97" w:rsidRPr="007C4DC3">
        <w:t>2</w:t>
      </w:r>
      <w:r w:rsidRPr="007C4DC3">
        <w:t>013</w:t>
      </w:r>
      <w:r w:rsidRPr="007C4DC3">
        <w:tab/>
        <w:t>Bouteilles à gaz − Bouteilles haute pression pour le stockage de gaz naturel utilisé comme carburant à bord des véhicules automobiles</w:t>
      </w:r>
    </w:p>
    <w:p w14:paraId="428C28CF" w14:textId="77777777" w:rsidR="00052CAC" w:rsidRPr="007C4DC3" w:rsidRDefault="00052CAC" w:rsidP="007C4DC3">
      <w:pPr>
        <w:pStyle w:val="SingleTxtG"/>
        <w:keepNext/>
        <w:ind w:left="3969" w:hanging="1701"/>
      </w:pPr>
      <w:r w:rsidRPr="007C4DC3">
        <w:lastRenderedPageBreak/>
        <w:t>Norme NACE</w:t>
      </w:r>
      <w:r w:rsidRPr="007C4DC3">
        <w:rPr>
          <w:rStyle w:val="FootnoteReference"/>
        </w:rPr>
        <w:footnoteReference w:id="7"/>
      </w:r>
    </w:p>
    <w:p w14:paraId="160675E0" w14:textId="77777777" w:rsidR="00052CAC" w:rsidRPr="007C4DC3" w:rsidRDefault="00052CAC" w:rsidP="007C4DC3">
      <w:pPr>
        <w:pStyle w:val="SingleTxtG"/>
        <w:ind w:left="4536" w:hanging="2268"/>
      </w:pPr>
      <w:r w:rsidRPr="007C4DC3">
        <w:t>NACE TM0177-90</w:t>
      </w:r>
      <w:r w:rsidRPr="007C4DC3">
        <w:tab/>
      </w:r>
      <w:proofErr w:type="spellStart"/>
      <w:r w:rsidRPr="007C4DC3">
        <w:t>Laboratory</w:t>
      </w:r>
      <w:proofErr w:type="spellEnd"/>
      <w:r w:rsidRPr="007C4DC3">
        <w:t xml:space="preserve"> </w:t>
      </w:r>
      <w:proofErr w:type="spellStart"/>
      <w:r w:rsidRPr="007C4DC3">
        <w:t>Testing</w:t>
      </w:r>
      <w:proofErr w:type="spellEnd"/>
      <w:r w:rsidRPr="007C4DC3">
        <w:t xml:space="preserve"> of </w:t>
      </w:r>
      <w:proofErr w:type="spellStart"/>
      <w:r w:rsidRPr="007C4DC3">
        <w:t>Metals</w:t>
      </w:r>
      <w:proofErr w:type="spellEnd"/>
      <w:r w:rsidRPr="007C4DC3">
        <w:t xml:space="preserve"> for Resistance to </w:t>
      </w:r>
      <w:proofErr w:type="spellStart"/>
      <w:r w:rsidRPr="007C4DC3">
        <w:t>Sulphide</w:t>
      </w:r>
      <w:proofErr w:type="spellEnd"/>
      <w:r w:rsidRPr="007C4DC3">
        <w:t xml:space="preserve"> Stress Cracking in H</w:t>
      </w:r>
      <w:r w:rsidRPr="007C4DC3">
        <w:rPr>
          <w:vertAlign w:val="subscript"/>
        </w:rPr>
        <w:t>2</w:t>
      </w:r>
      <w:r w:rsidRPr="007C4DC3">
        <w:t xml:space="preserve">S </w:t>
      </w:r>
      <w:proofErr w:type="spellStart"/>
      <w:r w:rsidRPr="007C4DC3">
        <w:t>Environments</w:t>
      </w:r>
      <w:proofErr w:type="spellEnd"/>
    </w:p>
    <w:p w14:paraId="10E4E2B4" w14:textId="77777777" w:rsidR="00052CAC" w:rsidRPr="007C4DC3" w:rsidRDefault="00052CAC" w:rsidP="007C4DC3">
      <w:pPr>
        <w:pStyle w:val="SingleTxtG"/>
        <w:keepNext/>
        <w:ind w:left="3969" w:hanging="1701"/>
      </w:pPr>
      <w:r w:rsidRPr="007C4DC3">
        <w:t>Règlements ONU</w:t>
      </w:r>
      <w:r w:rsidRPr="007C4DC3">
        <w:rPr>
          <w:rStyle w:val="FootnoteReference"/>
        </w:rPr>
        <w:footnoteReference w:id="8"/>
      </w:r>
      <w:r w:rsidRPr="007C4DC3">
        <w:t xml:space="preserve"> </w:t>
      </w:r>
    </w:p>
    <w:p w14:paraId="37D9BC14" w14:textId="77777777" w:rsidR="00052CAC" w:rsidRPr="007C4DC3" w:rsidRDefault="00052CAC" w:rsidP="007C4DC3">
      <w:pPr>
        <w:pStyle w:val="SingleTxtG"/>
        <w:ind w:left="4536" w:hanging="2268"/>
      </w:pPr>
      <w:r w:rsidRPr="007C4DC3">
        <w:t xml:space="preserve">Règlement ONU </w:t>
      </w:r>
      <w:r w:rsidRPr="007C4DC3">
        <w:rPr>
          <w:rFonts w:eastAsia="MS Mincho"/>
          <w:szCs w:val="22"/>
        </w:rPr>
        <w:t>n</w:t>
      </w:r>
      <w:r w:rsidRPr="007C4DC3">
        <w:rPr>
          <w:rFonts w:eastAsia="MS Mincho"/>
          <w:szCs w:val="22"/>
          <w:vertAlign w:val="superscript"/>
        </w:rPr>
        <w:t>o</w:t>
      </w:r>
      <w:r w:rsidRPr="007C4DC3">
        <w:t> 10</w:t>
      </w:r>
      <w:r w:rsidR="007C4DC3" w:rsidRPr="007C4DC3">
        <w:tab/>
      </w:r>
      <w:r w:rsidRPr="007C4DC3">
        <w:t>Prescriptions uniformes relatives à l’homologation des véhicules en ce qui concerne la compatibilité électromagnétique</w:t>
      </w:r>
    </w:p>
    <w:p w14:paraId="371116F2" w14:textId="77777777" w:rsidR="00052CAC" w:rsidRPr="007C4DC3" w:rsidRDefault="00052CAC" w:rsidP="007C4DC3">
      <w:pPr>
        <w:pStyle w:val="SingleTxtG"/>
        <w:keepNext/>
        <w:ind w:left="3969" w:hanging="1701"/>
      </w:pPr>
      <w:r w:rsidRPr="007C4DC3">
        <w:t>Règlements fédéraux des États-Unis d’Amérique</w:t>
      </w:r>
      <w:r w:rsidRPr="007C4DC3">
        <w:rPr>
          <w:rStyle w:val="FootnoteReference"/>
        </w:rPr>
        <w:footnoteReference w:id="9"/>
      </w:r>
    </w:p>
    <w:p w14:paraId="25AA06ED" w14:textId="77777777" w:rsidR="00052CAC" w:rsidRPr="007C4DC3" w:rsidRDefault="00052CAC" w:rsidP="007C4DC3">
      <w:pPr>
        <w:pStyle w:val="SingleTxtG"/>
        <w:ind w:left="4536" w:hanging="2268"/>
      </w:pPr>
      <w:r w:rsidRPr="007C4DC3">
        <w:t>49 CFR 393.67</w:t>
      </w:r>
      <w:r w:rsidRPr="007C4DC3">
        <w:tab/>
      </w:r>
      <w:proofErr w:type="spellStart"/>
      <w:r w:rsidRPr="007C4DC3">
        <w:t>Liquid</w:t>
      </w:r>
      <w:proofErr w:type="spellEnd"/>
      <w:r w:rsidRPr="007C4DC3">
        <w:t xml:space="preserve"> fuel tanks (tel que modifié par le 78 FR 58484 le 24 septembre 2013)</w:t>
      </w:r>
    </w:p>
    <w:p w14:paraId="06D870BE" w14:textId="77777777" w:rsidR="00052CAC" w:rsidRPr="007C4DC3" w:rsidRDefault="00052CAC" w:rsidP="007C4DC3">
      <w:pPr>
        <w:pStyle w:val="SingleTxtG"/>
        <w:keepNext/>
        <w:ind w:left="3969" w:hanging="1701"/>
      </w:pPr>
      <w:r w:rsidRPr="007C4DC3">
        <w:t>Normes SAE</w:t>
      </w:r>
      <w:r w:rsidRPr="007C4DC3">
        <w:rPr>
          <w:rStyle w:val="FootnoteReference"/>
        </w:rPr>
        <w:footnoteReference w:id="10"/>
      </w:r>
    </w:p>
    <w:p w14:paraId="3869D6CE" w14:textId="77777777" w:rsidR="00052CAC" w:rsidRPr="007C4DC3" w:rsidRDefault="00052CAC" w:rsidP="007C4DC3">
      <w:pPr>
        <w:pStyle w:val="SingleTxtG"/>
        <w:ind w:left="4536" w:hanging="2268"/>
      </w:pPr>
      <w:r w:rsidRPr="007C4DC3">
        <w:t>SAE J2343-2008</w:t>
      </w:r>
      <w:r w:rsidRPr="007C4DC3">
        <w:tab/>
      </w:r>
      <w:proofErr w:type="spellStart"/>
      <w:r w:rsidRPr="007C4DC3">
        <w:t>Recommended</w:t>
      </w:r>
      <w:proofErr w:type="spellEnd"/>
      <w:r w:rsidRPr="007C4DC3">
        <w:t xml:space="preserve"> Practice for LNG Medium and Heavy-Duty </w:t>
      </w:r>
      <w:proofErr w:type="spellStart"/>
      <w:r w:rsidRPr="007C4DC3">
        <w:t>Powered</w:t>
      </w:r>
      <w:proofErr w:type="spellEnd"/>
      <w:r w:rsidRPr="007C4DC3">
        <w:t xml:space="preserve"> </w:t>
      </w:r>
      <w:proofErr w:type="spellStart"/>
      <w:r w:rsidRPr="007C4DC3">
        <w:t>Vehicles</w:t>
      </w:r>
      <w:proofErr w:type="spellEnd"/>
      <w:r w:rsidRPr="007C4DC3">
        <w:t>. ».</w:t>
      </w:r>
    </w:p>
    <w:p w14:paraId="4F627600" w14:textId="77777777" w:rsidR="00052CAC" w:rsidRPr="007C4DC3" w:rsidRDefault="00052CAC" w:rsidP="000D2B97">
      <w:pPr>
        <w:pStyle w:val="SingleTxtG"/>
        <w:keepNext/>
        <w:spacing w:line="276" w:lineRule="auto"/>
      </w:pPr>
      <w:bookmarkStart w:id="1" w:name="bookmark_94"/>
      <w:r w:rsidRPr="007C4DC3">
        <w:rPr>
          <w:i/>
        </w:rPr>
        <w:t>Ajouter de nouveaux paragraphes 24.15 à 24.21</w:t>
      </w:r>
      <w:r w:rsidRPr="007C4DC3">
        <w:t>, libellés comme suit</w:t>
      </w:r>
      <w:r w:rsidR="000D2B97" w:rsidRPr="007C4DC3">
        <w:t> :</w:t>
      </w:r>
      <w:bookmarkEnd w:id="1"/>
    </w:p>
    <w:p w14:paraId="0F55BDB0" w14:textId="77777777" w:rsidR="00052CAC" w:rsidRPr="007C4DC3" w:rsidRDefault="00052CAC" w:rsidP="000D2B97">
      <w:pPr>
        <w:pStyle w:val="SingleTxtG"/>
        <w:ind w:left="2268" w:hanging="1134"/>
        <w:rPr>
          <w:spacing w:val="-2"/>
        </w:rPr>
      </w:pPr>
      <w:bookmarkStart w:id="2" w:name="bookmark_95"/>
      <w:r w:rsidRPr="007C4DC3">
        <w:t>« 24.15</w:t>
      </w:r>
      <w:r w:rsidRPr="007C4DC3">
        <w:tab/>
        <w:t xml:space="preserve">À compter de la date officielle d’entrée en vigueur de la série 03 d’amendements, aucune Partie contractante appliquant le présent Règlement ne peut refuser de délivrer ou d’accepter une homologation de type accordée </w:t>
      </w:r>
      <w:r w:rsidRPr="007C4DC3">
        <w:rPr>
          <w:spacing w:val="-2"/>
        </w:rPr>
        <w:t xml:space="preserve">en vertu du présent Règlement tel que modifié par la série 03 </w:t>
      </w:r>
      <w:r w:rsidRPr="007C4DC3">
        <w:t>d’amendements</w:t>
      </w:r>
      <w:r w:rsidRPr="007C4DC3">
        <w:rPr>
          <w:spacing w:val="-2"/>
        </w:rPr>
        <w:t>.</w:t>
      </w:r>
      <w:bookmarkEnd w:id="2"/>
    </w:p>
    <w:p w14:paraId="675ABAB0" w14:textId="77777777" w:rsidR="00052CAC" w:rsidRPr="007C4DC3" w:rsidRDefault="00052CAC" w:rsidP="00052CAC">
      <w:pPr>
        <w:pStyle w:val="SingleTxtG"/>
        <w:ind w:left="2268" w:hanging="1134"/>
      </w:pPr>
      <w:bookmarkStart w:id="3" w:name="bookmark_96"/>
      <w:r w:rsidRPr="007C4DC3">
        <w:t>24.16</w:t>
      </w:r>
      <w:r w:rsidRPr="007C4DC3">
        <w:tab/>
        <w:t>À compter du 1</w:t>
      </w:r>
      <w:r w:rsidRPr="007C4DC3">
        <w:rPr>
          <w:vertAlign w:val="superscript"/>
        </w:rPr>
        <w:t>er</w:t>
      </w:r>
      <w:r w:rsidRPr="007C4DC3">
        <w:t> septembre 2019, les Parties contractantes appliquant le présent Règlement ne seront plus obligées d’accepter les homologations de type accordées pour des éléments satisfaisant aux prescriptions de la partie I dudit Règlement tel que modifié par la série 02 d’amendements, qui auront été délivrées pour la première fois après le 1</w:t>
      </w:r>
      <w:r w:rsidRPr="007C4DC3">
        <w:rPr>
          <w:vertAlign w:val="superscript"/>
        </w:rPr>
        <w:t>er</w:t>
      </w:r>
      <w:r w:rsidRPr="007C4DC3">
        <w:t> septembre 2019.</w:t>
      </w:r>
      <w:bookmarkEnd w:id="3"/>
    </w:p>
    <w:p w14:paraId="1EB8E328" w14:textId="77777777" w:rsidR="00052CAC" w:rsidRPr="007C4DC3" w:rsidRDefault="00052CAC" w:rsidP="00052CAC">
      <w:pPr>
        <w:pStyle w:val="SingleTxtG"/>
        <w:ind w:left="2268" w:hanging="1134"/>
      </w:pPr>
      <w:bookmarkStart w:id="4" w:name="bookmark_97"/>
      <w:r w:rsidRPr="007C4DC3">
        <w:t>24.17</w:t>
      </w:r>
      <w:r w:rsidRPr="007C4DC3">
        <w:tab/>
        <w:t>À compter du 1</w:t>
      </w:r>
      <w:r w:rsidRPr="007C4DC3">
        <w:rPr>
          <w:vertAlign w:val="superscript"/>
        </w:rPr>
        <w:t>er</w:t>
      </w:r>
      <w:r w:rsidRPr="007C4DC3">
        <w:t> septembre 2021, les Parties contractantes appliquant le présent Règlement ne seront plus obligées d’accepter les homologations de type accordées pour des véhicules satisfaisant aux prescriptions de la partie II dudit Règlement tel que modifié par la série 02 d’amendements, qui auront été délivrées pour la première fois après le 1</w:t>
      </w:r>
      <w:r w:rsidRPr="007C4DC3">
        <w:rPr>
          <w:vertAlign w:val="superscript"/>
        </w:rPr>
        <w:t>er</w:t>
      </w:r>
      <w:r w:rsidRPr="007C4DC3">
        <w:t> septembre 2021.</w:t>
      </w:r>
      <w:bookmarkEnd w:id="4"/>
    </w:p>
    <w:p w14:paraId="35EF3A9E" w14:textId="77777777" w:rsidR="00052CAC" w:rsidRPr="007C4DC3" w:rsidRDefault="00052CAC" w:rsidP="00052CAC">
      <w:pPr>
        <w:pStyle w:val="SingleTxtG"/>
        <w:ind w:left="2268" w:hanging="1134"/>
      </w:pPr>
      <w:bookmarkStart w:id="5" w:name="bookmark_98"/>
      <w:r w:rsidRPr="007C4DC3">
        <w:t>24.18</w:t>
      </w:r>
      <w:r w:rsidRPr="007C4DC3">
        <w:tab/>
        <w:t>Les Parties contractantes appliquant le présent Règlement doivent continuer d’accepter les homologations de type délivrées au titre de la série 02 d’amendements au présent Règlement délivrées pour la première fois avant le 1</w:t>
      </w:r>
      <w:r w:rsidRPr="007C4DC3">
        <w:rPr>
          <w:vertAlign w:val="superscript"/>
        </w:rPr>
        <w:t>er</w:t>
      </w:r>
      <w:r w:rsidRPr="007C4DC3">
        <w:t> septembre 2019 dans le cas d’éléments homologués conformément aux prescriptions de la partie I du présent Règlement, et avant le 1</w:t>
      </w:r>
      <w:r w:rsidRPr="007C4DC3">
        <w:rPr>
          <w:vertAlign w:val="superscript"/>
        </w:rPr>
        <w:t>er</w:t>
      </w:r>
      <w:r w:rsidRPr="007C4DC3">
        <w:t> septembre 2021 dans le cas de véhicules homologués conformément aux prescriptions de la partie II du présent Règlement.</w:t>
      </w:r>
      <w:bookmarkEnd w:id="5"/>
    </w:p>
    <w:p w14:paraId="35A88502" w14:textId="77777777" w:rsidR="00052CAC" w:rsidRPr="007C4DC3" w:rsidRDefault="00052CAC" w:rsidP="00052CAC">
      <w:pPr>
        <w:pStyle w:val="SingleTxtG"/>
        <w:ind w:left="2268" w:hanging="1134"/>
      </w:pPr>
      <w:bookmarkStart w:id="6" w:name="bookmark_99"/>
      <w:r w:rsidRPr="007C4DC3">
        <w:t>24.19</w:t>
      </w:r>
      <w:r w:rsidRPr="007C4DC3">
        <w:tab/>
        <w:t>Les Parties contractantes qui appliquent le présent Règlement ne doivent pas refuser de délivrer des homologations de type au titre de l’une quelconque des précédentes séries d’amendements audit Règlement, ou d’accorder des extensions pour les homologations en question.</w:t>
      </w:r>
      <w:bookmarkEnd w:id="6"/>
    </w:p>
    <w:p w14:paraId="1D036DC1" w14:textId="77777777" w:rsidR="00052CAC" w:rsidRPr="007C4DC3" w:rsidRDefault="00052CAC" w:rsidP="000D2B97">
      <w:pPr>
        <w:pStyle w:val="SingleTxtG"/>
        <w:ind w:left="2268" w:hanging="1134"/>
      </w:pPr>
      <w:bookmarkStart w:id="7" w:name="bookmark_100"/>
      <w:r w:rsidRPr="007C4DC3">
        <w:t>24.20</w:t>
      </w:r>
      <w:r w:rsidRPr="007C4DC3">
        <w:tab/>
        <w:t>Les Parties contractantes appliquant le présent Règlement doivent continuer à reconnaître les homologations de type délivrées au titre des précédentes séries d’amendements audit Règlement pour les équipements ou pièces qui ne sont pas visé(e)s par les modifications apportées par la série 03 d’amendements, et de délivrer des extensions pour ces homologations.</w:t>
      </w:r>
      <w:bookmarkEnd w:id="7"/>
    </w:p>
    <w:p w14:paraId="2796384B" w14:textId="77777777" w:rsidR="00052CAC" w:rsidRPr="007C4DC3" w:rsidRDefault="00052CAC" w:rsidP="00052CAC">
      <w:pPr>
        <w:pStyle w:val="SingleTxtG"/>
        <w:ind w:left="2268" w:hanging="1134"/>
        <w:rPr>
          <w:iCs/>
        </w:rPr>
      </w:pPr>
      <w:bookmarkStart w:id="8" w:name="bookmark_101"/>
      <w:r w:rsidRPr="007C4DC3">
        <w:t>24.21</w:t>
      </w:r>
      <w:r w:rsidRPr="007C4DC3">
        <w:tab/>
        <w:t xml:space="preserve">Les Parties contractantes appliquant le présent Règlement doivent continuer à reconnaître les homologations de type accordées au titre de la série 02 </w:t>
      </w:r>
      <w:r w:rsidRPr="007C4DC3">
        <w:lastRenderedPageBreak/>
        <w:t>d’amendements au présent Règlement, délivrées pour la première fois avant le 1</w:t>
      </w:r>
      <w:r w:rsidRPr="007C4DC3">
        <w:rPr>
          <w:vertAlign w:val="superscript"/>
        </w:rPr>
        <w:t>er</w:t>
      </w:r>
      <w:r w:rsidRPr="007C4DC3">
        <w:t> septembre 2021</w:t>
      </w:r>
      <w:bookmarkEnd w:id="8"/>
      <w:r w:rsidRPr="007C4DC3">
        <w:t>. ».</w:t>
      </w:r>
    </w:p>
    <w:p w14:paraId="48FA4B0B" w14:textId="77777777" w:rsidR="00052CAC" w:rsidRPr="007C4DC3" w:rsidRDefault="00052CAC" w:rsidP="000D2B97">
      <w:pPr>
        <w:pStyle w:val="SingleTxtG"/>
        <w:keepNext/>
        <w:spacing w:line="276" w:lineRule="auto"/>
      </w:pPr>
      <w:r w:rsidRPr="007C4DC3">
        <w:rPr>
          <w:i/>
        </w:rPr>
        <w:t>Annexe 3A</w:t>
      </w:r>
      <w:r w:rsidR="007C4DC3">
        <w:t>,</w:t>
      </w:r>
    </w:p>
    <w:p w14:paraId="451DCEDF" w14:textId="77777777" w:rsidR="00052CAC" w:rsidRPr="007C4DC3" w:rsidRDefault="00052CAC" w:rsidP="000D2B97">
      <w:pPr>
        <w:pStyle w:val="SingleTxtG"/>
        <w:keepNext/>
        <w:spacing w:line="276" w:lineRule="auto"/>
        <w:rPr>
          <w:i/>
        </w:rPr>
      </w:pPr>
      <w:r w:rsidRPr="007C4DC3">
        <w:rPr>
          <w:i/>
        </w:rPr>
        <w:t>Tableau</w:t>
      </w:r>
      <w:r w:rsidRPr="007C4DC3">
        <w:rPr>
          <w:i/>
          <w:iCs/>
        </w:rPr>
        <w:t xml:space="preserve"> 6.4</w:t>
      </w:r>
      <w:r w:rsidRPr="007C4DC3">
        <w:t>, Remplacer « Essai en environnement acide » par « Essai d’environnement ».</w:t>
      </w:r>
    </w:p>
    <w:p w14:paraId="23960DBE" w14:textId="77777777" w:rsidR="00052CAC" w:rsidRPr="007C4DC3" w:rsidRDefault="00052CAC" w:rsidP="000D2B97">
      <w:pPr>
        <w:pStyle w:val="SingleTxtG"/>
        <w:keepNext/>
        <w:spacing w:line="276" w:lineRule="auto"/>
      </w:pPr>
      <w:r w:rsidRPr="007C4DC3">
        <w:rPr>
          <w:i/>
        </w:rPr>
        <w:t>Paragraphe 6.3.6</w:t>
      </w:r>
      <w:r w:rsidRPr="007C4DC3">
        <w:t>, lire</w:t>
      </w:r>
      <w:r w:rsidR="000D2B97" w:rsidRPr="007C4DC3">
        <w:t> :</w:t>
      </w:r>
    </w:p>
    <w:p w14:paraId="4E99E580" w14:textId="77777777" w:rsidR="00052CAC" w:rsidRPr="007C4DC3" w:rsidRDefault="00052CAC" w:rsidP="007C4DC3">
      <w:pPr>
        <w:pStyle w:val="SingleTxtG"/>
        <w:keepNext/>
        <w:ind w:left="2268" w:hanging="1134"/>
      </w:pPr>
      <w:r w:rsidRPr="007C4DC3">
        <w:t>« 6.3.6</w:t>
      </w:r>
      <w:r w:rsidRPr="007C4DC3">
        <w:tab/>
      </w:r>
      <w:r w:rsidRPr="007C4DC3">
        <w:tab/>
        <w:t>Liners en plastique</w:t>
      </w:r>
    </w:p>
    <w:p w14:paraId="0106312D" w14:textId="77777777" w:rsidR="00052CAC" w:rsidRPr="007C4DC3" w:rsidRDefault="00052CAC" w:rsidP="000D2B97">
      <w:pPr>
        <w:pStyle w:val="SingleTxtG"/>
        <w:ind w:left="2268"/>
      </w:pPr>
      <w:r w:rsidRPr="007C4DC3">
        <w:tab/>
        <w:t>La limite apparente d’élasticité et l’allongement à la rupture doivent être déterminés conformément au paragraphe</w:t>
      </w:r>
      <w:r w:rsidR="007C4DC3">
        <w:t xml:space="preserve"> </w:t>
      </w:r>
      <w:r w:rsidRPr="007C4DC3">
        <w:t xml:space="preserve">22 de l’appendice A à la présente annexe (A.22). Des essais doivent être réalisés pour démontrer les propriétés ductiles du liner en plastique à des températures inférieures ou égales à </w:t>
      </w:r>
      <w:r w:rsidRPr="007C4DC3">
        <w:noBreakHyphen/>
        <w:t>50 °C, sur la base des valeurs spécifiées par le fabricant. Le polymère doit être compatible avec les conditions d’utilisation spécifiées au paragraphe 4 de la présente annexe. Conformément à la méthode décrite au paragraphe</w:t>
      </w:r>
      <w:r w:rsidR="007C4DC3">
        <w:t xml:space="preserve"> </w:t>
      </w:r>
      <w:r w:rsidRPr="007C4DC3">
        <w:t>23 de l’appendice</w:t>
      </w:r>
      <w:r w:rsidR="007C4DC3">
        <w:t xml:space="preserve"> </w:t>
      </w:r>
      <w:r w:rsidRPr="007C4DC3">
        <w:t>A à la présente annexe (A.23), la température de ramollissement doit être au minimum de 100 °C. ».</w:t>
      </w:r>
    </w:p>
    <w:p w14:paraId="65993E5F" w14:textId="77777777" w:rsidR="00052CAC" w:rsidRPr="007C4DC3" w:rsidRDefault="00052CAC" w:rsidP="00052CAC">
      <w:pPr>
        <w:pStyle w:val="SingleTxtG"/>
        <w:keepNext/>
        <w:spacing w:line="276" w:lineRule="auto"/>
      </w:pPr>
      <w:r w:rsidRPr="007C4DC3">
        <w:rPr>
          <w:i/>
        </w:rPr>
        <w:t>Paragraphe 6.12</w:t>
      </w:r>
      <w:r w:rsidRPr="007C4DC3">
        <w:t>, lire</w:t>
      </w:r>
      <w:r w:rsidR="000D2B97" w:rsidRPr="007C4DC3">
        <w:t> :</w:t>
      </w:r>
    </w:p>
    <w:p w14:paraId="42FAB71A" w14:textId="77777777" w:rsidR="00052CAC" w:rsidRPr="007C4DC3" w:rsidRDefault="00052CAC" w:rsidP="007C4DC3">
      <w:pPr>
        <w:pStyle w:val="SingleTxtG"/>
        <w:keepNext/>
        <w:ind w:left="2268" w:hanging="1134"/>
      </w:pPr>
      <w:r w:rsidRPr="007C4DC3">
        <w:t>« 6.12</w:t>
      </w:r>
      <w:r w:rsidRPr="007C4DC3">
        <w:tab/>
        <w:t>Protection extérieure</w:t>
      </w:r>
    </w:p>
    <w:p w14:paraId="274F37AA" w14:textId="77777777" w:rsidR="00052CAC" w:rsidRPr="007C4DC3" w:rsidRDefault="00052CAC" w:rsidP="000D2B97">
      <w:pPr>
        <w:pStyle w:val="SingleTxtG"/>
        <w:ind w:left="2268"/>
      </w:pPr>
      <w:r w:rsidRPr="007C4DC3">
        <w:tab/>
        <w:t>La partie extérieure des bouteilles doit satisfaire aux prescriptions concernant l’essai d’environnement énoncées au paragraphe</w:t>
      </w:r>
      <w:r w:rsidR="007C4DC3">
        <w:t xml:space="preserve"> </w:t>
      </w:r>
      <w:r w:rsidRPr="007C4DC3">
        <w:t>14 de l’appendice</w:t>
      </w:r>
      <w:r w:rsidR="007C4DC3">
        <w:t xml:space="preserve"> </w:t>
      </w:r>
      <w:r w:rsidRPr="007C4DC3">
        <w:t>A à la présente annexe (A.14). Pour protéger l’extérieur des bouteilles, on peut utiliser</w:t>
      </w:r>
      <w:r w:rsidR="000D2B97" w:rsidRPr="007C4DC3">
        <w:t> :</w:t>
      </w:r>
    </w:p>
    <w:p w14:paraId="251738B8" w14:textId="77777777" w:rsidR="00052CAC" w:rsidRPr="007C4DC3" w:rsidRDefault="00052CAC" w:rsidP="000D2B97">
      <w:pPr>
        <w:pStyle w:val="SingleTxtG"/>
        <w:ind w:left="2835" w:hanging="567"/>
      </w:pPr>
      <w:r w:rsidRPr="007C4DC3">
        <w:t>a)</w:t>
      </w:r>
      <w:r w:rsidRPr="007C4DC3">
        <w:tab/>
        <w:t>Un fini de surface apportant une protection adéquate (métallisation par projection sur l’aluminium ou anodisation, par exemple)</w:t>
      </w:r>
      <w:r w:rsidR="000D2B97" w:rsidRPr="007C4DC3">
        <w:t> ;</w:t>
      </w:r>
      <w:r w:rsidRPr="007C4DC3">
        <w:t xml:space="preserve"> </w:t>
      </w:r>
      <w:proofErr w:type="gramStart"/>
      <w:r w:rsidRPr="007C4DC3">
        <w:t>ou</w:t>
      </w:r>
      <w:proofErr w:type="gramEnd"/>
    </w:p>
    <w:p w14:paraId="06E7BB05" w14:textId="77777777" w:rsidR="00052CAC" w:rsidRPr="007C4DC3" w:rsidRDefault="00052CAC" w:rsidP="000D2B97">
      <w:pPr>
        <w:pStyle w:val="SingleTxtG"/>
        <w:ind w:left="2835" w:hanging="567"/>
      </w:pPr>
      <w:r w:rsidRPr="007C4DC3">
        <w:t>b)</w:t>
      </w:r>
      <w:r w:rsidRPr="007C4DC3">
        <w:tab/>
        <w:t>Une fibre et une matrice adaptées (par exemple, de la fibre de carbone dans une résine)</w:t>
      </w:r>
      <w:r w:rsidR="000D2B97" w:rsidRPr="007C4DC3">
        <w:t> ;</w:t>
      </w:r>
      <w:r w:rsidRPr="007C4DC3">
        <w:t xml:space="preserve"> </w:t>
      </w:r>
      <w:proofErr w:type="gramStart"/>
      <w:r w:rsidRPr="007C4DC3">
        <w:t>ou</w:t>
      </w:r>
      <w:proofErr w:type="gramEnd"/>
    </w:p>
    <w:p w14:paraId="02FE6FEF" w14:textId="77777777" w:rsidR="00052CAC" w:rsidRPr="007C4DC3" w:rsidRDefault="00052CAC" w:rsidP="000D2B97">
      <w:pPr>
        <w:pStyle w:val="SingleTxtG"/>
        <w:ind w:left="2835" w:hanging="567"/>
      </w:pPr>
      <w:r w:rsidRPr="007C4DC3">
        <w:t>c)</w:t>
      </w:r>
      <w:r w:rsidRPr="007C4DC3">
        <w:tab/>
        <w:t>Un revêtement de protection (par exemple, un revêtement organique ou une peinture) répondant aux prescriptions du paragraphe</w:t>
      </w:r>
      <w:r w:rsidR="007C4DC3">
        <w:t xml:space="preserve"> </w:t>
      </w:r>
      <w:r w:rsidRPr="007C4DC3">
        <w:t>9 de l’appendice</w:t>
      </w:r>
      <w:r w:rsidR="007C4DC3">
        <w:t xml:space="preserve"> </w:t>
      </w:r>
      <w:r w:rsidRPr="007C4DC3">
        <w:t>A à la présente annexe (A.9).</w:t>
      </w:r>
    </w:p>
    <w:p w14:paraId="7618D161" w14:textId="77777777" w:rsidR="00052CAC" w:rsidRPr="007C4DC3" w:rsidRDefault="00052CAC" w:rsidP="000D2B97">
      <w:pPr>
        <w:pStyle w:val="SingleTxtG"/>
        <w:ind w:left="2268"/>
      </w:pPr>
      <w:r w:rsidRPr="007C4DC3">
        <w:tab/>
        <w:t>Tout revêtement appliqué sur les bouteilles doit être conçu de manière à ne pas altérer les propriétés mécaniques de la bouteille. Il doit en outre être conçu de manière à faciliter les contrôles ultérieurs durant la période d’utilisation, et le fabricant doit indiquer les précautions à prendre au cours des contrôles afin de maintenir l’intégrité de la bouteille. ».</w:t>
      </w:r>
    </w:p>
    <w:p w14:paraId="312560DD" w14:textId="77777777" w:rsidR="00052CAC" w:rsidRPr="007C4DC3" w:rsidRDefault="00052CAC" w:rsidP="000D2B97">
      <w:pPr>
        <w:pStyle w:val="SingleTxtG"/>
        <w:keepNext/>
        <w:spacing w:line="276" w:lineRule="auto"/>
      </w:pPr>
      <w:r w:rsidRPr="007C4DC3">
        <w:rPr>
          <w:i/>
        </w:rPr>
        <w:t>Paragraphe 8.6.4</w:t>
      </w:r>
      <w:r w:rsidRPr="007C4DC3">
        <w:t>, lire</w:t>
      </w:r>
      <w:r w:rsidR="000D2B97" w:rsidRPr="007C4DC3">
        <w:t> :</w:t>
      </w:r>
    </w:p>
    <w:p w14:paraId="0201DAFA" w14:textId="77777777" w:rsidR="00052CAC" w:rsidRPr="007C4DC3" w:rsidRDefault="00052CAC" w:rsidP="007C4DC3">
      <w:pPr>
        <w:pStyle w:val="SingleTxtG"/>
        <w:keepNext/>
        <w:ind w:left="2268" w:hanging="1134"/>
      </w:pPr>
      <w:r w:rsidRPr="007C4DC3">
        <w:t>« 8.6.4</w:t>
      </w:r>
      <w:r w:rsidRPr="007C4DC3">
        <w:tab/>
        <w:t>Essai d’environnement</w:t>
      </w:r>
    </w:p>
    <w:p w14:paraId="1C3A5063" w14:textId="77777777" w:rsidR="00052CAC" w:rsidRPr="007C4DC3" w:rsidRDefault="00052CAC" w:rsidP="000D2B97">
      <w:pPr>
        <w:pStyle w:val="SingleTxtG"/>
        <w:ind w:left="2268"/>
      </w:pPr>
      <w:r w:rsidRPr="007C4DC3">
        <w:t>Une bouteille doit être soumise à cet essai conformément au paragraphe 14 de l’appendice A à la présente annexe (A.14) et doit répondre aux prescriptions correspondantes. ».</w:t>
      </w:r>
    </w:p>
    <w:p w14:paraId="042A95DA" w14:textId="77777777" w:rsidR="00052CAC" w:rsidRPr="007C4DC3" w:rsidRDefault="00052CAC" w:rsidP="000D2B97">
      <w:pPr>
        <w:pStyle w:val="SingleTxtG"/>
        <w:keepNext/>
        <w:spacing w:line="276" w:lineRule="auto"/>
      </w:pPr>
      <w:r w:rsidRPr="004B65B4">
        <w:rPr>
          <w:i/>
        </w:rPr>
        <w:t>Annexe 3A, Appendice A</w:t>
      </w:r>
      <w:r w:rsidR="000D2B97" w:rsidRPr="007C4DC3">
        <w:t>,</w:t>
      </w:r>
    </w:p>
    <w:p w14:paraId="70C372EE" w14:textId="77777777" w:rsidR="00052CAC" w:rsidRPr="007C4DC3" w:rsidRDefault="00052CAC" w:rsidP="00052CAC">
      <w:pPr>
        <w:pStyle w:val="SingleTxtG"/>
        <w:keepNext/>
        <w:spacing w:line="276" w:lineRule="auto"/>
      </w:pPr>
      <w:r w:rsidRPr="007C4DC3">
        <w:rPr>
          <w:i/>
        </w:rPr>
        <w:t>Paragraphe A.14</w:t>
      </w:r>
      <w:r w:rsidRPr="007C4DC3">
        <w:t>, lire (ajouter de nouveaux paragraphes A.14.1 à A14.6, dont le texte se fonde essentiellement sur celui de l’appendice H de l’annexe 3A)</w:t>
      </w:r>
      <w:r w:rsidR="000D2B97" w:rsidRPr="007C4DC3">
        <w:t> :</w:t>
      </w:r>
    </w:p>
    <w:p w14:paraId="151D1125" w14:textId="77777777" w:rsidR="00052CAC" w:rsidRPr="007C4DC3" w:rsidRDefault="00052CAC" w:rsidP="007C4DC3">
      <w:pPr>
        <w:pStyle w:val="SingleTxtG"/>
        <w:keepNext/>
        <w:ind w:left="2268" w:hanging="1134"/>
      </w:pPr>
      <w:r w:rsidRPr="007C4DC3">
        <w:t>« A.14</w:t>
      </w:r>
      <w:r w:rsidRPr="007C4DC3">
        <w:tab/>
        <w:t>Essai d’environnement</w:t>
      </w:r>
    </w:p>
    <w:p w14:paraId="17277583" w14:textId="77777777" w:rsidR="00052CAC" w:rsidRPr="007C4DC3" w:rsidRDefault="00052CAC" w:rsidP="007C4DC3">
      <w:pPr>
        <w:pStyle w:val="SingleTxtG"/>
        <w:keepNext/>
        <w:ind w:left="2268" w:hanging="1134"/>
      </w:pPr>
      <w:r w:rsidRPr="007C4DC3">
        <w:t>A.14.1</w:t>
      </w:r>
      <w:r w:rsidRPr="007C4DC3">
        <w:tab/>
        <w:t>Domaine d’application</w:t>
      </w:r>
    </w:p>
    <w:p w14:paraId="5FD3D77D" w14:textId="77777777" w:rsidR="00052CAC" w:rsidRPr="007C4DC3" w:rsidRDefault="00052CAC" w:rsidP="000D2B97">
      <w:pPr>
        <w:pStyle w:val="SingleTxtG"/>
        <w:ind w:left="2268"/>
        <w:rPr>
          <w:strike/>
        </w:rPr>
      </w:pPr>
      <w:r w:rsidRPr="007C4DC3">
        <w:tab/>
        <w:t>Cet essai ne s’applique qu’aux bouteilles de types GNC-2, GNC-3 et GNC-4.</w:t>
      </w:r>
    </w:p>
    <w:p w14:paraId="5CFEB964" w14:textId="77777777" w:rsidR="00052CAC" w:rsidRPr="007C4DC3" w:rsidRDefault="00052CAC" w:rsidP="007C4DC3">
      <w:pPr>
        <w:pStyle w:val="SingleTxtG"/>
        <w:keepNext/>
        <w:ind w:left="2268" w:hanging="1134"/>
      </w:pPr>
      <w:r w:rsidRPr="007C4DC3">
        <w:t>A.14.2</w:t>
      </w:r>
      <w:r w:rsidRPr="007C4DC3">
        <w:tab/>
        <w:t>Installation et préparation de la bouteille</w:t>
      </w:r>
    </w:p>
    <w:p w14:paraId="331B0925" w14:textId="77777777" w:rsidR="00052CAC" w:rsidRPr="007C4DC3" w:rsidRDefault="00052CAC" w:rsidP="000D2B97">
      <w:pPr>
        <w:pStyle w:val="SingleTxtG"/>
        <w:ind w:left="2268"/>
      </w:pPr>
      <w:r w:rsidRPr="007C4DC3">
        <w:tab/>
        <w:t xml:space="preserve">La partie supérieure de la bouteille est divisée en cinq zones distinctes marquées pour le </w:t>
      </w:r>
      <w:proofErr w:type="spellStart"/>
      <w:r w:rsidRPr="007C4DC3">
        <w:t>préconditionnement</w:t>
      </w:r>
      <w:proofErr w:type="spellEnd"/>
      <w:r w:rsidRPr="007C4DC3">
        <w:t xml:space="preserve"> et l’exposition aux liquides (voir </w:t>
      </w:r>
      <w:r w:rsidRPr="007C4DC3">
        <w:rPr>
          <w:spacing w:val="-2"/>
        </w:rPr>
        <w:lastRenderedPageBreak/>
        <w:t xml:space="preserve">fig. A.1). </w:t>
      </w:r>
      <w:r w:rsidRPr="007C4DC3">
        <w:rPr>
          <w:spacing w:val="-4"/>
        </w:rPr>
        <w:t>Les zones ont théoriquement un diamètre de 100 </w:t>
      </w:r>
      <w:proofErr w:type="spellStart"/>
      <w:r w:rsidRPr="007C4DC3">
        <w:rPr>
          <w:spacing w:val="-4"/>
        </w:rPr>
        <w:t>mm.</w:t>
      </w:r>
      <w:proofErr w:type="spellEnd"/>
      <w:r w:rsidRPr="007C4DC3">
        <w:t xml:space="preserve"> </w:t>
      </w:r>
      <w:r w:rsidRPr="007C4DC3">
        <w:rPr>
          <w:spacing w:val="-2"/>
        </w:rPr>
        <w:t>Elles ne doivent</w:t>
      </w:r>
      <w:r w:rsidRPr="007C4DC3">
        <w:t xml:space="preserve"> pas se chevaucher sur la surface du cylindre. Même si cela est plus commode pour les essais, il n’est pas nécessaire que ces zones soient alignées</w:t>
      </w:r>
      <w:r w:rsidR="000D2B97" w:rsidRPr="007C4DC3">
        <w:t> ;</w:t>
      </w:r>
      <w:r w:rsidRPr="007C4DC3">
        <w:t xml:space="preserve"> néanmoins, elles ne doivent pas déborder sur la partie immergée du cylindre.</w:t>
      </w:r>
    </w:p>
    <w:p w14:paraId="2F3AA5C9" w14:textId="77777777" w:rsidR="00052CAC" w:rsidRPr="007C4DC3" w:rsidRDefault="00052CAC" w:rsidP="000D2B97">
      <w:pPr>
        <w:pStyle w:val="SingleTxtG"/>
        <w:ind w:left="2268"/>
      </w:pPr>
      <w:r w:rsidRPr="007C4DC3">
        <w:tab/>
        <w:t xml:space="preserve">Même si le </w:t>
      </w:r>
      <w:proofErr w:type="spellStart"/>
      <w:r w:rsidRPr="007C4DC3">
        <w:t>préconditionnement</w:t>
      </w:r>
      <w:proofErr w:type="spellEnd"/>
      <w:r w:rsidRPr="007C4DC3">
        <w:t xml:space="preserve"> et l’exposition aux liquides sont effectués sur la partie cylindrique de la bouteille, l’ensemble de la bouteille, y compris les parties en forme d’ogive, doit être aussi résistant aux environnements d’exposition que les zones exposées.</w:t>
      </w:r>
    </w:p>
    <w:p w14:paraId="77F6E596" w14:textId="77777777" w:rsidR="007C4DC3" w:rsidRDefault="00052CAC" w:rsidP="007C4DC3">
      <w:pPr>
        <w:pStyle w:val="Heading1"/>
      </w:pPr>
      <w:r w:rsidRPr="007C4DC3">
        <w:t>Figure A.1</w:t>
      </w:r>
    </w:p>
    <w:p w14:paraId="55D295F7" w14:textId="77777777" w:rsidR="00052CAC" w:rsidRPr="007C4DC3" w:rsidRDefault="00052CAC" w:rsidP="007C4DC3">
      <w:pPr>
        <w:pStyle w:val="SingleTxtG"/>
        <w:keepNext/>
        <w:jc w:val="left"/>
        <w:rPr>
          <w:b/>
        </w:rPr>
      </w:pPr>
      <w:bookmarkStart w:id="9" w:name="_Toc343849555"/>
      <w:r w:rsidRPr="007C4DC3">
        <w:rPr>
          <w:b/>
        </w:rPr>
        <w:t>Orientation de la bouteille et disposition des parties exposées</w:t>
      </w:r>
      <w:bookmarkEnd w:id="9"/>
    </w:p>
    <w:p w14:paraId="0AD002EB" w14:textId="77777777" w:rsidR="00052CAC" w:rsidRPr="007C4DC3" w:rsidRDefault="00052CAC" w:rsidP="00052CAC">
      <w:pPr>
        <w:spacing w:line="276" w:lineRule="auto"/>
        <w:ind w:left="1134" w:right="1134"/>
        <w:jc w:val="both"/>
      </w:pPr>
      <w:r w:rsidRPr="007C4DC3">
        <w:rPr>
          <w:noProof/>
          <w:lang w:eastAsia="fr-FR"/>
        </w:rPr>
        <w:drawing>
          <wp:inline distT="0" distB="0" distL="0" distR="0" wp14:anchorId="2B9F3098" wp14:editId="1517F5F0">
            <wp:extent cx="3600000" cy="1108445"/>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108445"/>
                    </a:xfrm>
                    <a:prstGeom prst="rect">
                      <a:avLst/>
                    </a:prstGeom>
                    <a:noFill/>
                    <a:ln>
                      <a:noFill/>
                    </a:ln>
                  </pic:spPr>
                </pic:pic>
              </a:graphicData>
            </a:graphic>
          </wp:inline>
        </w:drawing>
      </w:r>
    </w:p>
    <w:p w14:paraId="690CB135" w14:textId="77777777" w:rsidR="00052CAC" w:rsidRPr="007C4DC3" w:rsidRDefault="00052CAC" w:rsidP="007C4DC3">
      <w:pPr>
        <w:pStyle w:val="SingleTxtG"/>
        <w:keepNext/>
        <w:ind w:left="2268" w:hanging="1134"/>
      </w:pPr>
      <w:r w:rsidRPr="007C4DC3">
        <w:t>A.14.3</w:t>
      </w:r>
      <w:r w:rsidRPr="007C4DC3">
        <w:tab/>
      </w:r>
      <w:r w:rsidRPr="007C4DC3">
        <w:tab/>
      </w:r>
      <w:proofErr w:type="spellStart"/>
      <w:r w:rsidRPr="007C4DC3">
        <w:t>Préconditionnement</w:t>
      </w:r>
      <w:proofErr w:type="spellEnd"/>
      <w:r w:rsidRPr="007C4DC3">
        <w:t xml:space="preserve"> au choc avec un pendule</w:t>
      </w:r>
    </w:p>
    <w:p w14:paraId="26F7352B" w14:textId="77777777" w:rsidR="00052CAC" w:rsidRPr="007C4DC3" w:rsidRDefault="00052CAC" w:rsidP="000D2B97">
      <w:pPr>
        <w:pStyle w:val="SingleTxtG"/>
        <w:ind w:left="2268"/>
      </w:pPr>
      <w:r w:rsidRPr="007C4DC3">
        <w:tab/>
        <w:t>Le corps de choc doit être en acier et doit avoir la forme d’une pyramide ayant des faces triangulaires équilatérales et une base carrée, le sommet et les arêtes étant arrondis à un rayon de 3 </w:t>
      </w:r>
      <w:proofErr w:type="spellStart"/>
      <w:r w:rsidRPr="007C4DC3">
        <w:t>mm.</w:t>
      </w:r>
      <w:proofErr w:type="spellEnd"/>
      <w:r w:rsidRPr="007C4DC3">
        <w:t xml:space="preserve"> Le centre de percussion du pendule doit coïncider avec le centre de gravité de la pyramide</w:t>
      </w:r>
      <w:r w:rsidR="000D2B97" w:rsidRPr="007C4DC3">
        <w:t> ;</w:t>
      </w:r>
      <w:r w:rsidRPr="007C4DC3">
        <w:t xml:space="preserve"> sa distance par rapport à l’axe de rotation du pendule doit être de 1 m. La masse totale du pendule par rapport à son centre de percussion doit être de 15 kg. L’énergie du pendule au moment du choc ne doit pas être inférieure à 30 Nm et doit être aussi proche que possible de cette valeur.</w:t>
      </w:r>
    </w:p>
    <w:p w14:paraId="74BF7036" w14:textId="77777777" w:rsidR="00052CAC" w:rsidRPr="007C4DC3" w:rsidRDefault="00052CAC" w:rsidP="000D2B97">
      <w:pPr>
        <w:pStyle w:val="SingleTxtG"/>
        <w:ind w:left="2268"/>
      </w:pPr>
      <w:r w:rsidRPr="007C4DC3">
        <w:rPr>
          <w:b/>
        </w:rPr>
        <w:tab/>
      </w:r>
      <w:r w:rsidRPr="007C4DC3">
        <w:t xml:space="preserve">Au cours de l’essai de choc avec un pendule, la bouteille doit être maintenue en position par les ogives des extrémités ou par des supports de montage prévus à cet effet. La bouteille doit être exempte de pression au cours du </w:t>
      </w:r>
      <w:proofErr w:type="spellStart"/>
      <w:r w:rsidRPr="007C4DC3">
        <w:t>préconditionnement</w:t>
      </w:r>
      <w:proofErr w:type="spellEnd"/>
      <w:r w:rsidRPr="007C4DC3">
        <w:t>.</w:t>
      </w:r>
    </w:p>
    <w:p w14:paraId="6F40AD4B" w14:textId="77777777" w:rsidR="00052CAC" w:rsidRPr="007C4DC3" w:rsidRDefault="00052CAC" w:rsidP="00052CAC">
      <w:pPr>
        <w:pStyle w:val="SingleTxtG"/>
        <w:ind w:left="2268" w:hanging="1134"/>
      </w:pPr>
      <w:r w:rsidRPr="007C4DC3">
        <w:t>A.14.4</w:t>
      </w:r>
      <w:r w:rsidRPr="007C4DC3">
        <w:tab/>
      </w:r>
      <w:r w:rsidRPr="007C4DC3">
        <w:tab/>
        <w:t>Liquide d’exposition</w:t>
      </w:r>
    </w:p>
    <w:p w14:paraId="1F4502D2" w14:textId="77777777" w:rsidR="00052CAC" w:rsidRPr="007C4DC3" w:rsidRDefault="00052CAC" w:rsidP="000D2B97">
      <w:pPr>
        <w:pStyle w:val="SingleTxtG"/>
        <w:ind w:left="2268"/>
      </w:pPr>
      <w:r w:rsidRPr="007C4DC3">
        <w:tab/>
        <w:t>Chaque zone marquée doit être exposée à l’une des cinq solutions suivantes pendant 30 min. Le même environnement doit être utilisé pour chaque emplacement tout au long de l’essai. Les solutions sont les suivantes</w:t>
      </w:r>
      <w:r w:rsidR="000D2B97" w:rsidRPr="007C4DC3">
        <w:t> :</w:t>
      </w:r>
    </w:p>
    <w:p w14:paraId="3589ED69" w14:textId="77777777" w:rsidR="00052CAC" w:rsidRPr="00A7617F" w:rsidRDefault="00052CAC" w:rsidP="00A7617F">
      <w:pPr>
        <w:pStyle w:val="SingleTxtG"/>
        <w:ind w:left="5387" w:hanging="3119"/>
      </w:pPr>
      <w:r w:rsidRPr="00A7617F">
        <w:t>Acide sulfurique</w:t>
      </w:r>
      <w:r w:rsidR="000D2B97" w:rsidRPr="00A7617F">
        <w:t> :</w:t>
      </w:r>
      <w:r w:rsidRPr="00A7617F">
        <w:tab/>
        <w:t>solution à 19 % en volume dans l’eau</w:t>
      </w:r>
      <w:r w:rsidR="000D2B97" w:rsidRPr="00A7617F">
        <w:t> ;</w:t>
      </w:r>
    </w:p>
    <w:p w14:paraId="076594B0" w14:textId="77777777" w:rsidR="00052CAC" w:rsidRPr="00A7617F" w:rsidRDefault="00052CAC" w:rsidP="00A7617F">
      <w:pPr>
        <w:pStyle w:val="SingleTxtG"/>
        <w:ind w:left="5387" w:hanging="3119"/>
      </w:pPr>
      <w:r w:rsidRPr="00A7617F">
        <w:t>Hydroxyde de sodium</w:t>
      </w:r>
      <w:r w:rsidR="000D2B97" w:rsidRPr="00A7617F">
        <w:t> :</w:t>
      </w:r>
      <w:r w:rsidRPr="00A7617F">
        <w:tab/>
        <w:t>solution à 25 % en poids dans l’eau</w:t>
      </w:r>
      <w:r w:rsidR="000D2B97" w:rsidRPr="00A7617F">
        <w:t> ;</w:t>
      </w:r>
    </w:p>
    <w:p w14:paraId="5F05D89C" w14:textId="77777777" w:rsidR="00052CAC" w:rsidRPr="00A7617F" w:rsidRDefault="00052CAC" w:rsidP="00A7617F">
      <w:pPr>
        <w:pStyle w:val="SingleTxtG"/>
        <w:ind w:left="5387" w:hanging="3119"/>
      </w:pPr>
      <w:r w:rsidRPr="00A7617F">
        <w:t>Mélange 5 % méthanol/95 %essenc</w:t>
      </w:r>
      <w:r w:rsidR="006B1CDD" w:rsidRPr="00A7617F">
        <w:t>e</w:t>
      </w:r>
      <w:r w:rsidR="000D2B97" w:rsidRPr="00A7617F">
        <w:t> :</w:t>
      </w:r>
      <w:r w:rsidR="006B1CDD" w:rsidRPr="00A7617F">
        <w:tab/>
      </w:r>
      <w:r w:rsidRPr="00A7617F">
        <w:t>concentration d’essence dans le carburant</w:t>
      </w:r>
      <w:r w:rsidR="00A7617F">
        <w:t xml:space="preserve"> </w:t>
      </w:r>
      <w:r w:rsidRPr="00A7617F">
        <w:t>M5 conforme à la norme ASTM D4814</w:t>
      </w:r>
      <w:r w:rsidR="000D2B97" w:rsidRPr="00A7617F">
        <w:t> ;</w:t>
      </w:r>
    </w:p>
    <w:p w14:paraId="7E53CD1B" w14:textId="77777777" w:rsidR="00052CAC" w:rsidRPr="00A7617F" w:rsidRDefault="00052CAC" w:rsidP="00A7617F">
      <w:pPr>
        <w:pStyle w:val="SingleTxtG"/>
        <w:ind w:left="5387" w:hanging="3119"/>
      </w:pPr>
      <w:r w:rsidRPr="00A7617F">
        <w:t>Nitrate d’ammonium</w:t>
      </w:r>
      <w:r w:rsidR="000D2B97" w:rsidRPr="00A7617F">
        <w:t> :</w:t>
      </w:r>
      <w:r w:rsidRPr="00A7617F">
        <w:tab/>
        <w:t>solution à 28 % en poids dans l’eau</w:t>
      </w:r>
      <w:r w:rsidR="000D2B97" w:rsidRPr="00A7617F">
        <w:t> ;</w:t>
      </w:r>
    </w:p>
    <w:p w14:paraId="6FF08F59" w14:textId="77777777" w:rsidR="00052CAC" w:rsidRPr="00A7617F" w:rsidRDefault="00052CAC" w:rsidP="00A7617F">
      <w:pPr>
        <w:pStyle w:val="SingleTxtG"/>
        <w:ind w:left="5387" w:hanging="3119"/>
      </w:pPr>
      <w:r w:rsidRPr="00A7617F">
        <w:t>Liquide lave-glace</w:t>
      </w:r>
      <w:r w:rsidR="000D2B97" w:rsidRPr="00A7617F">
        <w:t> :</w:t>
      </w:r>
      <w:r w:rsidR="00A7617F" w:rsidRPr="00A7617F">
        <w:tab/>
      </w:r>
      <w:r w:rsidRPr="00A7617F">
        <w:t>solution à 50 % en volume d’alcool méthylique et d’eau.</w:t>
      </w:r>
    </w:p>
    <w:p w14:paraId="7AB843FD" w14:textId="77777777" w:rsidR="00052CAC" w:rsidRPr="007C4DC3" w:rsidRDefault="00052CAC" w:rsidP="000D2B97">
      <w:pPr>
        <w:pStyle w:val="SingleTxtG"/>
        <w:ind w:left="2268"/>
      </w:pPr>
      <w:r w:rsidRPr="007C4DC3">
        <w:tab/>
        <w:t>Lors de l’exposition, l’échantillon doit être orienté avec la zone d’exposition au-dessus. Une couche de laine de verre (d’environ 0,5 mm d’épaisseur et de diamètre compris entre 90 et 100 mm) doit être placée sur la zone exposée. On versera sur la couche de laine de verre une quantité de liquide d’essai suffisante pour la mouiller de manière égale sur toute sa surface et toute son épaisseur et pour que la concentration du fluide reste constante pendant toute la durée de l’essai.</w:t>
      </w:r>
    </w:p>
    <w:p w14:paraId="0A152817" w14:textId="77777777" w:rsidR="00052CAC" w:rsidRPr="007C4DC3" w:rsidRDefault="00052CAC" w:rsidP="00052CAC">
      <w:pPr>
        <w:pStyle w:val="SingleTxtG"/>
        <w:ind w:left="2268" w:hanging="1134"/>
      </w:pPr>
      <w:r w:rsidRPr="007C4DC3">
        <w:t>A.14.5</w:t>
      </w:r>
      <w:r w:rsidRPr="007C4DC3">
        <w:tab/>
        <w:t>Cycle de pression et période de maintien en pression</w:t>
      </w:r>
    </w:p>
    <w:p w14:paraId="68AFB279" w14:textId="77777777" w:rsidR="00052CAC" w:rsidRPr="007C4DC3" w:rsidRDefault="00052CAC" w:rsidP="000D2B97">
      <w:pPr>
        <w:pStyle w:val="SingleTxtG"/>
        <w:ind w:left="2268"/>
      </w:pPr>
      <w:r w:rsidRPr="007C4DC3">
        <w:lastRenderedPageBreak/>
        <w:tab/>
        <w:t>La bouteille doit être soumise à un cyclage hydraulique entre une pression de 2 MPa au moins et de 26 MPa au plus pendant 3 000 cycles. La vitesse de mise en pression ne doit pas dépasser 2,75 MPa par seconde. Après le cyclage en pression la bouteille doit être soumise à une pression de 26 MPa pendant une durée minimale de 24 h et jusqu’à ce que la durée d’exposition (comprenant la période de cycles de pression et la période de maintien en pression) aux liquides d’épreuve soit d’au moins 48 h.</w:t>
      </w:r>
    </w:p>
    <w:p w14:paraId="375ECE09" w14:textId="77777777" w:rsidR="00052CAC" w:rsidRPr="007C4DC3" w:rsidRDefault="00052CAC" w:rsidP="000D2B97">
      <w:pPr>
        <w:pStyle w:val="SingleTxtG"/>
        <w:keepNext/>
        <w:ind w:left="2268" w:hanging="1134"/>
      </w:pPr>
      <w:r w:rsidRPr="007C4DC3">
        <w:t>A.14.6</w:t>
      </w:r>
      <w:r w:rsidRPr="007C4DC3">
        <w:tab/>
        <w:t>Résultats acceptables</w:t>
      </w:r>
    </w:p>
    <w:p w14:paraId="4B12EF55" w14:textId="77777777" w:rsidR="00052CAC" w:rsidRPr="007C4DC3" w:rsidRDefault="00052CAC" w:rsidP="000D2B97">
      <w:pPr>
        <w:pStyle w:val="SingleTxtG"/>
        <w:ind w:left="2268"/>
      </w:pPr>
      <w:r w:rsidRPr="007C4DC3">
        <w:tab/>
        <w:t>La bouteille doit être soumise à une pression hydraulique jusqu’à destruction, conformément à la procédure décrite au paragraphe</w:t>
      </w:r>
      <w:r w:rsidR="007C4DC3">
        <w:t xml:space="preserve"> </w:t>
      </w:r>
      <w:r w:rsidRPr="007C4DC3">
        <w:t>12 de l’appendice A à la présente annexe (A.12). La pression d’éclatement de la bouteille ne doit pas être inférieure à 85 % de la pression d’éclatement minimale nominale. ».</w:t>
      </w:r>
    </w:p>
    <w:p w14:paraId="30747555" w14:textId="77777777" w:rsidR="00052CAC" w:rsidRPr="007C4DC3" w:rsidRDefault="00052CAC" w:rsidP="00052CAC">
      <w:pPr>
        <w:pStyle w:val="SingleTxtG"/>
        <w:spacing w:line="276" w:lineRule="auto"/>
      </w:pPr>
      <w:r w:rsidRPr="007C4DC3">
        <w:rPr>
          <w:i/>
        </w:rPr>
        <w:t>Dans l’ensemble du texte du Règlement</w:t>
      </w:r>
      <w:r w:rsidRPr="007C4DC3">
        <w:t>, remplacer « essai en environnement acide » par « essai d’environnement » et supprimer les références à l’appendice H de l’annexe 3A.</w:t>
      </w:r>
    </w:p>
    <w:p w14:paraId="7EC61577" w14:textId="77777777" w:rsidR="00052CAC" w:rsidRPr="007C4DC3" w:rsidRDefault="00052CAC" w:rsidP="000D2B97">
      <w:pPr>
        <w:pStyle w:val="SingleTxtG"/>
        <w:keepNext/>
        <w:spacing w:line="276" w:lineRule="auto"/>
      </w:pPr>
      <w:r w:rsidRPr="007C4DC3">
        <w:rPr>
          <w:i/>
        </w:rPr>
        <w:t>Paragraphe A.16</w:t>
      </w:r>
      <w:r w:rsidRPr="007C4DC3">
        <w:t>, lire</w:t>
      </w:r>
      <w:r w:rsidR="000D2B97" w:rsidRPr="007C4DC3">
        <w:t> :</w:t>
      </w:r>
    </w:p>
    <w:p w14:paraId="10328366" w14:textId="77777777" w:rsidR="00052CAC" w:rsidRPr="007C4DC3" w:rsidRDefault="00052CAC" w:rsidP="007C4DC3">
      <w:pPr>
        <w:pStyle w:val="SingleTxtG"/>
        <w:keepNext/>
        <w:ind w:left="2268" w:hanging="1134"/>
      </w:pPr>
      <w:r w:rsidRPr="007C4DC3">
        <w:t>« A.16</w:t>
      </w:r>
      <w:r w:rsidRPr="007C4DC3">
        <w:tab/>
        <w:t>Essais de pénétration</w:t>
      </w:r>
    </w:p>
    <w:p w14:paraId="7CE79B9F" w14:textId="77777777" w:rsidR="00052CAC" w:rsidRPr="007C4DC3" w:rsidRDefault="00052CAC" w:rsidP="000D2B97">
      <w:pPr>
        <w:pStyle w:val="SingleTxtG"/>
        <w:ind w:left="2268"/>
      </w:pPr>
      <w:r w:rsidRPr="007C4DC3">
        <w:tab/>
        <w:t xml:space="preserve">Une bouteille mise sous pression à 20 MPa </w:t>
      </w:r>
      <w:r w:rsidRPr="007C4DC3">
        <w:sym w:font="Symbol" w:char="F0B1"/>
      </w:r>
      <w:r w:rsidRPr="007C4DC3">
        <w:t>1 MPa avec du gaz comprimé doit être pénétrée par une balle perforante ayant un diamètre de 7,62 mm ou plus. La balle doit complètement pénétrer au moins une des parois latérales de la bouteille. Pour les bouteilles de type GNC-1, le projectile doit atteindre la paroi latérale selon un angle de 90°. Pour les bouteilles de type GNC-2, GNC-3 et GNC-4, le projectile doit atteindre la paroi latérale selon un angle d’environ 45°. La bouteille ne doit comporter aucune trace de défaut dû à une fragmentation. La perte de petites pièces de matériau ne pesant pas plus de 45 g chacune ne doit pas constituer une cause d’échec à l’essai. La taille approximative des orifices d’entrée et de sortie ainsi que leur emplacement doivent être consignés. ».</w:t>
      </w:r>
    </w:p>
    <w:p w14:paraId="5C4A0C1C" w14:textId="77777777" w:rsidR="00052CAC" w:rsidRPr="007C4DC3" w:rsidRDefault="00052CAC" w:rsidP="000D2B97">
      <w:pPr>
        <w:pStyle w:val="SingleTxtG"/>
        <w:keepNext/>
        <w:spacing w:line="276" w:lineRule="auto"/>
      </w:pPr>
      <w:r w:rsidRPr="007C4DC3">
        <w:rPr>
          <w:i/>
        </w:rPr>
        <w:t>Paragraphe A.22</w:t>
      </w:r>
      <w:r w:rsidRPr="007C4DC3">
        <w:t>, lire</w:t>
      </w:r>
      <w:r w:rsidR="000D2B97" w:rsidRPr="007C4DC3">
        <w:t> :</w:t>
      </w:r>
    </w:p>
    <w:p w14:paraId="1FBF7700" w14:textId="77777777" w:rsidR="00052CAC" w:rsidRPr="007C4DC3" w:rsidRDefault="00052CAC" w:rsidP="007C4DC3">
      <w:pPr>
        <w:pStyle w:val="SingleTxtG"/>
        <w:keepNext/>
        <w:ind w:left="2268" w:hanging="1134"/>
      </w:pPr>
      <w:r w:rsidRPr="007C4DC3">
        <w:t>« A.22</w:t>
      </w:r>
      <w:r w:rsidRPr="007C4DC3">
        <w:tab/>
        <w:t>Propriétés en traction des plastiques</w:t>
      </w:r>
    </w:p>
    <w:p w14:paraId="0F44F2E6" w14:textId="77777777" w:rsidR="00052CAC" w:rsidRPr="007C4DC3" w:rsidRDefault="00052CAC" w:rsidP="000D2B97">
      <w:pPr>
        <w:pStyle w:val="SingleTxtG"/>
        <w:ind w:left="2268"/>
      </w:pPr>
      <w:r w:rsidRPr="007C4DC3">
        <w:tab/>
        <w:t>La limite apparente d’élasticité et l’allongement à la rupture du matériau des liners en plastique doivent être déterminés à -50 °C en appliquant la norme ISO 527-2 et doivent satisfaire aux prescriptions du paragraphe 6.3.6 de l’annexe 3A. ».</w:t>
      </w:r>
    </w:p>
    <w:p w14:paraId="6327285C" w14:textId="77777777" w:rsidR="00052CAC" w:rsidRPr="007C4DC3" w:rsidRDefault="00052CAC" w:rsidP="000D2B97">
      <w:pPr>
        <w:pStyle w:val="SingleTxtG"/>
        <w:keepNext/>
        <w:spacing w:line="276" w:lineRule="auto"/>
      </w:pPr>
      <w:r w:rsidRPr="007C4DC3">
        <w:rPr>
          <w:i/>
        </w:rPr>
        <w:t>Paragraphe A.23</w:t>
      </w:r>
      <w:r w:rsidRPr="007C4DC3">
        <w:t>, lire</w:t>
      </w:r>
      <w:r w:rsidR="000D2B97" w:rsidRPr="007C4DC3">
        <w:t> :</w:t>
      </w:r>
    </w:p>
    <w:p w14:paraId="70444436" w14:textId="77777777" w:rsidR="00052CAC" w:rsidRPr="007C4DC3" w:rsidRDefault="00052CAC" w:rsidP="007C4DC3">
      <w:pPr>
        <w:pStyle w:val="SingleTxtG"/>
        <w:keepNext/>
        <w:ind w:left="2268" w:hanging="1134"/>
      </w:pPr>
      <w:r w:rsidRPr="007C4DC3">
        <w:t>« A.23</w:t>
      </w:r>
      <w:r w:rsidRPr="007C4DC3">
        <w:tab/>
        <w:t>Température de ramollissement des plastiques</w:t>
      </w:r>
    </w:p>
    <w:p w14:paraId="05F9AFF3" w14:textId="77777777" w:rsidR="00052CAC" w:rsidRPr="007C4DC3" w:rsidRDefault="00052CAC" w:rsidP="000D2B97">
      <w:pPr>
        <w:pStyle w:val="SingleTxtG"/>
        <w:ind w:left="2268"/>
      </w:pPr>
      <w:r w:rsidRPr="007C4DC3">
        <w:tab/>
        <w:t>Les polymères provenant des liners finis doivent faire l’objet d’essais conformément à la méthode décrite dans la norme ISO 306. La température de ramollissement doit être d’au moins 100 °C. ».</w:t>
      </w:r>
    </w:p>
    <w:p w14:paraId="56DFB925" w14:textId="77777777" w:rsidR="00052CAC" w:rsidRPr="007C4DC3" w:rsidRDefault="00052CAC" w:rsidP="000D2B97">
      <w:pPr>
        <w:pStyle w:val="SingleTxtG"/>
        <w:keepNext/>
        <w:spacing w:line="276" w:lineRule="auto"/>
      </w:pPr>
      <w:r w:rsidRPr="007C4DC3">
        <w:rPr>
          <w:i/>
        </w:rPr>
        <w:t>Annexe 3A, Appendice F, paragraphe F.2.1, alinéa c</w:t>
      </w:r>
      <w:r w:rsidRPr="007C4DC3">
        <w:t>, lire</w:t>
      </w:r>
      <w:r w:rsidR="000D2B97" w:rsidRPr="007C4DC3">
        <w:t> :</w:t>
      </w:r>
    </w:p>
    <w:p w14:paraId="5FCE9F4D" w14:textId="77777777" w:rsidR="00052CAC" w:rsidRPr="007C4DC3" w:rsidRDefault="00052CAC" w:rsidP="000D2B97">
      <w:pPr>
        <w:pStyle w:val="SingleTxtG"/>
        <w:ind w:left="2835" w:hanging="567"/>
      </w:pPr>
      <w:r w:rsidRPr="007C4DC3">
        <w:t>« </w:t>
      </w:r>
      <w:proofErr w:type="gramStart"/>
      <w:r w:rsidRPr="007C4DC3">
        <w:t>c</w:t>
      </w:r>
      <w:proofErr w:type="gramEnd"/>
      <w:r w:rsidRPr="007C4DC3">
        <w:t>)</w:t>
      </w:r>
      <w:r w:rsidRPr="007C4DC3">
        <w:tab/>
        <w:t xml:space="preserve">La ténacité de la bouteille terminée ou du liner d’une bouteille terminée, déterminée à température ambiante pour l’aluminium et à </w:t>
      </w:r>
      <w:r w:rsidRPr="007C4DC3">
        <w:noBreakHyphen/>
        <w:t>40 °C pour l’acier, doit être établie en utilisant une technique d’essai normalisée (soit la norme ASTM 813-89, soit la norme BS 7448), conformément aux dispositions des paragraphes 8.4 et 8.5 de la norme BS PD 6493. ».</w:t>
      </w:r>
    </w:p>
    <w:p w14:paraId="14C2252B" w14:textId="77777777" w:rsidR="00052CAC" w:rsidRPr="007C4DC3" w:rsidRDefault="00052CAC" w:rsidP="00052CAC">
      <w:pPr>
        <w:pStyle w:val="SingleTxtG"/>
        <w:spacing w:line="276" w:lineRule="auto"/>
      </w:pPr>
      <w:r w:rsidRPr="007C4DC3">
        <w:rPr>
          <w:i/>
        </w:rPr>
        <w:t>Annexe 3A, Appendice H</w:t>
      </w:r>
      <w:r w:rsidRPr="007C4DC3">
        <w:t>, supprimer.</w:t>
      </w:r>
    </w:p>
    <w:p w14:paraId="77188E14" w14:textId="77777777" w:rsidR="00052CAC" w:rsidRPr="007C4DC3" w:rsidRDefault="00052CAC" w:rsidP="000D2B97">
      <w:pPr>
        <w:pStyle w:val="SingleTxtG"/>
        <w:keepNext/>
      </w:pPr>
      <w:r w:rsidRPr="007C4DC3">
        <w:rPr>
          <w:i/>
        </w:rPr>
        <w:t>Annexe 4F, paragraphe 2.2</w:t>
      </w:r>
      <w:r w:rsidRPr="007C4DC3">
        <w:t>, lire</w:t>
      </w:r>
      <w:r w:rsidR="000D2B97" w:rsidRPr="007C4DC3">
        <w:t> :</w:t>
      </w:r>
    </w:p>
    <w:p w14:paraId="040F7C99" w14:textId="77777777" w:rsidR="00052CAC" w:rsidRPr="007C4DC3" w:rsidRDefault="00052CAC" w:rsidP="00052CAC">
      <w:pPr>
        <w:pStyle w:val="SingleTxtG"/>
        <w:ind w:left="2268" w:hanging="1134"/>
      </w:pPr>
      <w:r w:rsidRPr="007C4DC3">
        <w:t>« 2.2</w:t>
      </w:r>
      <w:r w:rsidRPr="007C4DC3">
        <w:tab/>
        <w:t>Les embouts de remplissage GNC conçus conformément à la norme ISO 14469 et répondant à toutes les prescriptions y figurant, sont réputés satisfaire aux prescriptions des paragraphes 3 et 4 de la présente annexe. ».</w:t>
      </w:r>
    </w:p>
    <w:p w14:paraId="612B9946" w14:textId="77777777" w:rsidR="00052CAC" w:rsidRPr="007C4DC3" w:rsidRDefault="00052CAC" w:rsidP="000D2B97">
      <w:pPr>
        <w:pStyle w:val="SingleTxtG"/>
        <w:keepNext/>
      </w:pPr>
      <w:r w:rsidRPr="007C4DC3">
        <w:rPr>
          <w:i/>
        </w:rPr>
        <w:lastRenderedPageBreak/>
        <w:t>Annexe 4J, paragraphe 3.1.5</w:t>
      </w:r>
      <w:r w:rsidRPr="007C4DC3">
        <w:t>, lire</w:t>
      </w:r>
      <w:r w:rsidR="000D2B97" w:rsidRPr="007C4DC3">
        <w:t> :</w:t>
      </w:r>
    </w:p>
    <w:p w14:paraId="60A40C43" w14:textId="77777777" w:rsidR="00052CAC" w:rsidRPr="0088380F" w:rsidRDefault="00052CAC" w:rsidP="00052CAC">
      <w:pPr>
        <w:pStyle w:val="SingleTxtG"/>
        <w:ind w:left="2268" w:hanging="1134"/>
      </w:pPr>
      <w:r w:rsidRPr="007C4DC3">
        <w:t>« 3.1.5</w:t>
      </w:r>
      <w:r w:rsidRPr="007C4DC3">
        <w:tab/>
        <w:t>Le réceptacle de remplissage GNL doit être fabriqué dans un matériau qui ne produit pas d’étincelles et doit satisfaire aux essais de la norme ISO 14469 concernant l’inflammabilité. ».</w:t>
      </w:r>
    </w:p>
    <w:p w14:paraId="10774D85" w14:textId="77777777" w:rsidR="005F0207" w:rsidRPr="007C4DC3" w:rsidRDefault="00052CAC" w:rsidP="00052CAC">
      <w:pPr>
        <w:pStyle w:val="SingleTxtG"/>
        <w:spacing w:before="240" w:after="0"/>
        <w:jc w:val="center"/>
        <w:rPr>
          <w:u w:val="single"/>
        </w:rPr>
      </w:pPr>
      <w:r w:rsidRPr="007C4DC3">
        <w:rPr>
          <w:u w:val="single"/>
        </w:rPr>
        <w:tab/>
      </w:r>
      <w:r w:rsidRPr="007C4DC3">
        <w:rPr>
          <w:u w:val="single"/>
        </w:rPr>
        <w:tab/>
      </w:r>
      <w:r w:rsidRPr="007C4DC3">
        <w:rPr>
          <w:u w:val="single"/>
        </w:rPr>
        <w:tab/>
      </w:r>
    </w:p>
    <w:sectPr w:rsidR="005F0207" w:rsidRPr="007C4DC3" w:rsidSect="00F3294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AE79" w14:textId="77777777" w:rsidR="000D2B97" w:rsidRDefault="000D2B97"/>
  </w:endnote>
  <w:endnote w:type="continuationSeparator" w:id="0">
    <w:p w14:paraId="6E156CE6" w14:textId="77777777" w:rsidR="000D2B97" w:rsidRDefault="000D2B97">
      <w:pPr>
        <w:pStyle w:val="Footer"/>
      </w:pPr>
    </w:p>
  </w:endnote>
  <w:endnote w:type="continuationNotice" w:id="1">
    <w:p w14:paraId="5946FABE" w14:textId="77777777" w:rsidR="000D2B97" w:rsidRPr="00C451B9" w:rsidRDefault="000D2B9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7BB3" w14:textId="77777777" w:rsidR="000D2B97" w:rsidRPr="00F3294A" w:rsidRDefault="000D2B97" w:rsidP="00F3294A">
    <w:pPr>
      <w:pStyle w:val="Footer"/>
      <w:tabs>
        <w:tab w:val="right" w:pos="9638"/>
      </w:tabs>
    </w:pPr>
    <w:r w:rsidRPr="00F3294A">
      <w:rPr>
        <w:b/>
        <w:sz w:val="18"/>
      </w:rPr>
      <w:fldChar w:fldCharType="begin"/>
    </w:r>
    <w:r w:rsidRPr="00F3294A">
      <w:rPr>
        <w:b/>
        <w:sz w:val="18"/>
      </w:rPr>
      <w:instrText xml:space="preserve"> PAGE  \* MERGEFORMAT </w:instrText>
    </w:r>
    <w:r w:rsidRPr="00F3294A">
      <w:rPr>
        <w:b/>
        <w:sz w:val="18"/>
      </w:rPr>
      <w:fldChar w:fldCharType="separate"/>
    </w:r>
    <w:r w:rsidRPr="00F3294A">
      <w:rPr>
        <w:b/>
        <w:noProof/>
        <w:sz w:val="18"/>
      </w:rPr>
      <w:t>2</w:t>
    </w:r>
    <w:r w:rsidRPr="00F3294A">
      <w:rPr>
        <w:b/>
        <w:sz w:val="18"/>
      </w:rPr>
      <w:fldChar w:fldCharType="end"/>
    </w:r>
    <w:r>
      <w:rPr>
        <w:b/>
        <w:sz w:val="18"/>
      </w:rPr>
      <w:tab/>
    </w:r>
    <w:r>
      <w:t>GE.18-18502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3706" w14:textId="77777777" w:rsidR="000D2B97" w:rsidRPr="00F3294A" w:rsidRDefault="000D2B97" w:rsidP="00F3294A">
    <w:pPr>
      <w:pStyle w:val="Footer"/>
      <w:tabs>
        <w:tab w:val="right" w:pos="9638"/>
      </w:tabs>
      <w:rPr>
        <w:b/>
        <w:sz w:val="18"/>
      </w:rPr>
    </w:pPr>
    <w:r>
      <w:t>GE.18-18502</w:t>
    </w:r>
    <w:r>
      <w:tab/>
    </w:r>
    <w:r w:rsidRPr="00F3294A">
      <w:rPr>
        <w:b/>
        <w:sz w:val="18"/>
      </w:rPr>
      <w:fldChar w:fldCharType="begin"/>
    </w:r>
    <w:r w:rsidRPr="00F3294A">
      <w:rPr>
        <w:b/>
        <w:sz w:val="18"/>
      </w:rPr>
      <w:instrText xml:space="preserve"> PAGE  \* MERGEFORMAT </w:instrText>
    </w:r>
    <w:r w:rsidRPr="00F3294A">
      <w:rPr>
        <w:b/>
        <w:sz w:val="18"/>
      </w:rPr>
      <w:fldChar w:fldCharType="separate"/>
    </w:r>
    <w:r w:rsidRPr="00F3294A">
      <w:rPr>
        <w:b/>
        <w:noProof/>
        <w:sz w:val="18"/>
      </w:rPr>
      <w:t>3</w:t>
    </w:r>
    <w:r w:rsidRPr="00F329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9F87" w14:textId="77777777" w:rsidR="000D2B97" w:rsidRPr="00F3294A" w:rsidRDefault="000D2B97" w:rsidP="00F3294A">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1" wp14:anchorId="33F71839" wp14:editId="29690B1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18502  (</w:t>
    </w:r>
    <w:proofErr w:type="gramEnd"/>
    <w:r>
      <w:rPr>
        <w:sz w:val="20"/>
      </w:rPr>
      <w:t>F)    200519    200519</w:t>
    </w:r>
    <w:r>
      <w:rPr>
        <w:sz w:val="20"/>
      </w:rPr>
      <w:br/>
    </w:r>
    <w:r w:rsidRPr="00F3294A">
      <w:rPr>
        <w:rFonts w:ascii="C39T30Lfz" w:hAnsi="C39T30Lfz"/>
        <w:sz w:val="56"/>
      </w:rPr>
      <w:t></w:t>
    </w:r>
    <w:r w:rsidRPr="00F3294A">
      <w:rPr>
        <w:rFonts w:ascii="C39T30Lfz" w:hAnsi="C39T30Lfz"/>
        <w:sz w:val="56"/>
      </w:rPr>
      <w:t></w:t>
    </w:r>
    <w:r w:rsidRPr="00F3294A">
      <w:rPr>
        <w:rFonts w:ascii="C39T30Lfz" w:hAnsi="C39T30Lfz"/>
        <w:sz w:val="56"/>
      </w:rPr>
      <w:t></w:t>
    </w:r>
    <w:r w:rsidRPr="00F3294A">
      <w:rPr>
        <w:rFonts w:ascii="C39T30Lfz" w:hAnsi="C39T30Lfz"/>
        <w:sz w:val="56"/>
      </w:rPr>
      <w:t></w:t>
    </w:r>
    <w:r w:rsidRPr="00F3294A">
      <w:rPr>
        <w:rFonts w:ascii="C39T30Lfz" w:hAnsi="C39T30Lfz"/>
        <w:sz w:val="56"/>
      </w:rPr>
      <w:t></w:t>
    </w:r>
    <w:r w:rsidRPr="00F3294A">
      <w:rPr>
        <w:rFonts w:ascii="C39T30Lfz" w:hAnsi="C39T30Lfz"/>
        <w:sz w:val="56"/>
      </w:rPr>
      <w:t></w:t>
    </w:r>
    <w:r w:rsidRPr="00F3294A">
      <w:rPr>
        <w:rFonts w:ascii="C39T30Lfz" w:hAnsi="C39T30Lfz"/>
        <w:sz w:val="56"/>
      </w:rPr>
      <w:t></w:t>
    </w:r>
    <w:r w:rsidRPr="00F3294A">
      <w:rPr>
        <w:rFonts w:ascii="C39T30Lfz" w:hAnsi="C39T30Lfz"/>
        <w:sz w:val="56"/>
      </w:rPr>
      <w:t></w:t>
    </w:r>
    <w:r w:rsidRPr="00F3294A">
      <w:rPr>
        <w:rFonts w:ascii="C39T30Lfz" w:hAnsi="C39T30Lfz"/>
        <w:sz w:val="56"/>
      </w:rPr>
      <w:t></w:t>
    </w:r>
    <w:r>
      <w:rPr>
        <w:noProof/>
        <w:sz w:val="20"/>
      </w:rPr>
      <w:drawing>
        <wp:anchor distT="0" distB="0" distL="114300" distR="114300" simplePos="0" relativeHeight="251658240" behindDoc="0" locked="0" layoutInCell="1" allowOverlap="1" wp14:anchorId="3DDB36AA" wp14:editId="1DCCF246">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9/Rev.4/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9/Rev.4/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ACF0" w14:textId="77777777" w:rsidR="000D2B97" w:rsidRPr="00D27D5E" w:rsidRDefault="000D2B97" w:rsidP="00D27D5E">
      <w:pPr>
        <w:tabs>
          <w:tab w:val="right" w:pos="2155"/>
        </w:tabs>
        <w:spacing w:after="80"/>
        <w:ind w:left="680"/>
        <w:rPr>
          <w:u w:val="single"/>
        </w:rPr>
      </w:pPr>
      <w:r>
        <w:rPr>
          <w:u w:val="single"/>
        </w:rPr>
        <w:tab/>
      </w:r>
    </w:p>
  </w:footnote>
  <w:footnote w:type="continuationSeparator" w:id="0">
    <w:p w14:paraId="266CDF7E" w14:textId="77777777" w:rsidR="000D2B97" w:rsidRPr="00D171D4" w:rsidRDefault="000D2B97" w:rsidP="00D171D4">
      <w:pPr>
        <w:tabs>
          <w:tab w:val="right" w:pos="2155"/>
        </w:tabs>
        <w:spacing w:after="80"/>
        <w:ind w:left="680"/>
        <w:rPr>
          <w:u w:val="single"/>
        </w:rPr>
      </w:pPr>
      <w:r w:rsidRPr="00D171D4">
        <w:rPr>
          <w:u w:val="single"/>
        </w:rPr>
        <w:tab/>
      </w:r>
    </w:p>
  </w:footnote>
  <w:footnote w:type="continuationNotice" w:id="1">
    <w:p w14:paraId="17C227C3" w14:textId="77777777" w:rsidR="000D2B97" w:rsidRPr="00C451B9" w:rsidRDefault="000D2B97" w:rsidP="00C451B9">
      <w:pPr>
        <w:spacing w:line="240" w:lineRule="auto"/>
        <w:rPr>
          <w:sz w:val="2"/>
          <w:szCs w:val="2"/>
        </w:rPr>
      </w:pPr>
    </w:p>
  </w:footnote>
  <w:footnote w:id="2">
    <w:p w14:paraId="5A772B17" w14:textId="77777777" w:rsidR="000D2B97" w:rsidRPr="007C4DC3" w:rsidRDefault="000D2B97" w:rsidP="00591072">
      <w:pPr>
        <w:pStyle w:val="FootnoteText"/>
      </w:pPr>
      <w:r w:rsidRPr="007C4DC3">
        <w:rPr>
          <w:rStyle w:val="FootnoteReference"/>
        </w:rPr>
        <w:tab/>
      </w:r>
      <w:r w:rsidRPr="007C4DC3">
        <w:rPr>
          <w:rStyle w:val="FootnoteReference"/>
          <w:sz w:val="20"/>
          <w:vertAlign w:val="baseline"/>
        </w:rPr>
        <w:t>*</w:t>
      </w:r>
      <w:r w:rsidRPr="007C4DC3">
        <w:rPr>
          <w:rStyle w:val="FootnoteReference"/>
          <w:sz w:val="20"/>
          <w:vertAlign w:val="baseline"/>
        </w:rPr>
        <w:tab/>
      </w:r>
      <w:r w:rsidRPr="007C4DC3">
        <w:t xml:space="preserve">Anciens titres de </w:t>
      </w:r>
      <w:proofErr w:type="gramStart"/>
      <w:r w:rsidRPr="007C4DC3">
        <w:t>l’Accord  :</w:t>
      </w:r>
      <w:proofErr w:type="gramEnd"/>
    </w:p>
    <w:p w14:paraId="28BCEC05" w14:textId="77777777" w:rsidR="000D2B97" w:rsidRPr="007C4DC3" w:rsidRDefault="000D2B97" w:rsidP="00591072">
      <w:pPr>
        <w:pStyle w:val="FootnoteText"/>
      </w:pPr>
      <w:r w:rsidRPr="007C4DC3">
        <w:tab/>
      </w:r>
      <w:r w:rsidRPr="007C4DC3">
        <w:tab/>
        <w:t xml:space="preserve">Accord concernant l’adoption de conditions uniformes d’homologation et la reconnaissance réciproque de l’homologation des équipements et pièces de véhicules à moteur, en date, à Genève, du 20 mars 1958 (version </w:t>
      </w:r>
      <w:proofErr w:type="gramStart"/>
      <w:r w:rsidRPr="007C4DC3">
        <w:t>originale)  ;</w:t>
      </w:r>
      <w:proofErr w:type="gramEnd"/>
    </w:p>
    <w:p w14:paraId="72B74D69" w14:textId="77777777" w:rsidR="000D2B97" w:rsidRPr="007C4DC3" w:rsidRDefault="000D2B97">
      <w:pPr>
        <w:pStyle w:val="FootnoteText"/>
      </w:pPr>
      <w:r w:rsidRPr="007C4DC3">
        <w:tab/>
      </w:r>
      <w:r w:rsidRPr="007C4DC3">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7D21ADED" w14:textId="77777777" w:rsidR="000D2B97" w:rsidRPr="007C4DC3" w:rsidRDefault="000D2B97" w:rsidP="00052CAC">
      <w:pPr>
        <w:pStyle w:val="FootnoteText"/>
      </w:pPr>
      <w:r w:rsidRPr="007C4DC3">
        <w:tab/>
      </w:r>
      <w:r w:rsidRPr="007C4DC3">
        <w:rPr>
          <w:rStyle w:val="FootnoteReference"/>
        </w:rPr>
        <w:footnoteRef/>
      </w:r>
      <w:r w:rsidRPr="007C4DC3">
        <w:tab/>
        <w:t xml:space="preserve">American Society for </w:t>
      </w:r>
      <w:proofErr w:type="spellStart"/>
      <w:r w:rsidRPr="007C4DC3">
        <w:t>Testing</w:t>
      </w:r>
      <w:proofErr w:type="spellEnd"/>
      <w:r w:rsidRPr="007C4DC3">
        <w:t xml:space="preserve"> and Materials.</w:t>
      </w:r>
    </w:p>
  </w:footnote>
  <w:footnote w:id="4">
    <w:p w14:paraId="101A55CF" w14:textId="77777777" w:rsidR="000D2B97" w:rsidRPr="007C4DC3" w:rsidRDefault="000D2B97" w:rsidP="00052CAC">
      <w:pPr>
        <w:pStyle w:val="FootnoteText"/>
      </w:pPr>
      <w:r w:rsidRPr="007C4DC3">
        <w:tab/>
      </w:r>
      <w:r w:rsidRPr="007C4DC3">
        <w:rPr>
          <w:rStyle w:val="FootnoteReference"/>
        </w:rPr>
        <w:footnoteRef/>
      </w:r>
      <w:r w:rsidRPr="007C4DC3">
        <w:tab/>
        <w:t>British Standards Institution (Institut britannique des normes).</w:t>
      </w:r>
    </w:p>
  </w:footnote>
  <w:footnote w:id="5">
    <w:p w14:paraId="5D5AB1A7" w14:textId="77777777" w:rsidR="000D2B97" w:rsidRPr="007C4DC3" w:rsidRDefault="000D2B97" w:rsidP="00052CAC">
      <w:pPr>
        <w:pStyle w:val="FootnoteText"/>
      </w:pPr>
      <w:r w:rsidRPr="007C4DC3">
        <w:tab/>
      </w:r>
      <w:r w:rsidRPr="007C4DC3">
        <w:rPr>
          <w:rStyle w:val="FootnoteReference"/>
        </w:rPr>
        <w:footnoteRef/>
      </w:r>
      <w:r w:rsidRPr="007C4DC3">
        <w:tab/>
      </w:r>
      <w:proofErr w:type="spellStart"/>
      <w:r w:rsidRPr="007C4DC3">
        <w:t>European</w:t>
      </w:r>
      <w:proofErr w:type="spellEnd"/>
      <w:r w:rsidRPr="007C4DC3">
        <w:t xml:space="preserve"> </w:t>
      </w:r>
      <w:proofErr w:type="spellStart"/>
      <w:r w:rsidRPr="007C4DC3">
        <w:t>Norm</w:t>
      </w:r>
      <w:proofErr w:type="spellEnd"/>
      <w:r w:rsidRPr="007C4DC3">
        <w:t xml:space="preserve"> (norme européenne).</w:t>
      </w:r>
    </w:p>
  </w:footnote>
  <w:footnote w:id="6">
    <w:p w14:paraId="7B5E2A22" w14:textId="77777777" w:rsidR="000D2B97" w:rsidRPr="007C4DC3" w:rsidRDefault="000D2B97" w:rsidP="00052CAC">
      <w:pPr>
        <w:pStyle w:val="FootnoteText"/>
      </w:pPr>
      <w:r w:rsidRPr="007C4DC3">
        <w:tab/>
      </w:r>
      <w:r w:rsidRPr="007C4DC3">
        <w:rPr>
          <w:rStyle w:val="FootnoteReference"/>
        </w:rPr>
        <w:footnoteRef/>
      </w:r>
      <w:r w:rsidRPr="007C4DC3">
        <w:tab/>
        <w:t xml:space="preserve">International </w:t>
      </w:r>
      <w:proofErr w:type="spellStart"/>
      <w:r w:rsidRPr="007C4DC3">
        <w:t>Organization</w:t>
      </w:r>
      <w:proofErr w:type="spellEnd"/>
      <w:r w:rsidRPr="007C4DC3">
        <w:t xml:space="preserve"> for </w:t>
      </w:r>
      <w:proofErr w:type="spellStart"/>
      <w:r w:rsidRPr="007C4DC3">
        <w:t>Standardization</w:t>
      </w:r>
      <w:proofErr w:type="spellEnd"/>
      <w:r w:rsidRPr="007C4DC3">
        <w:t xml:space="preserve"> (Organisation internationale de normalisation).</w:t>
      </w:r>
    </w:p>
  </w:footnote>
  <w:footnote w:id="7">
    <w:p w14:paraId="66834BB7" w14:textId="77777777" w:rsidR="000D2B97" w:rsidRPr="007C4DC3" w:rsidRDefault="000D2B97" w:rsidP="00052CAC">
      <w:pPr>
        <w:pStyle w:val="FootnoteText"/>
      </w:pPr>
      <w:r w:rsidRPr="007C4DC3">
        <w:tab/>
      </w:r>
      <w:r w:rsidRPr="007C4DC3">
        <w:rPr>
          <w:rStyle w:val="FootnoteReference"/>
        </w:rPr>
        <w:footnoteRef/>
      </w:r>
      <w:r w:rsidRPr="007C4DC3">
        <w:tab/>
        <w:t xml:space="preserve">National Association of Corrosion </w:t>
      </w:r>
      <w:proofErr w:type="spellStart"/>
      <w:r w:rsidRPr="007C4DC3">
        <w:t>Engineers</w:t>
      </w:r>
      <w:proofErr w:type="spellEnd"/>
      <w:r w:rsidRPr="007C4DC3">
        <w:t>.</w:t>
      </w:r>
    </w:p>
  </w:footnote>
  <w:footnote w:id="8">
    <w:p w14:paraId="55FCA4F0" w14:textId="77777777" w:rsidR="000D2B97" w:rsidRPr="007C4DC3" w:rsidRDefault="000D2B97" w:rsidP="00052CAC">
      <w:pPr>
        <w:pStyle w:val="FootnoteText"/>
      </w:pPr>
      <w:r w:rsidRPr="007C4DC3">
        <w:tab/>
      </w:r>
      <w:r w:rsidRPr="007C4DC3">
        <w:rPr>
          <w:rStyle w:val="FootnoteReference"/>
        </w:rPr>
        <w:footnoteRef/>
      </w:r>
      <w:r w:rsidRPr="007C4DC3">
        <w:tab/>
        <w:t>Règlements de la Commission économique pour l’Europe.</w:t>
      </w:r>
    </w:p>
  </w:footnote>
  <w:footnote w:id="9">
    <w:p w14:paraId="585075E2" w14:textId="77777777" w:rsidR="000D2B97" w:rsidRPr="007C4DC3" w:rsidRDefault="000D2B97" w:rsidP="00052CAC">
      <w:pPr>
        <w:pStyle w:val="FootnoteText"/>
      </w:pPr>
      <w:r w:rsidRPr="007C4DC3">
        <w:tab/>
      </w:r>
      <w:r w:rsidRPr="007C4DC3">
        <w:rPr>
          <w:rStyle w:val="FootnoteReference"/>
        </w:rPr>
        <w:footnoteRef/>
      </w:r>
      <w:r w:rsidRPr="007C4DC3">
        <w:tab/>
        <w:t xml:space="preserve">Recueil des Règlements fédéraux (Code of </w:t>
      </w:r>
      <w:proofErr w:type="spellStart"/>
      <w:r w:rsidRPr="007C4DC3">
        <w:t>Federal</w:t>
      </w:r>
      <w:proofErr w:type="spellEnd"/>
      <w:r w:rsidRPr="007C4DC3">
        <w:t xml:space="preserve"> </w:t>
      </w:r>
      <w:proofErr w:type="spellStart"/>
      <w:r w:rsidRPr="007C4DC3">
        <w:t>Regulations</w:t>
      </w:r>
      <w:proofErr w:type="spellEnd"/>
      <w:r w:rsidRPr="007C4DC3">
        <w:t>).</w:t>
      </w:r>
    </w:p>
  </w:footnote>
  <w:footnote w:id="10">
    <w:p w14:paraId="21C7521E" w14:textId="77777777" w:rsidR="000D2B97" w:rsidRPr="007C4DC3" w:rsidRDefault="000D2B97" w:rsidP="00052CAC">
      <w:pPr>
        <w:pStyle w:val="FootnoteText"/>
      </w:pPr>
      <w:r w:rsidRPr="007C4DC3">
        <w:tab/>
      </w:r>
      <w:r w:rsidRPr="007C4DC3">
        <w:rPr>
          <w:rStyle w:val="FootnoteReference"/>
        </w:rPr>
        <w:footnoteRef/>
      </w:r>
      <w:r w:rsidRPr="007C4DC3">
        <w:tab/>
        <w:t xml:space="preserve">Society of Automotive </w:t>
      </w:r>
      <w:proofErr w:type="spellStart"/>
      <w:r w:rsidRPr="007C4DC3">
        <w:t>Engineers</w:t>
      </w:r>
      <w:proofErr w:type="spellEnd"/>
      <w:r w:rsidRPr="007C4D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1FF3" w14:textId="16DDE7B2" w:rsidR="000D2B97" w:rsidRPr="00F3294A" w:rsidRDefault="00CF245F">
    <w:pPr>
      <w:pStyle w:val="Header"/>
    </w:pPr>
    <w:r>
      <w:fldChar w:fldCharType="begin"/>
    </w:r>
    <w:r>
      <w:instrText xml:space="preserve"> TITLE  \* MERGEFORMAT </w:instrText>
    </w:r>
    <w:r>
      <w:fldChar w:fldCharType="separate"/>
    </w:r>
    <w:r>
      <w:t>E/ECE/324/Rev.2/Add.109/Rev.4/Amend.2</w:t>
    </w:r>
    <w:r>
      <w:fldChar w:fldCharType="end"/>
    </w:r>
    <w:r w:rsidR="000D2B97">
      <w:br/>
    </w:r>
    <w:r>
      <w:fldChar w:fldCharType="begin"/>
    </w:r>
    <w:r>
      <w:instrText xml:space="preserve"> KEYWORDS  \* MERGEFORMAT </w:instrText>
    </w:r>
    <w:r>
      <w:fldChar w:fldCharType="separate"/>
    </w:r>
    <w:r>
      <w:t>E/ECE/TRANS/505/Rev.2/Add.109/Rev.4/Amend.2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5233" w14:textId="67A20349" w:rsidR="000D2B97" w:rsidRPr="00F3294A" w:rsidRDefault="00CF245F" w:rsidP="00F3294A">
    <w:pPr>
      <w:pStyle w:val="Header"/>
      <w:jc w:val="right"/>
    </w:pPr>
    <w:r>
      <w:fldChar w:fldCharType="begin"/>
    </w:r>
    <w:r>
      <w:instrText xml:space="preserve"> TITLE  \* MERGEFORMAT </w:instrText>
    </w:r>
    <w:r>
      <w:fldChar w:fldCharType="separate"/>
    </w:r>
    <w:r>
      <w:t>E/ECE/324/Rev.2/Add.109/Rev.4/Amend.2</w:t>
    </w:r>
    <w:r>
      <w:fldChar w:fldCharType="end"/>
    </w:r>
    <w:r w:rsidR="000D2B97">
      <w:br/>
    </w:r>
    <w:r>
      <w:fldChar w:fldCharType="begin"/>
    </w:r>
    <w:r>
      <w:instrText xml:space="preserve"> KEYWORDS  \* MERGEFORMAT </w:instrText>
    </w:r>
    <w:r>
      <w:fldChar w:fldCharType="separate"/>
    </w:r>
    <w:r>
      <w:t>E/ECE/TRANS/505/Rev.2/Add.109/Rev.4/Amend.2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F"/>
    <w:rsid w:val="0000422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2CAC"/>
    <w:rsid w:val="0005346D"/>
    <w:rsid w:val="00055FE4"/>
    <w:rsid w:val="000641CE"/>
    <w:rsid w:val="00067310"/>
    <w:rsid w:val="00077E35"/>
    <w:rsid w:val="0008669E"/>
    <w:rsid w:val="00090599"/>
    <w:rsid w:val="000A1501"/>
    <w:rsid w:val="000A2494"/>
    <w:rsid w:val="000A6B7E"/>
    <w:rsid w:val="000B20D3"/>
    <w:rsid w:val="000B68EC"/>
    <w:rsid w:val="000C6CDB"/>
    <w:rsid w:val="000D2B97"/>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0959"/>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B65B4"/>
    <w:rsid w:val="004C54C0"/>
    <w:rsid w:val="004C56B2"/>
    <w:rsid w:val="004C6F4A"/>
    <w:rsid w:val="004D00B2"/>
    <w:rsid w:val="004E3182"/>
    <w:rsid w:val="004E4963"/>
    <w:rsid w:val="004E6809"/>
    <w:rsid w:val="004E7F24"/>
    <w:rsid w:val="005071BA"/>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1CDD"/>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102A"/>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C4DC3"/>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380F"/>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39FC"/>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7617F"/>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37FF"/>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D2C93"/>
    <w:rsid w:val="00CE033D"/>
    <w:rsid w:val="00CE08E5"/>
    <w:rsid w:val="00CF245F"/>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94A"/>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6F2E7AD"/>
  <w15:docId w15:val="{B07DA789-CA94-405F-A0A9-F2ABEF52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052CAC"/>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15988</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E/ECE/324/Rev.2/Add.109/Rev.4/Amend.2</vt:lpstr>
      <vt:lpstr>E/ECE/324/Rev.2/Add.109/Rev.4/Amend.2</vt:lpstr>
    </vt:vector>
  </TitlesOfParts>
  <Company>CSD</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E/ECE/324/Rev.2/Add.109/Rev.4/Amend.2</dc:title>
  <dc:creator>Nicolas MORIN</dc:creator>
  <cp:keywords>E/ECE/TRANS/505/Rev.2/Add.109/Rev.4/Amend.2</cp:keywords>
  <cp:lastModifiedBy>Marie-Claude Collet</cp:lastModifiedBy>
  <cp:revision>3</cp:revision>
  <cp:lastPrinted>2019-05-27T12:37:00Z</cp:lastPrinted>
  <dcterms:created xsi:type="dcterms:W3CDTF">2019-05-27T12:37:00Z</dcterms:created>
  <dcterms:modified xsi:type="dcterms:W3CDTF">2019-05-27T12:38:00Z</dcterms:modified>
</cp:coreProperties>
</file>