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8E433D" w:rsidRPr="007C3B8F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433D" w:rsidRPr="008E433D" w:rsidRDefault="008E433D" w:rsidP="008E433D">
            <w:pPr>
              <w:jc w:val="right"/>
              <w:rPr>
                <w:lang w:val="en-GB"/>
              </w:rPr>
            </w:pPr>
            <w:r w:rsidRPr="008E433D">
              <w:rPr>
                <w:sz w:val="40"/>
                <w:lang w:val="en-GB"/>
              </w:rPr>
              <w:t>E</w:t>
            </w:r>
            <w:r w:rsidRPr="008E433D">
              <w:rPr>
                <w:lang w:val="en-GB"/>
              </w:rPr>
              <w:t>/ECE/324/Rev.2/Add.109/Rev.3/Amend.1/Corr.1−</w:t>
            </w:r>
            <w:r w:rsidRPr="008E433D">
              <w:rPr>
                <w:sz w:val="40"/>
                <w:lang w:val="en-GB"/>
              </w:rPr>
              <w:t>E</w:t>
            </w:r>
            <w:r w:rsidRPr="008E433D">
              <w:rPr>
                <w:lang w:val="en-GB"/>
              </w:rPr>
              <w:t>/ECE/TRANS/505/Rev.2/Add.109/Rev.3/Amend.1/Corr.1</w:t>
            </w:r>
          </w:p>
        </w:tc>
      </w:tr>
      <w:tr w:rsidR="00421A10" w:rsidRPr="00DB58B5" w:rsidTr="008E433D">
        <w:trPr>
          <w:trHeight w:hRule="exact" w:val="1492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E433D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E26D8C" w:rsidRDefault="008E433D" w:rsidP="008E433D">
            <w:pPr>
              <w:kinsoku/>
              <w:overflowPunct/>
              <w:autoSpaceDE/>
              <w:autoSpaceDN/>
              <w:adjustRightInd/>
              <w:snapToGrid/>
              <w:spacing w:before="240"/>
              <w:rPr>
                <w:rFonts w:eastAsia="Times New Roman"/>
              </w:rPr>
            </w:pPr>
            <w:r w:rsidRPr="00E26D8C">
              <w:rPr>
                <w:rFonts w:eastAsia="Times New Roman"/>
              </w:rPr>
              <w:t>20</w:t>
            </w:r>
            <w:r w:rsidR="00536077" w:rsidRPr="00E26D8C">
              <w:rPr>
                <w:rFonts w:eastAsia="Times New Roman"/>
              </w:rPr>
              <w:t xml:space="preserve"> </w:t>
            </w:r>
            <w:r w:rsidRPr="00E26D8C">
              <w:rPr>
                <w:rFonts w:eastAsia="Times New Roman"/>
              </w:rPr>
              <w:t>ju</w:t>
            </w:r>
            <w:r w:rsidR="007C3B8F">
              <w:rPr>
                <w:rFonts w:eastAsia="Times New Roman"/>
              </w:rPr>
              <w:t>in</w:t>
            </w:r>
            <w:r w:rsidR="00536077" w:rsidRPr="00E26D8C">
              <w:rPr>
                <w:rFonts w:eastAsia="Times New Roman"/>
              </w:rPr>
              <w:t xml:space="preserve"> 201</w:t>
            </w:r>
            <w:r w:rsidRPr="00E26D8C">
              <w:rPr>
                <w:rFonts w:eastAsia="Times New Roman"/>
              </w:rPr>
              <w:t>9</w:t>
            </w:r>
          </w:p>
          <w:p w:rsidR="00536077" w:rsidRDefault="00536077" w:rsidP="00536077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</w:pPr>
          </w:p>
          <w:p w:rsidR="00536077" w:rsidRPr="00DB58B5" w:rsidRDefault="00536077" w:rsidP="00536077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</w:pPr>
            <w:r>
              <w:t>Anglais et français seulement</w:t>
            </w:r>
          </w:p>
        </w:tc>
      </w:tr>
    </w:tbl>
    <w:p w:rsidR="008E433D" w:rsidRPr="006549FF" w:rsidRDefault="008E433D" w:rsidP="008E433D">
      <w:pPr>
        <w:pStyle w:val="HChG"/>
        <w:spacing w:before="240" w:after="200"/>
      </w:pPr>
      <w:r>
        <w:tab/>
      </w:r>
      <w:r>
        <w:tab/>
      </w:r>
      <w:r w:rsidRPr="006549FF">
        <w:t>Accord</w:t>
      </w:r>
    </w:p>
    <w:p w:rsidR="008E433D" w:rsidRPr="00583D68" w:rsidRDefault="008E433D" w:rsidP="008E433D">
      <w:pPr>
        <w:pStyle w:val="H1G"/>
        <w:spacing w:before="160" w:after="160"/>
      </w:pPr>
      <w:r>
        <w:tab/>
      </w:r>
      <w:r>
        <w:tab/>
      </w:r>
      <w:r w:rsidRPr="00583D68">
        <w:t xml:space="preserve">Concernant l’adoption </w:t>
      </w:r>
      <w:r w:rsidRPr="00CE35C7">
        <w:rPr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Pr="00E022E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E433D" w:rsidRPr="00A12483" w:rsidRDefault="008E433D" w:rsidP="008E433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Pr="00E871D7">
        <w:rPr>
          <w:lang w:val="fr-FR"/>
        </w:rPr>
        <w:t>3, comprenant les amendem</w:t>
      </w:r>
      <w:r>
        <w:rPr>
          <w:lang w:val="fr-FR"/>
        </w:rPr>
        <w:t>ents entrés en vigueur le 14 </w:t>
      </w:r>
      <w:r w:rsidRPr="00E871D7">
        <w:rPr>
          <w:lang w:val="fr-FR"/>
        </w:rPr>
        <w:t>septembre 2017)</w:t>
      </w:r>
    </w:p>
    <w:p w:rsidR="008E433D" w:rsidRPr="006549FF" w:rsidRDefault="008E433D" w:rsidP="008E433D">
      <w:pPr>
        <w:jc w:val="center"/>
      </w:pPr>
      <w:r>
        <w:t>_______________</w:t>
      </w:r>
    </w:p>
    <w:p w:rsidR="008E433D" w:rsidRPr="006549FF" w:rsidRDefault="008E433D" w:rsidP="008E433D">
      <w:pPr>
        <w:pStyle w:val="H1G"/>
        <w:spacing w:before="280" w:after="180"/>
      </w:pPr>
      <w:r>
        <w:tab/>
      </w:r>
      <w:r>
        <w:tab/>
      </w:r>
      <w:r w:rsidRPr="006549FF">
        <w:t xml:space="preserve">Additif </w:t>
      </w:r>
      <w:r>
        <w:t>109 −</w:t>
      </w:r>
      <w:r w:rsidRPr="006549FF">
        <w:t xml:space="preserve"> 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110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536077">
        <w:t>3 −</w:t>
      </w:r>
      <w:r w:rsidR="008E433D">
        <w:t xml:space="preserve"> </w:t>
      </w:r>
      <w:r w:rsidR="008E433D" w:rsidRPr="00E871D7">
        <w:t xml:space="preserve">Amendement </w:t>
      </w:r>
      <w:r w:rsidR="008E433D">
        <w:t xml:space="preserve">1 − </w:t>
      </w:r>
      <w:r w:rsidR="00536077">
        <w:t>Rectificatif 1</w:t>
      </w:r>
    </w:p>
    <w:p w:rsidR="00421A10" w:rsidRPr="0029791D" w:rsidRDefault="00536077" w:rsidP="00536077">
      <w:pPr>
        <w:pStyle w:val="SingleTxtG"/>
        <w:spacing w:after="0"/>
      </w:pPr>
      <w:r>
        <w:rPr>
          <w:spacing w:val="-2"/>
        </w:rPr>
        <w:t xml:space="preserve">Rectificatif 1 </w:t>
      </w:r>
      <w:r w:rsidR="00E26D8C">
        <w:rPr>
          <w:spacing w:val="-2"/>
        </w:rPr>
        <w:t>au</w:t>
      </w:r>
      <w:r>
        <w:rPr>
          <w:spacing w:val="-2"/>
        </w:rPr>
        <w:t xml:space="preserve"> </w:t>
      </w:r>
      <w:r w:rsidR="008E433D" w:rsidRPr="00E871D7">
        <w:rPr>
          <w:lang w:val="fr-FR"/>
        </w:rPr>
        <w:t xml:space="preserve">Complément </w:t>
      </w:r>
      <w:r w:rsidR="008E433D">
        <w:rPr>
          <w:lang w:val="fr-FR"/>
        </w:rPr>
        <w:t>2</w:t>
      </w:r>
      <w:r w:rsidR="008E433D" w:rsidRPr="00E871D7">
        <w:rPr>
          <w:lang w:val="fr-FR"/>
        </w:rPr>
        <w:t xml:space="preserve"> à la série 01 d’amendements</w:t>
      </w:r>
      <w:r w:rsidR="008E433D">
        <w:rPr>
          <w:spacing w:val="-2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 xml:space="preserve">erratum du </w:t>
      </w:r>
      <w:r w:rsidRPr="00AA299C">
        <w:rPr>
          <w:i/>
          <w:spacing w:val="-2"/>
        </w:rPr>
        <w:t>secrétariat</w:t>
      </w:r>
      <w:r>
        <w:rPr>
          <w:spacing w:val="-2"/>
        </w:rPr>
        <w:t>)</w:t>
      </w:r>
    </w:p>
    <w:p w:rsidR="008E433D" w:rsidRDefault="008E433D" w:rsidP="008E433D">
      <w:pPr>
        <w:pStyle w:val="H1G"/>
        <w:spacing w:before="180" w:after="180"/>
      </w:pPr>
      <w:r>
        <w:tab/>
      </w:r>
      <w:r>
        <w:tab/>
      </w:r>
      <w:r w:rsidRPr="007619D3">
        <w:t xml:space="preserve">Prescriptions uniformes relatives </w:t>
      </w:r>
      <w:r>
        <w:t>à l’homologation</w:t>
      </w:r>
    </w:p>
    <w:p w:rsidR="008E433D" w:rsidRPr="00CE35C7" w:rsidRDefault="008E433D" w:rsidP="008E433D">
      <w:pPr>
        <w:pStyle w:val="H1G"/>
        <w:tabs>
          <w:tab w:val="clear" w:pos="851"/>
          <w:tab w:val="right" w:pos="1276"/>
        </w:tabs>
        <w:spacing w:before="180" w:after="160"/>
        <w:ind w:left="1701" w:hanging="1701"/>
        <w:rPr>
          <w:lang w:val="fr-FR"/>
        </w:rPr>
      </w:pPr>
      <w:r>
        <w:rPr>
          <w:lang w:val="fr-FR"/>
        </w:rPr>
        <w:tab/>
      </w:r>
      <w:r w:rsidRPr="00CE35C7">
        <w:rPr>
          <w:lang w:val="fr-FR"/>
        </w:rPr>
        <w:t>I.</w:t>
      </w:r>
      <w:r w:rsidRPr="00CE35C7">
        <w:rPr>
          <w:lang w:val="fr-FR"/>
        </w:rPr>
        <w:tab/>
        <w:t>Des organes spéciaux pour l’alimentation du moteur au gaz naturel comprimé (GNC) et/ou au gaz naturel liquéfié (GNL) sur</w:t>
      </w:r>
      <w:r>
        <w:rPr>
          <w:lang w:val="fr-FR"/>
        </w:rPr>
        <w:t> </w:t>
      </w:r>
      <w:r w:rsidRPr="00CE35C7">
        <w:rPr>
          <w:lang w:val="fr-FR"/>
        </w:rPr>
        <w:t xml:space="preserve">les véhicules </w:t>
      </w:r>
    </w:p>
    <w:p w:rsidR="008E433D" w:rsidRDefault="008E433D" w:rsidP="008E433D">
      <w:pPr>
        <w:pStyle w:val="H1G"/>
        <w:tabs>
          <w:tab w:val="clear" w:pos="851"/>
          <w:tab w:val="right" w:pos="1344"/>
        </w:tabs>
        <w:spacing w:before="160" w:after="100"/>
        <w:ind w:left="1701" w:hanging="1701"/>
        <w:rPr>
          <w:lang w:val="fr-FR"/>
        </w:rPr>
      </w:pPr>
      <w:r>
        <w:rPr>
          <w:lang w:val="fr-FR"/>
        </w:rPr>
        <w:tab/>
      </w:r>
      <w:r w:rsidRPr="00CE35C7">
        <w:rPr>
          <w:lang w:val="fr-FR"/>
        </w:rPr>
        <w:t>II.</w:t>
      </w:r>
      <w:r w:rsidRPr="00CE35C7">
        <w:rPr>
          <w:lang w:val="fr-FR"/>
        </w:rPr>
        <w:tab/>
        <w:t>Des véhicules munis d’organes spéciaux d’un type homologué pour l’alimentation du moteur au gaz naturel comprimé (GNC) et/ou au gaz naturel liquéfié (GNL) en ce qui concerne l’installation de ces organes</w:t>
      </w:r>
    </w:p>
    <w:p w:rsidR="008E433D" w:rsidRPr="0029791D" w:rsidRDefault="008E433D" w:rsidP="008E433D">
      <w:pPr>
        <w:spacing w:after="120"/>
        <w:ind w:left="1138" w:right="1138"/>
        <w:jc w:val="center"/>
      </w:pPr>
      <w:r>
        <w:t>_______________</w:t>
      </w:r>
    </w:p>
    <w:p w:rsidR="008E433D" w:rsidRDefault="008E433D" w:rsidP="008E433D">
      <w:pPr>
        <w:jc w:val="center"/>
        <w:rPr>
          <w:b/>
          <w:bCs/>
          <w:sz w:val="22"/>
        </w:rPr>
      </w:pPr>
      <w:r>
        <w:rPr>
          <w:noProof/>
          <w:lang w:val="en-GB" w:eastAsia="en-GB"/>
        </w:rPr>
        <w:drawing>
          <wp:inline distT="0" distB="0" distL="0" distR="0" wp14:anchorId="5BCD85ED" wp14:editId="7697AFC2">
            <wp:extent cx="914400" cy="775335"/>
            <wp:effectExtent l="0" t="0" r="0" b="571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3D" w:rsidRPr="0029791D" w:rsidRDefault="008E433D" w:rsidP="008E433D">
      <w:pPr>
        <w:jc w:val="center"/>
        <w:rPr>
          <w:sz w:val="24"/>
          <w:szCs w:val="24"/>
        </w:rPr>
      </w:pPr>
      <w:r w:rsidRPr="0029791D">
        <w:rPr>
          <w:b/>
          <w:bCs/>
          <w:sz w:val="24"/>
          <w:szCs w:val="24"/>
        </w:rPr>
        <w:t>Nations Unies</w:t>
      </w:r>
    </w:p>
    <w:p w:rsidR="008E433D" w:rsidRPr="008E433D" w:rsidRDefault="008E433D" w:rsidP="008E433D">
      <w:pPr>
        <w:rPr>
          <w:lang w:val="fr-FR"/>
        </w:rPr>
      </w:pPr>
    </w:p>
    <w:p w:rsidR="006F678C" w:rsidRPr="007E61D6" w:rsidRDefault="00536077" w:rsidP="006F678C">
      <w:pPr>
        <w:spacing w:after="240"/>
        <w:ind w:left="1134" w:right="1134"/>
        <w:jc w:val="both"/>
        <w:rPr>
          <w:lang w:eastAsia="ja-JP"/>
        </w:rPr>
      </w:pPr>
      <w:r>
        <w:rPr>
          <w:lang w:val="fr-FR"/>
        </w:rPr>
        <w:br w:type="page"/>
      </w:r>
      <w:r w:rsidR="006F678C" w:rsidRPr="00C6110A">
        <w:rPr>
          <w:b/>
          <w:bCs/>
        </w:rPr>
        <w:lastRenderedPageBreak/>
        <w:t>Page 2</w:t>
      </w:r>
      <w:r w:rsidR="006F678C">
        <w:t>,</w:t>
      </w:r>
      <w:bookmarkStart w:id="1" w:name="_GoBack"/>
      <w:bookmarkEnd w:id="1"/>
    </w:p>
    <w:p w:rsidR="00536077" w:rsidRDefault="006F678C" w:rsidP="00536077">
      <w:pPr>
        <w:pStyle w:val="SingleTxtG"/>
        <w:rPr>
          <w:lang w:eastAsia="ja-JP"/>
        </w:rPr>
      </w:pPr>
      <w:r>
        <w:rPr>
          <w:lang w:eastAsia="ja-JP"/>
        </w:rPr>
        <w:t>Pour :</w:t>
      </w:r>
    </w:p>
    <w:p w:rsidR="006F678C" w:rsidRPr="00C46D73" w:rsidRDefault="00850A0C" w:rsidP="006F678C">
      <w:pPr>
        <w:pStyle w:val="SingleTxtG"/>
      </w:pPr>
      <w:proofErr w:type="gramStart"/>
      <w:r w:rsidRPr="00C46D73">
        <w:t>«</w:t>
      </w:r>
      <w:r w:rsidR="006F678C" w:rsidRPr="00DB55B9">
        <w:rPr>
          <w:i/>
        </w:rPr>
        <w:t>Ajouter</w:t>
      </w:r>
      <w:proofErr w:type="gramEnd"/>
      <w:r w:rsidR="006F678C" w:rsidRPr="00DB55B9">
        <w:rPr>
          <w:i/>
        </w:rPr>
        <w:t xml:space="preserve"> un nouveau paragraphe 4.77</w:t>
      </w:r>
      <w:r w:rsidR="006F678C" w:rsidRPr="00DB55B9">
        <w:t>, ainsi conçu</w:t>
      </w:r>
      <w:r w:rsidR="006F678C" w:rsidRPr="00C46D73">
        <w:t>:</w:t>
      </w:r>
    </w:p>
    <w:p w:rsidR="006F678C" w:rsidRDefault="006F678C" w:rsidP="006F678C">
      <w:pPr>
        <w:pStyle w:val="SingleTxtG"/>
        <w:spacing w:after="240"/>
        <w:ind w:left="1138" w:right="1138"/>
        <w:rPr>
          <w:lang w:eastAsia="ja-JP"/>
        </w:rPr>
      </w:pPr>
      <w:r w:rsidRPr="00C46D73">
        <w:t>«4.77</w:t>
      </w:r>
      <w:r w:rsidRPr="00C46D73">
        <w:tab/>
      </w:r>
      <w:r w:rsidRPr="00DF5395">
        <w:t>“</w:t>
      </w:r>
      <w:r w:rsidRPr="00DF5395">
        <w:rPr>
          <w:i/>
          <w:iCs/>
        </w:rPr>
        <w:t>Phase d’arrêt commandée</w:t>
      </w:r>
      <w:r w:rsidRPr="00DF5395">
        <w:t>”</w:t>
      </w:r>
      <w:r w:rsidRPr="00C46D73">
        <w:t xml:space="preserve"> </w:t>
      </w:r>
      <w:proofErr w:type="gramStart"/>
      <w:r w:rsidR="00850A0C">
        <w:t>…</w:t>
      </w:r>
      <w:r w:rsidRPr="00C46D73">
        <w:t>»</w:t>
      </w:r>
      <w:proofErr w:type="gramEnd"/>
      <w:r w:rsidR="00850A0C" w:rsidRPr="00C46D73">
        <w:t>»</w:t>
      </w:r>
      <w:r w:rsidR="00E26D8C">
        <w:t>,</w:t>
      </w:r>
    </w:p>
    <w:p w:rsidR="00536077" w:rsidRPr="00E26D8C" w:rsidRDefault="00536077" w:rsidP="006F678C">
      <w:pPr>
        <w:kinsoku/>
        <w:overflowPunct/>
        <w:autoSpaceDE/>
        <w:autoSpaceDN/>
        <w:adjustRightInd/>
        <w:snapToGrid/>
        <w:spacing w:after="240"/>
        <w:ind w:left="1134" w:right="1134"/>
        <w:jc w:val="both"/>
        <w:rPr>
          <w:rFonts w:eastAsia="Times New Roman"/>
          <w:lang w:eastAsia="ja-JP"/>
        </w:rPr>
      </w:pPr>
      <w:proofErr w:type="gramStart"/>
      <w:r w:rsidRPr="00E26D8C">
        <w:rPr>
          <w:rFonts w:eastAsia="Times New Roman"/>
          <w:lang w:eastAsia="ja-JP"/>
        </w:rPr>
        <w:t>modifier</w:t>
      </w:r>
      <w:proofErr w:type="gramEnd"/>
      <w:r w:rsidRPr="00E26D8C">
        <w:rPr>
          <w:rFonts w:eastAsia="Times New Roman"/>
          <w:lang w:eastAsia="ja-JP"/>
        </w:rPr>
        <w:t xml:space="preserve"> comme suit:</w:t>
      </w:r>
    </w:p>
    <w:p w:rsidR="006F678C" w:rsidRPr="00C46D73" w:rsidRDefault="00850A0C" w:rsidP="006F678C">
      <w:pPr>
        <w:pStyle w:val="SingleTxtG"/>
      </w:pPr>
      <w:proofErr w:type="gramStart"/>
      <w:r w:rsidRPr="00C46D73">
        <w:t>«</w:t>
      </w:r>
      <w:r w:rsidR="006F678C" w:rsidRPr="00DB55B9">
        <w:rPr>
          <w:i/>
        </w:rPr>
        <w:t>Ajouter</w:t>
      </w:r>
      <w:proofErr w:type="gramEnd"/>
      <w:r w:rsidR="006F678C" w:rsidRPr="00DB55B9">
        <w:rPr>
          <w:i/>
        </w:rPr>
        <w:t xml:space="preserve"> un nouveau paragraphe 4.7</w:t>
      </w:r>
      <w:r w:rsidR="00A16591">
        <w:rPr>
          <w:i/>
        </w:rPr>
        <w:t>5</w:t>
      </w:r>
      <w:r w:rsidR="006F678C" w:rsidRPr="00DB55B9">
        <w:t>, ainsi conçu</w:t>
      </w:r>
      <w:r w:rsidR="006F678C" w:rsidRPr="00C46D73">
        <w:t>:</w:t>
      </w:r>
    </w:p>
    <w:p w:rsidR="00A16591" w:rsidRDefault="006F678C" w:rsidP="00A16591">
      <w:pPr>
        <w:pStyle w:val="SingleTxtG"/>
        <w:spacing w:after="240"/>
        <w:ind w:left="1138" w:right="1138"/>
      </w:pPr>
      <w:r w:rsidRPr="00C46D73">
        <w:t>«4.7</w:t>
      </w:r>
      <w:r w:rsidR="00A16591">
        <w:t>5</w:t>
      </w:r>
      <w:r w:rsidRPr="00C46D73">
        <w:tab/>
      </w:r>
      <w:r w:rsidRPr="00DF5395">
        <w:t>“</w:t>
      </w:r>
      <w:r w:rsidRPr="00DF5395">
        <w:rPr>
          <w:i/>
          <w:iCs/>
        </w:rPr>
        <w:t>Phase d’arrêt commandée</w:t>
      </w:r>
      <w:r w:rsidRPr="00DF5395">
        <w:t>”</w:t>
      </w:r>
      <w:proofErr w:type="gramStart"/>
      <w:r w:rsidR="00850A0C">
        <w:t>…</w:t>
      </w:r>
      <w:r w:rsidRPr="00C46D73">
        <w:t>»</w:t>
      </w:r>
      <w:proofErr w:type="gramEnd"/>
      <w:r w:rsidR="00850A0C" w:rsidRPr="00C46D73">
        <w:t>»</w:t>
      </w:r>
      <w:r w:rsidRPr="00C46D73">
        <w:t>.</w:t>
      </w:r>
    </w:p>
    <w:p w:rsidR="00421A10" w:rsidRPr="00536077" w:rsidRDefault="00536077" w:rsidP="006F678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1A10" w:rsidRPr="00536077" w:rsidSect="00536077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9E6" w:rsidRDefault="00F549E6"/>
  </w:endnote>
  <w:endnote w:type="continuationSeparator" w:id="0">
    <w:p w:rsidR="00F549E6" w:rsidRDefault="00F549E6">
      <w:pPr>
        <w:pStyle w:val="Footer"/>
      </w:pPr>
    </w:p>
  </w:endnote>
  <w:endnote w:type="continuationNotice" w:id="1">
    <w:p w:rsidR="00F549E6" w:rsidRPr="00C451B9" w:rsidRDefault="00F549E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077" w:rsidRPr="00536077" w:rsidRDefault="00536077" w:rsidP="00A16591">
    <w:pPr>
      <w:pStyle w:val="Footer"/>
      <w:tabs>
        <w:tab w:val="right" w:pos="9638"/>
      </w:tabs>
    </w:pPr>
    <w:r w:rsidRPr="00536077">
      <w:rPr>
        <w:b/>
        <w:sz w:val="18"/>
      </w:rPr>
      <w:fldChar w:fldCharType="begin"/>
    </w:r>
    <w:r w:rsidRPr="00536077">
      <w:rPr>
        <w:b/>
        <w:sz w:val="18"/>
      </w:rPr>
      <w:instrText xml:space="preserve"> PAGE  \* MERGEFORMAT </w:instrText>
    </w:r>
    <w:r w:rsidRPr="00536077">
      <w:rPr>
        <w:b/>
        <w:sz w:val="18"/>
      </w:rPr>
      <w:fldChar w:fldCharType="separate"/>
    </w:r>
    <w:r w:rsidR="00FB1730">
      <w:rPr>
        <w:b/>
        <w:noProof/>
        <w:sz w:val="18"/>
      </w:rPr>
      <w:t>2</w:t>
    </w:r>
    <w:r w:rsidRPr="005360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077" w:rsidRPr="00536077" w:rsidRDefault="00536077" w:rsidP="00536077">
    <w:pPr>
      <w:pStyle w:val="Footer"/>
      <w:tabs>
        <w:tab w:val="right" w:pos="9638"/>
      </w:tabs>
      <w:rPr>
        <w:b/>
        <w:sz w:val="18"/>
      </w:rPr>
    </w:pPr>
    <w:r>
      <w:t>GE.15-04301</w:t>
    </w:r>
    <w:r>
      <w:tab/>
    </w:r>
    <w:r w:rsidRPr="00536077">
      <w:rPr>
        <w:b/>
        <w:sz w:val="18"/>
      </w:rPr>
      <w:fldChar w:fldCharType="begin"/>
    </w:r>
    <w:r w:rsidRPr="00536077">
      <w:rPr>
        <w:b/>
        <w:sz w:val="18"/>
      </w:rPr>
      <w:instrText xml:space="preserve"> PAGE  \* MERGEFORMAT </w:instrText>
    </w:r>
    <w:r w:rsidRPr="00536077">
      <w:rPr>
        <w:b/>
        <w:sz w:val="18"/>
      </w:rPr>
      <w:fldChar w:fldCharType="separate"/>
    </w:r>
    <w:r w:rsidR="008D5E03">
      <w:rPr>
        <w:b/>
        <w:noProof/>
        <w:sz w:val="18"/>
      </w:rPr>
      <w:t>3</w:t>
    </w:r>
    <w:r w:rsidRPr="005360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9E6" w:rsidRPr="00D27D5E" w:rsidRDefault="00F549E6" w:rsidP="00D27D5E">
      <w:pPr>
        <w:tabs>
          <w:tab w:val="right" w:pos="2155"/>
        </w:tabs>
        <w:spacing w:after="80"/>
        <w:ind w:left="680"/>
        <w:rPr>
          <w:u w:val="single"/>
        </w:rPr>
      </w:pPr>
      <w:bookmarkStart w:id="0" w:name="_Hlk11942905"/>
      <w:bookmarkEnd w:id="0"/>
      <w:r>
        <w:rPr>
          <w:u w:val="single"/>
        </w:rPr>
        <w:tab/>
      </w:r>
    </w:p>
  </w:footnote>
  <w:footnote w:type="continuationSeparator" w:id="0">
    <w:p w:rsidR="00F549E6" w:rsidRPr="00D171D4" w:rsidRDefault="00F549E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F549E6" w:rsidRPr="00C451B9" w:rsidRDefault="00F549E6" w:rsidP="00C451B9">
      <w:pPr>
        <w:spacing w:line="240" w:lineRule="auto"/>
        <w:rPr>
          <w:sz w:val="2"/>
          <w:szCs w:val="2"/>
        </w:rPr>
      </w:pPr>
    </w:p>
  </w:footnote>
  <w:footnote w:id="2">
    <w:p w:rsidR="008E433D" w:rsidRPr="00591072" w:rsidRDefault="008E433D" w:rsidP="008E433D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Pr="00591072">
        <w:t>Anciens titres de l’Accord :</w:t>
      </w:r>
    </w:p>
    <w:p w:rsidR="008E433D" w:rsidRPr="00591072" w:rsidRDefault="008E433D" w:rsidP="008E433D">
      <w:pPr>
        <w:pStyle w:val="FootnoteText"/>
      </w:pPr>
      <w:r w:rsidRPr="00D1538F">
        <w:tab/>
      </w:r>
      <w:r w:rsidRPr="00D1538F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8E433D" w:rsidRPr="00442E31" w:rsidRDefault="008E433D" w:rsidP="008E433D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3D" w:rsidRPr="007107DC" w:rsidRDefault="008E433D" w:rsidP="008E433D">
    <w:pPr>
      <w:pStyle w:val="Header"/>
      <w:rPr>
        <w:szCs w:val="18"/>
        <w:lang w:val="en-GB"/>
      </w:rPr>
    </w:pPr>
    <w:r w:rsidRPr="008E433D">
      <w:rPr>
        <w:szCs w:val="18"/>
        <w:lang w:val="en-GB"/>
      </w:rPr>
      <w:t>E/ECE/324/Rev.2/Add.109/Rev.3/Amend.1/Corr.1</w:t>
    </w:r>
  </w:p>
  <w:p w:rsidR="00536077" w:rsidRPr="008E433D" w:rsidRDefault="008E433D" w:rsidP="008E433D">
    <w:pPr>
      <w:pStyle w:val="Header"/>
      <w:rPr>
        <w:szCs w:val="18"/>
        <w:lang w:val="en-GB"/>
      </w:rPr>
    </w:pPr>
    <w:r w:rsidRPr="008E433D">
      <w:rPr>
        <w:szCs w:val="18"/>
        <w:lang w:val="en-GB"/>
      </w:rPr>
      <w:t>E/ECE/TRANS/505/Rev.2/Add.109/Rev.3/Amend.1/Corr.1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077" w:rsidRPr="00536077" w:rsidRDefault="00536077" w:rsidP="00536077">
    <w:pPr>
      <w:pStyle w:val="Header"/>
      <w:jc w:val="right"/>
    </w:pPr>
    <w:r>
      <w:t>E/ECE/324/Rev.1/Add.98/Rev.3/Corr.1</w:t>
    </w:r>
    <w:r>
      <w:br/>
      <w:t>E/ECE/TRANS/505/Rev.1/Add.98/Rev.3/Corr.1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E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41E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36077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6F678C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3B8F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0A0C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D5E03"/>
    <w:rsid w:val="008E0319"/>
    <w:rsid w:val="008E433D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16591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6CE4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110A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26D8C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49E6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1730"/>
    <w:rsid w:val="00FB4300"/>
    <w:rsid w:val="00FB4C51"/>
    <w:rsid w:val="00FB734D"/>
    <w:rsid w:val="00FD02A2"/>
    <w:rsid w:val="00FD5E64"/>
    <w:rsid w:val="00FD751D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058D02D"/>
  <w15:docId w15:val="{5F89B1BD-6F93-456B-8992-6E26A4E7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FB1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730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8E433D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E/ECE/324/Rev.1/Add.98/Rev.3/Corr.1−E/ECE/TRANS/505/Rev.1/Add.98/Rev.3/Corr.1</vt:lpstr>
      <vt:lpstr>E/ECE/324/Rev.1/Add.98/Rev.3/Corr.1−E/ECE/TRANS/505/Rev.1/Add.98/Rev.3/Corr.1</vt:lpstr>
    </vt:vector>
  </TitlesOfParts>
  <Company>CSD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E/ECE/324/Rev.1/Add.98/Rev.3/Corr.1−E/ECE/TRANS/505/Rev.1/Add.98/Rev.3/Corr.1</dc:title>
  <dc:creator>Granet</dc:creator>
  <cp:lastModifiedBy>Nikola Sahovic</cp:lastModifiedBy>
  <cp:revision>7</cp:revision>
  <cp:lastPrinted>2015-04-09T14:58:00Z</cp:lastPrinted>
  <dcterms:created xsi:type="dcterms:W3CDTF">2019-06-20T15:10:00Z</dcterms:created>
  <dcterms:modified xsi:type="dcterms:W3CDTF">2019-06-21T09:12:00Z</dcterms:modified>
</cp:coreProperties>
</file>