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707E5" w:rsidTr="00A27C92">
        <w:trPr>
          <w:trHeight w:hRule="exact" w:val="851"/>
        </w:trPr>
        <w:tc>
          <w:tcPr>
            <w:tcW w:w="9639" w:type="dxa"/>
            <w:gridSpan w:val="2"/>
            <w:tcBorders>
              <w:bottom w:val="single" w:sz="4" w:space="0" w:color="auto"/>
            </w:tcBorders>
            <w:shd w:val="clear" w:color="auto" w:fill="auto"/>
            <w:vAlign w:val="bottom"/>
          </w:tcPr>
          <w:p w:rsidR="008D01C3" w:rsidRPr="008D01C3" w:rsidRDefault="008D01C3" w:rsidP="008D01C3">
            <w:pPr>
              <w:jc w:val="right"/>
              <w:rPr>
                <w:lang w:val="en-US"/>
              </w:rPr>
            </w:pPr>
            <w:bookmarkStart w:id="0" w:name="_GoBack"/>
            <w:bookmarkEnd w:id="0"/>
            <w:r w:rsidRPr="008D01C3">
              <w:rPr>
                <w:sz w:val="40"/>
                <w:lang w:val="en-US"/>
              </w:rPr>
              <w:t>E</w:t>
            </w:r>
            <w:r w:rsidRPr="008D01C3">
              <w:rPr>
                <w:lang w:val="en-US"/>
              </w:rPr>
              <w:t>/ECE/324/Rev.1/Add.76/Rev.3/Amend.1−</w:t>
            </w:r>
            <w:r w:rsidRPr="008D01C3">
              <w:rPr>
                <w:sz w:val="40"/>
                <w:lang w:val="en-US"/>
              </w:rPr>
              <w:t>E</w:t>
            </w:r>
            <w:r w:rsidRPr="008D01C3">
              <w:rPr>
                <w:lang w:val="en-US"/>
              </w:rPr>
              <w:t>/ECE/TRANS/505/Rev.1/Add.76/Rev.3/Amend.1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D01C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8D01C3" w:rsidP="00A27C92">
            <w:pPr>
              <w:spacing w:before="480" w:line="240" w:lineRule="exact"/>
            </w:pPr>
            <w:r>
              <w:t>7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8D01C3" w:rsidRPr="00D76C54">
        <w:t xml:space="preserve">de Règlements techniques harmonisés </w:t>
      </w:r>
      <w:r w:rsidR="008D01C3">
        <w:br/>
      </w:r>
      <w:r w:rsidR="008D01C3" w:rsidRPr="00D76C54">
        <w:t xml:space="preserve">de l’ONU applicables aux véhicules à roues et aux équipements </w:t>
      </w:r>
      <w:r w:rsidR="008D01C3">
        <w:br/>
      </w:r>
      <w:r w:rsidR="008D01C3" w:rsidRPr="00D76C54">
        <w:t xml:space="preserve">et pièces susceptibles d’être montés ou utilisés sur les véhicules </w:t>
      </w:r>
      <w:r w:rsidR="008D01C3">
        <w:br/>
      </w:r>
      <w:r w:rsidR="008D01C3" w:rsidRPr="00D76C54">
        <w:t>à roues et les conditions de reconnaissance réciproque des homologations délivrées conformément à ces Règlements</w:t>
      </w:r>
      <w:r w:rsidR="008D01C3" w:rsidRPr="00D76C54">
        <w:footnoteReference w:customMarkFollows="1" w:id="2"/>
        <w:t>*</w:t>
      </w:r>
    </w:p>
    <w:p w:rsidR="00421A10" w:rsidRPr="00A12483" w:rsidRDefault="00421A10" w:rsidP="0029791D">
      <w:pPr>
        <w:pStyle w:val="SingleTxtG"/>
        <w:jc w:val="left"/>
        <w:rPr>
          <w:b/>
          <w:sz w:val="24"/>
          <w:szCs w:val="24"/>
        </w:rPr>
      </w:pPr>
      <w:r w:rsidRPr="006549FF">
        <w:t xml:space="preserve">(Révision </w:t>
      </w:r>
      <w:r w:rsidR="008D01C3">
        <w:t>3</w:t>
      </w:r>
      <w:r w:rsidRPr="006549FF">
        <w:t>, comprenant les amen</w:t>
      </w:r>
      <w:r>
        <w:t xml:space="preserve">dements entrés en vigueur le </w:t>
      </w:r>
      <w:r w:rsidR="008D01C3">
        <w:t>14 </w:t>
      </w:r>
      <w:r w:rsidR="008D01C3" w:rsidRPr="00D76C54">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8D01C3">
        <w:t>76 </w:t>
      </w:r>
      <w:r w:rsidR="00421A10" w:rsidRPr="006549FF">
        <w:t>: Règlement</w:t>
      </w:r>
      <w:r w:rsidR="00421A10">
        <w:t xml:space="preserve"> </w:t>
      </w:r>
      <w:r w:rsidR="00421A10" w:rsidRPr="00B371BF">
        <w:t>n</w:t>
      </w:r>
      <w:r w:rsidR="00421A10" w:rsidRPr="00B371BF">
        <w:rPr>
          <w:vertAlign w:val="superscript"/>
        </w:rPr>
        <w:t>o</w:t>
      </w:r>
      <w:r w:rsidR="00421A10">
        <w:t> </w:t>
      </w:r>
      <w:r w:rsidR="008D01C3">
        <w:t>77</w:t>
      </w:r>
    </w:p>
    <w:p w:rsidR="00421A10" w:rsidRPr="006549FF" w:rsidRDefault="0029791D" w:rsidP="0029791D">
      <w:pPr>
        <w:pStyle w:val="H1G"/>
      </w:pPr>
      <w:r>
        <w:tab/>
      </w:r>
      <w:r>
        <w:tab/>
      </w:r>
      <w:r w:rsidR="00421A10" w:rsidRPr="006549FF">
        <w:t xml:space="preserve">Révision </w:t>
      </w:r>
      <w:r w:rsidR="008D01C3">
        <w:t>3 − Amendement 1</w:t>
      </w:r>
    </w:p>
    <w:p w:rsidR="00421A10" w:rsidRPr="0029791D" w:rsidRDefault="008D01C3" w:rsidP="008D01C3">
      <w:pPr>
        <w:pStyle w:val="SingleTxtG"/>
        <w:spacing w:after="0"/>
      </w:pPr>
      <w:r>
        <w:t>Complément </w:t>
      </w:r>
      <w:r w:rsidRPr="008D01C3">
        <w:t>17 à la v</w:t>
      </w:r>
      <w:r>
        <w:t>ersion originale du Règlement − </w:t>
      </w:r>
      <w:r w:rsidRPr="008D01C3">
        <w:t>Date d’entrée en vigueur</w:t>
      </w:r>
      <w:r>
        <w:t> :</w:t>
      </w:r>
      <w:r w:rsidRPr="008D01C3">
        <w:t xml:space="preserve"> 10</w:t>
      </w:r>
      <w:r>
        <w:t> </w:t>
      </w:r>
      <w:r w:rsidRPr="008D01C3">
        <w:t>octobre 2017</w:t>
      </w:r>
    </w:p>
    <w:p w:rsidR="008D01C3" w:rsidRPr="008D01C3" w:rsidRDefault="0029791D" w:rsidP="008D01C3">
      <w:pPr>
        <w:pStyle w:val="H1G"/>
      </w:pPr>
      <w:r>
        <w:tab/>
      </w:r>
      <w:r>
        <w:tab/>
      </w:r>
      <w:r w:rsidR="008D01C3" w:rsidRPr="008D01C3">
        <w:t>Prescriptions uniformes relatives à l’homologation</w:t>
      </w:r>
      <w:r w:rsidR="008D01C3">
        <w:t xml:space="preserve"> </w:t>
      </w:r>
      <w:r w:rsidR="008D01C3" w:rsidRPr="008D01C3">
        <w:t xml:space="preserve">des feux </w:t>
      </w:r>
      <w:r w:rsidR="008D01C3">
        <w:br/>
      </w:r>
      <w:r w:rsidR="008D01C3" w:rsidRPr="008D01C3">
        <w:t>de stationnement pour les véhicules à moteur</w:t>
      </w:r>
    </w:p>
    <w:p w:rsidR="00421A10" w:rsidRDefault="008D01C3" w:rsidP="008D01C3">
      <w:pPr>
        <w:pStyle w:val="SingleTxtG"/>
      </w:pPr>
      <w:r w:rsidRPr="008D01C3">
        <w:rPr>
          <w:spacing w:val="-3"/>
        </w:rPr>
        <w:t>Le présent document est communiqué uniquement à titre d’information. Le texte authentique, juridiquement contraignant, est celui du document ECE/TRANS/WP.29/2017/32</w:t>
      </w:r>
      <w:r w:rsidRPr="008D01C3">
        <w:t xml:space="preserve"> (1622399).</w:t>
      </w:r>
    </w:p>
    <w:p w:rsidR="008D01C3" w:rsidRDefault="008D01C3" w:rsidP="005F0207"/>
    <w:p w:rsidR="008D01C3" w:rsidRDefault="008D01C3" w:rsidP="005F0207">
      <w:r>
        <w:rPr>
          <w:noProof/>
          <w:lang w:eastAsia="fr-CH"/>
        </w:rPr>
        <mc:AlternateContent>
          <mc:Choice Requires="wps">
            <w:drawing>
              <wp:anchor distT="0" distB="0" distL="114300" distR="114300" simplePos="0" relativeHeight="251659264" behindDoc="0" locked="0" layoutInCell="1" allowOverlap="1" wp14:anchorId="2AA8B2BC" wp14:editId="24DD9730">
                <wp:simplePos x="0" y="0"/>
                <wp:positionH relativeFrom="margin">
                  <wp:posOffset>-5024</wp:posOffset>
                </wp:positionH>
                <wp:positionV relativeFrom="margin">
                  <wp:posOffset>6362295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8D01C3" w:rsidRPr="0029791D" w:rsidRDefault="008D01C3" w:rsidP="008D01C3">
                            <w:pPr>
                              <w:ind w:left="1134" w:right="1134"/>
                              <w:jc w:val="center"/>
                            </w:pPr>
                            <w:r>
                              <w:t>_______________</w:t>
                            </w:r>
                          </w:p>
                          <w:p w:rsidR="008D01C3" w:rsidRDefault="008D01C3" w:rsidP="008D01C3">
                            <w:pPr>
                              <w:jc w:val="center"/>
                              <w:rPr>
                                <w:b/>
                                <w:bCs/>
                                <w:sz w:val="22"/>
                              </w:rPr>
                            </w:pPr>
                            <w:r>
                              <w:rPr>
                                <w:noProof/>
                                <w:lang w:eastAsia="fr-CH"/>
                              </w:rPr>
                              <w:drawing>
                                <wp:inline distT="0" distB="0" distL="0" distR="0" wp14:anchorId="30C6B83B" wp14:editId="52967DE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D01C3" w:rsidRDefault="008D01C3" w:rsidP="008D01C3">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8B2BC" id="_x0000_t202" coordsize="21600,21600" o:spt="202" path="m,l,21600r21600,l21600,xe">
                <v:stroke joinstyle="miter"/>
                <v:path gradientshapeok="t" o:connecttype="rect"/>
              </v:shapetype>
              <v:shape id="Zone de texte 4" o:spid="_x0000_s1026" type="#_x0000_t202" style="position:absolute;margin-left:-.4pt;margin-top:500.9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" stroked="f">
                <v:textbox inset="0,0,0,0">
                  <w:txbxContent>
                    <w:p w:rsidR="008D01C3" w:rsidRPr="0029791D" w:rsidRDefault="008D01C3" w:rsidP="008D01C3">
                      <w:pPr>
                        <w:ind w:left="1134" w:right="1134"/>
                        <w:jc w:val="center"/>
                      </w:pPr>
                      <w:r>
                        <w:t>_______________</w:t>
                      </w:r>
                    </w:p>
                    <w:p w:rsidR="008D01C3" w:rsidRDefault="008D01C3" w:rsidP="008D01C3">
                      <w:pPr>
                        <w:jc w:val="center"/>
                        <w:rPr>
                          <w:b/>
                          <w:bCs/>
                          <w:sz w:val="22"/>
                        </w:rPr>
                      </w:pPr>
                      <w:r>
                        <w:rPr>
                          <w:noProof/>
                          <w:lang w:eastAsia="fr-CH"/>
                        </w:rPr>
                        <w:drawing>
                          <wp:inline distT="0" distB="0" distL="0" distR="0" wp14:anchorId="30C6B83B" wp14:editId="52967DE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D01C3" w:rsidRDefault="008D01C3" w:rsidP="008D01C3">
                      <w:pPr>
                        <w:jc w:val="center"/>
                      </w:pPr>
                      <w:r w:rsidRPr="0029791D">
                        <w:rPr>
                          <w:b/>
                          <w:bCs/>
                          <w:sz w:val="24"/>
                          <w:szCs w:val="24"/>
                        </w:rPr>
                        <w:t>Nations Unies</w:t>
                      </w:r>
                    </w:p>
                  </w:txbxContent>
                </v:textbox>
                <w10:wrap anchorx="margin" anchory="margin"/>
              </v:shape>
            </w:pict>
          </mc:Fallback>
        </mc:AlternateContent>
      </w:r>
    </w:p>
    <w:p w:rsidR="008D01C3" w:rsidRPr="0070796C" w:rsidRDefault="008D01C3" w:rsidP="005926C6">
      <w:pPr>
        <w:pStyle w:val="SingleTxtG"/>
        <w:keepNext/>
        <w:keepLines/>
        <w:spacing w:line="240" w:lineRule="auto"/>
        <w:rPr>
          <w:i/>
        </w:rPr>
      </w:pPr>
      <w:r>
        <w:br w:type="page"/>
      </w:r>
      <w:r w:rsidR="00E62334">
        <w:rPr>
          <w:i/>
          <w:iCs/>
        </w:rPr>
        <w:lastRenderedPageBreak/>
        <w:t>Paragraphe </w:t>
      </w:r>
      <w:r w:rsidRPr="0070796C">
        <w:rPr>
          <w:i/>
          <w:iCs/>
        </w:rPr>
        <w:t>2.3</w:t>
      </w:r>
      <w:r w:rsidRPr="0070796C">
        <w:t>, modifier comme suit</w:t>
      </w:r>
      <w:r>
        <w:t> </w:t>
      </w:r>
      <w:r w:rsidRPr="0070796C">
        <w:t>:</w:t>
      </w:r>
    </w:p>
    <w:p w:rsidR="008D01C3" w:rsidRPr="0070796C" w:rsidRDefault="008D01C3" w:rsidP="008D01C3">
      <w:pPr>
        <w:pStyle w:val="SingleTxtG"/>
        <w:spacing w:line="240" w:lineRule="auto"/>
        <w:ind w:left="2268" w:hanging="1134"/>
        <w:rPr>
          <w:iCs/>
        </w:rPr>
      </w:pPr>
      <w:r>
        <w:t>« 2.3</w:t>
      </w:r>
      <w:r w:rsidRPr="0070796C">
        <w:tab/>
        <w:t xml:space="preserve">Par </w:t>
      </w:r>
      <w:r>
        <w:t>“</w:t>
      </w:r>
      <w:r w:rsidRPr="0070796C">
        <w:t>feux-stationnement de types différents</w:t>
      </w:r>
      <w:r>
        <w:t>”</w:t>
      </w:r>
      <w:r w:rsidRPr="0070796C">
        <w:t>, des feux qui présentent des différences essentielles pouvant porter notamment sur</w:t>
      </w:r>
      <w:r>
        <w:t> </w:t>
      </w:r>
      <w:r w:rsidRPr="0070796C">
        <w:t>:</w:t>
      </w:r>
    </w:p>
    <w:p w:rsidR="008D01C3" w:rsidRPr="0070796C" w:rsidRDefault="008D01C3" w:rsidP="008D01C3">
      <w:pPr>
        <w:pStyle w:val="SingleTxtG"/>
        <w:ind w:left="2268"/>
        <w:rPr>
          <w:iCs/>
        </w:rPr>
      </w:pPr>
      <w:r>
        <w:t>a)</w:t>
      </w:r>
      <w:r w:rsidRPr="0070796C">
        <w:tab/>
        <w:t>La marque de fabrique ou de commerce</w:t>
      </w:r>
      <w:r>
        <w:t> </w:t>
      </w:r>
      <w:r w:rsidRPr="0070796C">
        <w:t xml:space="preserve">: </w:t>
      </w:r>
    </w:p>
    <w:p w:rsidR="008D01C3" w:rsidRPr="0070796C" w:rsidRDefault="008D01C3" w:rsidP="008D01C3">
      <w:pPr>
        <w:pStyle w:val="SingleTxtG"/>
        <w:spacing w:line="240" w:lineRule="auto"/>
        <w:ind w:left="3402" w:hanging="567"/>
        <w:rPr>
          <w:iCs/>
        </w:rPr>
      </w:pPr>
      <w:r w:rsidRPr="0070796C">
        <w:t>i)</w:t>
      </w:r>
      <w:r w:rsidRPr="0070796C">
        <w:tab/>
        <w:t>Des feux portant la même marque de fabrique ou de commerce mais produits par des fabricants différents doivent être considérés comme étant de types différents</w:t>
      </w:r>
      <w:r>
        <w:t> </w:t>
      </w:r>
      <w:r w:rsidRPr="0070796C">
        <w:t>;</w:t>
      </w:r>
    </w:p>
    <w:p w:rsidR="008D01C3" w:rsidRPr="0070796C" w:rsidRDefault="008D01C3" w:rsidP="008D01C3">
      <w:pPr>
        <w:pStyle w:val="SingleTxtG"/>
        <w:spacing w:line="240" w:lineRule="auto"/>
        <w:ind w:left="3402" w:hanging="567"/>
        <w:rPr>
          <w:iCs/>
        </w:rPr>
      </w:pPr>
      <w:r w:rsidRPr="0070796C">
        <w:t>ii)</w:t>
      </w:r>
      <w:r w:rsidRPr="0070796C">
        <w:tab/>
        <w:t>Des feux produits par le même fabricant et ne différant entre eux que par la marque de fabrique ou de commerce doivent être considérés comme étant du même type.</w:t>
      </w:r>
    </w:p>
    <w:p w:rsidR="008D01C3" w:rsidRPr="0070796C" w:rsidRDefault="008D01C3" w:rsidP="008D01C3">
      <w:pPr>
        <w:pStyle w:val="SingleTxtG"/>
        <w:ind w:left="2268"/>
        <w:rPr>
          <w:iCs/>
        </w:rPr>
      </w:pPr>
      <w:r>
        <w:t>b)</w:t>
      </w:r>
      <w:r w:rsidRPr="0070796C">
        <w:tab/>
        <w:t>Les caractéristiques…</w:t>
      </w:r>
      <w:r w:rsidR="00E62334">
        <w:t> »</w:t>
      </w:r>
    </w:p>
    <w:p w:rsidR="008D01C3" w:rsidRPr="0070796C" w:rsidRDefault="00E62334" w:rsidP="00E62334">
      <w:pPr>
        <w:pStyle w:val="SingleTxtG"/>
        <w:keepNext/>
        <w:keepLines/>
        <w:spacing w:line="240" w:lineRule="auto"/>
        <w:ind w:left="2268" w:hanging="1134"/>
      </w:pPr>
      <w:r>
        <w:rPr>
          <w:i/>
          <w:iCs/>
        </w:rPr>
        <w:t>Ajouter un nouveau paragraphe </w:t>
      </w:r>
      <w:r w:rsidR="008D01C3" w:rsidRPr="0070796C">
        <w:rPr>
          <w:i/>
          <w:iCs/>
        </w:rPr>
        <w:t>3.2.4</w:t>
      </w:r>
      <w:r w:rsidR="008D01C3" w:rsidRPr="0070796C">
        <w:t>, libellé comme suit</w:t>
      </w:r>
      <w:r w:rsidR="008D01C3">
        <w:t> </w:t>
      </w:r>
      <w:r w:rsidR="008D01C3" w:rsidRPr="0070796C">
        <w:t>:</w:t>
      </w:r>
    </w:p>
    <w:p w:rsidR="008D01C3" w:rsidRPr="0070796C" w:rsidRDefault="008D01C3" w:rsidP="008D01C3">
      <w:pPr>
        <w:pStyle w:val="SingleTxtG"/>
        <w:spacing w:line="240" w:lineRule="auto"/>
        <w:ind w:left="2268" w:hanging="1134"/>
      </w:pPr>
      <w:r>
        <w:t>« </w:t>
      </w:r>
      <w:r w:rsidRPr="0070796C">
        <w:t>3.2.4</w:t>
      </w:r>
      <w:r w:rsidRPr="0070796C">
        <w:tab/>
        <w:t>Lorsqu</w:t>
      </w:r>
      <w:r>
        <w:t>’</w:t>
      </w:r>
      <w:r w:rsidRPr="0070796C">
        <w:t>il s</w:t>
      </w:r>
      <w:r>
        <w:t>’</w:t>
      </w:r>
      <w:r w:rsidRPr="0070796C">
        <w:t>agit d</w:t>
      </w:r>
      <w:r>
        <w:t>’</w:t>
      </w:r>
      <w:r w:rsidRPr="0070796C">
        <w:t>un type de feu ne différant d</w:t>
      </w:r>
      <w:r>
        <w:t>’</w:t>
      </w:r>
      <w:r w:rsidRPr="0070796C">
        <w:t>un type homologué antérieurement que par la marque de fabrique ou de commerce, il suffit de présenter</w:t>
      </w:r>
      <w:r>
        <w:t> </w:t>
      </w:r>
      <w:r w:rsidRPr="0070796C">
        <w:t>:</w:t>
      </w:r>
    </w:p>
    <w:p w:rsidR="008D01C3" w:rsidRPr="0070796C" w:rsidRDefault="008D01C3" w:rsidP="008D01C3">
      <w:pPr>
        <w:pStyle w:val="SingleTxtG"/>
        <w:spacing w:line="240" w:lineRule="auto"/>
        <w:ind w:left="2268" w:hanging="1134"/>
      </w:pPr>
      <w:r w:rsidRPr="0070796C">
        <w:t>3.2.4.1</w:t>
      </w:r>
      <w:r w:rsidRPr="0070796C">
        <w:tab/>
        <w:t>Une déclaration du fabricant du feu précisant que, sauf quant à la marque de fabrique ou de commerce, le type soumis est identique au type déjà homologué (</w:t>
      </w:r>
      <w:r>
        <w:t>désigné</w:t>
      </w:r>
      <w:r w:rsidRPr="0070796C">
        <w:t xml:space="preserve"> par son code d</w:t>
      </w:r>
      <w:r>
        <w:t>’</w:t>
      </w:r>
      <w:r w:rsidRPr="0070796C">
        <w:t>homologation) et provient du même fabricant</w:t>
      </w:r>
      <w:r>
        <w:t> </w:t>
      </w:r>
      <w:r w:rsidRPr="0070796C">
        <w:t>;</w:t>
      </w:r>
    </w:p>
    <w:p w:rsidR="008D01C3" w:rsidRPr="0070796C" w:rsidRDefault="008D01C3" w:rsidP="008D01C3">
      <w:pPr>
        <w:pStyle w:val="SingleTxtG"/>
        <w:spacing w:line="240" w:lineRule="auto"/>
        <w:ind w:left="2268" w:hanging="1134"/>
      </w:pPr>
      <w:r w:rsidRPr="0070796C">
        <w:t>3.2.4.2</w:t>
      </w:r>
      <w:r w:rsidRPr="0070796C">
        <w:tab/>
        <w:t>Deux échantillons portant la nouvelle marque de fabrique ou de commerce, ou un document équivalent.</w:t>
      </w:r>
      <w:r w:rsidR="00E62334">
        <w:t> »</w:t>
      </w:r>
    </w:p>
    <w:p w:rsidR="008D01C3" w:rsidRPr="0070796C" w:rsidRDefault="008D01C3" w:rsidP="00E62334">
      <w:pPr>
        <w:pStyle w:val="SingleTxtG"/>
        <w:keepNext/>
        <w:keepLines/>
        <w:spacing w:line="240" w:lineRule="auto"/>
        <w:ind w:left="2268" w:hanging="1134"/>
      </w:pPr>
      <w:r w:rsidRPr="0070796C">
        <w:rPr>
          <w:i/>
          <w:iCs/>
        </w:rPr>
        <w:t>Insérer un nouveau paragraphe 3.2.5</w:t>
      </w:r>
      <w:r w:rsidRPr="0070796C">
        <w:t>, libellé comme suit</w:t>
      </w:r>
      <w:r>
        <w:t> </w:t>
      </w:r>
      <w:r w:rsidRPr="0070796C">
        <w:t>:</w:t>
      </w:r>
    </w:p>
    <w:p w:rsidR="008D01C3" w:rsidRPr="0070796C" w:rsidRDefault="008D01C3" w:rsidP="008D01C3">
      <w:pPr>
        <w:pStyle w:val="SingleTxtG"/>
        <w:spacing w:line="240" w:lineRule="auto"/>
        <w:ind w:left="2268" w:hanging="1134"/>
        <w:rPr>
          <w:bCs/>
        </w:rPr>
      </w:pPr>
      <w:r>
        <w:t>« </w:t>
      </w:r>
      <w:r w:rsidRPr="0070796C">
        <w:t>3.2.5</w:t>
      </w:r>
      <w:r w:rsidRPr="0070796C">
        <w:tab/>
      </w:r>
      <w:r w:rsidRPr="00126FEB">
        <w:rPr>
          <w:spacing w:val="-2"/>
        </w:rPr>
        <w:t>Dans le cas d’une ou plusieurs lampe(s) à incandescence non remplaçable(s)</w:t>
      </w:r>
      <w:r w:rsidRPr="0070796C">
        <w:t xml:space="preserve"> </w:t>
      </w:r>
      <w:r w:rsidRPr="00126FEB">
        <w:rPr>
          <w:spacing w:val="-6"/>
        </w:rPr>
        <w:t xml:space="preserve">ou </w:t>
      </w:r>
      <w:r w:rsidRPr="00126FEB">
        <w:rPr>
          <w:spacing w:val="-2"/>
        </w:rPr>
        <w:t>d’un ou plusieurs module(s) d’éclairage équipé(s) de lampe(s) à incandescence</w:t>
      </w:r>
      <w:r w:rsidRPr="0070796C">
        <w:t xml:space="preserve"> non remplaçable(s)</w:t>
      </w:r>
      <w:r>
        <w:t> </w:t>
      </w:r>
      <w:r w:rsidRPr="0070796C">
        <w:t>: des documents mentionnés au paragraphe 6.5.</w:t>
      </w:r>
      <w:r w:rsidR="00E62334">
        <w:t> »</w:t>
      </w:r>
    </w:p>
    <w:p w:rsidR="008D01C3" w:rsidRPr="0070796C" w:rsidRDefault="008D01C3" w:rsidP="00E62334">
      <w:pPr>
        <w:pStyle w:val="SingleTxtG"/>
        <w:keepNext/>
        <w:keepLines/>
        <w:spacing w:line="240" w:lineRule="auto"/>
        <w:ind w:left="2268" w:hanging="1134"/>
      </w:pPr>
      <w:r w:rsidRPr="0070796C">
        <w:rPr>
          <w:i/>
          <w:iCs/>
        </w:rPr>
        <w:t>Paragraphe 4.1.3</w:t>
      </w:r>
      <w:r w:rsidRPr="0070796C">
        <w:t>, modifier comme suit</w:t>
      </w:r>
      <w:r>
        <w:t> </w:t>
      </w:r>
      <w:r w:rsidRPr="0070796C">
        <w:t>:</w:t>
      </w:r>
    </w:p>
    <w:p w:rsidR="008D01C3" w:rsidRPr="0070796C" w:rsidRDefault="008D01C3" w:rsidP="008D01C3">
      <w:pPr>
        <w:pStyle w:val="SingleTxtG"/>
        <w:spacing w:line="240" w:lineRule="auto"/>
        <w:ind w:left="2268" w:hanging="1134"/>
      </w:pPr>
      <w:r>
        <w:t>« </w:t>
      </w:r>
      <w:r w:rsidRPr="0070796C">
        <w:t>4.1.3</w:t>
      </w:r>
      <w:r w:rsidRPr="0070796C">
        <w:tab/>
        <w:t>Dans le cas de feux équipés de sources lumineuses non remplaçables ou d</w:t>
      </w:r>
      <w:r>
        <w:t>’</w:t>
      </w:r>
      <w:r w:rsidRPr="0070796C">
        <w:t>un ou de plusieurs module(s) d</w:t>
      </w:r>
      <w:r>
        <w:t>’</w:t>
      </w:r>
      <w:r w:rsidRPr="0070796C">
        <w:t>éclairage, l</w:t>
      </w:r>
      <w:r>
        <w:t>’</w:t>
      </w:r>
      <w:r w:rsidRPr="0070796C">
        <w:t>indication de la tension nominale ou de la plage de tension.</w:t>
      </w:r>
      <w:r w:rsidR="00E62334">
        <w:t> »</w:t>
      </w:r>
    </w:p>
    <w:p w:rsidR="008D01C3" w:rsidRPr="0070796C" w:rsidRDefault="008D01C3" w:rsidP="00E62334">
      <w:pPr>
        <w:pStyle w:val="SingleTxtG"/>
        <w:keepNext/>
        <w:keepLines/>
        <w:spacing w:line="240" w:lineRule="auto"/>
        <w:ind w:left="2268" w:hanging="1134"/>
      </w:pPr>
      <w:r w:rsidRPr="0070796C">
        <w:rPr>
          <w:i/>
          <w:iCs/>
        </w:rPr>
        <w:t>Paragraphe 4.3.3</w:t>
      </w:r>
      <w:r w:rsidRPr="0070796C">
        <w:t>, modifier comme suit</w:t>
      </w:r>
      <w:r>
        <w:t> </w:t>
      </w:r>
      <w:r w:rsidRPr="0070796C">
        <w:t>:</w:t>
      </w:r>
    </w:p>
    <w:p w:rsidR="008D01C3" w:rsidRPr="0070796C" w:rsidRDefault="008D01C3" w:rsidP="008D01C3">
      <w:pPr>
        <w:pStyle w:val="SingleTxtG"/>
        <w:spacing w:line="240" w:lineRule="auto"/>
        <w:ind w:left="2268" w:hanging="1134"/>
      </w:pPr>
      <w:r>
        <w:t>« </w:t>
      </w:r>
      <w:r w:rsidRPr="0070796C">
        <w:t>4.3.3</w:t>
      </w:r>
      <w:r w:rsidRPr="0070796C">
        <w:tab/>
        <w:t>L</w:t>
      </w:r>
      <w:r>
        <w:t>’</w:t>
      </w:r>
      <w:r w:rsidRPr="0070796C">
        <w:t>indication de la tension nominale ou de la plage de tension.</w:t>
      </w:r>
      <w:r w:rsidR="00E62334">
        <w:t> »</w:t>
      </w:r>
    </w:p>
    <w:p w:rsidR="008D01C3" w:rsidRPr="0070796C" w:rsidRDefault="00E450E2" w:rsidP="00E62334">
      <w:pPr>
        <w:pStyle w:val="SingleTxtG"/>
        <w:keepNext/>
        <w:keepLines/>
        <w:spacing w:line="240" w:lineRule="auto"/>
        <w:ind w:left="2268" w:hanging="1134"/>
        <w:rPr>
          <w:i/>
          <w:iCs/>
        </w:rPr>
      </w:pPr>
      <w:r>
        <w:rPr>
          <w:i/>
          <w:iCs/>
        </w:rPr>
        <w:t>Paragraphe </w:t>
      </w:r>
      <w:r w:rsidR="008D01C3" w:rsidRPr="0070796C">
        <w:rPr>
          <w:i/>
          <w:iCs/>
        </w:rPr>
        <w:t>6</w:t>
      </w:r>
      <w:r w:rsidR="008D01C3" w:rsidRPr="0070796C">
        <w:t>, modifier comme suit</w:t>
      </w:r>
      <w:r w:rsidR="008D01C3">
        <w:t> </w:t>
      </w:r>
      <w:r w:rsidR="008D01C3" w:rsidRPr="0070796C">
        <w:t>:</w:t>
      </w:r>
    </w:p>
    <w:p w:rsidR="008D01C3" w:rsidRPr="0070796C" w:rsidRDefault="008D01C3" w:rsidP="008D01C3">
      <w:pPr>
        <w:pStyle w:val="HChG"/>
        <w:tabs>
          <w:tab w:val="left" w:pos="2268"/>
        </w:tabs>
        <w:rPr>
          <w:sz w:val="32"/>
        </w:rPr>
      </w:pPr>
      <w:r>
        <w:tab/>
      </w:r>
      <w:r>
        <w:tab/>
      </w:r>
      <w:r w:rsidRPr="00E62334">
        <w:rPr>
          <w:rStyle w:val="SingleTxtGChar"/>
          <w:b w:val="0"/>
          <w:sz w:val="20"/>
        </w:rPr>
        <w:t>«</w:t>
      </w:r>
      <w:r w:rsidRPr="00784982">
        <w:rPr>
          <w:rStyle w:val="SingleTxtGChar"/>
          <w:b w:val="0"/>
        </w:rPr>
        <w:t> </w:t>
      </w:r>
      <w:r w:rsidRPr="009836A0">
        <w:t>6.</w:t>
      </w:r>
      <w:r w:rsidRPr="009836A0">
        <w:tab/>
        <w:t>Prescriptions générales</w:t>
      </w:r>
    </w:p>
    <w:p w:rsidR="008D01C3" w:rsidRPr="0070796C" w:rsidRDefault="008D01C3" w:rsidP="008D01C3">
      <w:pPr>
        <w:spacing w:after="120" w:line="240" w:lineRule="auto"/>
        <w:ind w:left="2268" w:right="1134"/>
        <w:jc w:val="both"/>
      </w:pPr>
      <w:r w:rsidRPr="0070796C">
        <w:tab/>
        <w:t>Le</w:t>
      </w:r>
      <w:r w:rsidR="00E450E2">
        <w:t>s exigences visées aux sections </w:t>
      </w:r>
      <w:r w:rsidRPr="0070796C">
        <w:t>5 (</w:t>
      </w:r>
      <w:r>
        <w:t>“</w:t>
      </w:r>
      <w:r w:rsidRPr="0070796C">
        <w:t>Prescriptions générales</w:t>
      </w:r>
      <w:r>
        <w:t>”</w:t>
      </w:r>
      <w:r w:rsidRPr="0070796C">
        <w:t xml:space="preserve"> ou </w:t>
      </w:r>
      <w:r w:rsidRPr="009836A0">
        <w:rPr>
          <w:spacing w:val="-4"/>
        </w:rPr>
        <w:t>“Spécifications générales”) et 6 (“Prescriptions particulières” ou</w:t>
      </w:r>
      <w:r w:rsidRPr="0070796C">
        <w:t xml:space="preserve"> </w:t>
      </w:r>
      <w:r>
        <w:t>“</w:t>
      </w:r>
      <w:r w:rsidRPr="0070796C">
        <w:t>Spécifications particulières</w:t>
      </w:r>
      <w:r>
        <w:t>”</w:t>
      </w:r>
      <w:r w:rsidRPr="0070796C">
        <w:t>) ainsi que dans les annexes citées dans lesdites sections des Règlements n</w:t>
      </w:r>
      <w:r w:rsidRPr="0070796C">
        <w:rPr>
          <w:vertAlign w:val="superscript"/>
        </w:rPr>
        <w:t>os</w:t>
      </w:r>
      <w:r w:rsidRPr="0070796C">
        <w:t> 48 ou 86 et de leurs séries d</w:t>
      </w:r>
      <w:r>
        <w:t>’</w:t>
      </w:r>
      <w:r w:rsidRPr="0070796C">
        <w:t>amendements en vigueur à la date de la demande d</w:t>
      </w:r>
      <w:r>
        <w:t>’</w:t>
      </w:r>
      <w:r w:rsidRPr="0070796C">
        <w:t>homologation de type du feu s</w:t>
      </w:r>
      <w:r>
        <w:t>’</w:t>
      </w:r>
      <w:r w:rsidRPr="0070796C">
        <w:t>a</w:t>
      </w:r>
      <w:r>
        <w:t>ppliquent au présent Règlement.</w:t>
      </w:r>
    </w:p>
    <w:p w:rsidR="008D01C3" w:rsidRPr="0070796C" w:rsidRDefault="008D01C3" w:rsidP="008D01C3">
      <w:pPr>
        <w:spacing w:after="120" w:line="240" w:lineRule="auto"/>
        <w:ind w:left="2268" w:right="1134"/>
        <w:jc w:val="both"/>
      </w:pPr>
      <w:r w:rsidRPr="0070796C">
        <w:tab/>
        <w:t>Les prescriptions pertinentes pour chaque feu et pour la (les) catégorie(s) de véhicule(s) concernée(s) sont applicables, pour autant que leur vérification soit possible lors de l</w:t>
      </w:r>
      <w:r>
        <w:t>’</w:t>
      </w:r>
      <w:r w:rsidRPr="0070796C">
        <w:t>homologation de type du feu.</w:t>
      </w:r>
    </w:p>
    <w:p w:rsidR="008D01C3" w:rsidRPr="0070796C" w:rsidRDefault="008D01C3" w:rsidP="008D01C3">
      <w:pPr>
        <w:pStyle w:val="SingleTxtG"/>
        <w:ind w:left="2268" w:hanging="1134"/>
      </w:pPr>
      <w:r w:rsidRPr="0070796C">
        <w:t>6.1</w:t>
      </w:r>
      <w:r w:rsidRPr="0070796C">
        <w:tab/>
        <w:t>…</w:t>
      </w:r>
      <w:r w:rsidR="00E62334">
        <w:t> »</w:t>
      </w:r>
    </w:p>
    <w:p w:rsidR="008D01C3" w:rsidRPr="0070796C" w:rsidRDefault="008D01C3" w:rsidP="00E62334">
      <w:pPr>
        <w:pStyle w:val="SingleTxtG"/>
        <w:keepNext/>
        <w:keepLines/>
        <w:spacing w:line="240" w:lineRule="auto"/>
        <w:ind w:left="2268" w:hanging="1134"/>
      </w:pPr>
      <w:r w:rsidRPr="0070796C">
        <w:rPr>
          <w:i/>
          <w:iCs/>
        </w:rPr>
        <w:t>Insérer un nouveau paragraphe 6.</w:t>
      </w:r>
      <w:r w:rsidRPr="0070796C">
        <w:t>5, libellé comme suit</w:t>
      </w:r>
      <w:r>
        <w:t> </w:t>
      </w:r>
      <w:r w:rsidRPr="0070796C">
        <w:t>:</w:t>
      </w:r>
    </w:p>
    <w:p w:rsidR="008D01C3" w:rsidRPr="0070796C" w:rsidRDefault="008D01C3" w:rsidP="008D01C3">
      <w:pPr>
        <w:pStyle w:val="SingleTxtG"/>
        <w:spacing w:line="240" w:lineRule="auto"/>
        <w:ind w:left="2268" w:right="1133" w:hanging="1134"/>
        <w:rPr>
          <w:bCs/>
        </w:rPr>
      </w:pPr>
      <w:r>
        <w:t>« </w:t>
      </w:r>
      <w:r w:rsidRPr="0070796C">
        <w:t>6.5</w:t>
      </w:r>
      <w:r w:rsidRPr="0070796C">
        <w:tab/>
        <w:t>Dans le cas d</w:t>
      </w:r>
      <w:r>
        <w:t>’</w:t>
      </w:r>
      <w:r w:rsidRPr="0070796C">
        <w:t>une ou plusieurs lampe(s) à incandescence non remplaçable(s) ou d</w:t>
      </w:r>
      <w:r>
        <w:t>’</w:t>
      </w:r>
      <w:r w:rsidRPr="0070796C">
        <w:t>un ou plusieurs module(s) d</w:t>
      </w:r>
      <w:r>
        <w:t>’</w:t>
      </w:r>
      <w:r w:rsidRPr="0070796C">
        <w:t>éclairage équipé(s) de lampe(s) à incandescence non remplaçable(s), le demandeur doit joindre au dossier d</w:t>
      </w:r>
      <w:r>
        <w:t>’</w:t>
      </w:r>
      <w:r w:rsidRPr="0070796C">
        <w:t xml:space="preserve">homologation de type un rapport (établi par le fabricant de la source </w:t>
      </w:r>
      <w:r w:rsidRPr="0070796C">
        <w:lastRenderedPageBreak/>
        <w:t>lumineuse mentionné dans ce dossier) démontrant de manière acceptable pour l</w:t>
      </w:r>
      <w:r>
        <w:t>’</w:t>
      </w:r>
      <w:r w:rsidRPr="0070796C">
        <w:t>autorité responsable de l</w:t>
      </w:r>
      <w:r>
        <w:t>’</w:t>
      </w:r>
      <w:r w:rsidRPr="0070796C">
        <w:t>homologation de type la conformité de cette (ces) lampe(s) avec les presc</w:t>
      </w:r>
      <w:r w:rsidR="00E450E2">
        <w:t>riptions énoncées au paragraphe 4.11 de la publication CEI </w:t>
      </w:r>
      <w:r w:rsidRPr="0070796C">
        <w:t>60809 (troisième édition).</w:t>
      </w:r>
      <w:r w:rsidR="00E62334">
        <w:t> »</w:t>
      </w:r>
    </w:p>
    <w:p w:rsidR="008D01C3" w:rsidRPr="0070796C" w:rsidRDefault="008D01C3" w:rsidP="00E62334">
      <w:pPr>
        <w:pStyle w:val="SingleTxtG"/>
        <w:keepNext/>
        <w:keepLines/>
        <w:spacing w:line="240" w:lineRule="auto"/>
        <w:ind w:left="2268" w:hanging="1134"/>
        <w:rPr>
          <w:bCs/>
        </w:rPr>
      </w:pPr>
      <w:r w:rsidRPr="0070796C">
        <w:rPr>
          <w:i/>
          <w:iCs/>
        </w:rPr>
        <w:t>Paragraphe 7.1.3</w:t>
      </w:r>
      <w:r w:rsidRPr="0070796C">
        <w:t>, modifier comme suit</w:t>
      </w:r>
      <w:r>
        <w:t> </w:t>
      </w:r>
      <w:r w:rsidRPr="0070796C">
        <w:t>:</w:t>
      </w:r>
    </w:p>
    <w:p w:rsidR="008D01C3" w:rsidRPr="0070796C" w:rsidRDefault="008D01C3" w:rsidP="008D01C3">
      <w:pPr>
        <w:pStyle w:val="SingleTxtG"/>
        <w:ind w:left="2268" w:hanging="1134"/>
        <w:rPr>
          <w:strike/>
        </w:rPr>
      </w:pPr>
      <w:r>
        <w:t>« </w:t>
      </w:r>
      <w:r w:rsidRPr="0070796C">
        <w:t>7.1.3</w:t>
      </w:r>
      <w:r w:rsidRPr="0070796C">
        <w:tab/>
        <w:t>S</w:t>
      </w:r>
      <w:r>
        <w:t>’</w:t>
      </w:r>
      <w:r w:rsidRPr="0070796C">
        <w:t>il s</w:t>
      </w:r>
      <w:r>
        <w:t>’</w:t>
      </w:r>
      <w:r w:rsidRPr="0070796C">
        <w:t>agit d</w:t>
      </w:r>
      <w:r>
        <w:t>’</w:t>
      </w:r>
      <w:r w:rsidRPr="0070796C">
        <w:t>un feu unique contenant plus d</w:t>
      </w:r>
      <w:r>
        <w:t>’</w:t>
      </w:r>
      <w:r w:rsidRPr="0070796C">
        <w:t>une source lumineuse, lorsque toutes les sources lumineuses fonctionnent les intensités maximales ne doivent pas être dépassées.</w:t>
      </w:r>
      <w:r w:rsidR="00E62334">
        <w:t> »</w:t>
      </w:r>
    </w:p>
    <w:p w:rsidR="008D01C3" w:rsidRPr="0070796C" w:rsidRDefault="008D01C3" w:rsidP="00E62334">
      <w:pPr>
        <w:pStyle w:val="SingleTxtG"/>
        <w:keepNext/>
        <w:keepLines/>
        <w:spacing w:line="240" w:lineRule="auto"/>
        <w:ind w:left="2268" w:hanging="1134"/>
        <w:rPr>
          <w:bCs/>
        </w:rPr>
      </w:pPr>
      <w:r w:rsidRPr="0070796C">
        <w:rPr>
          <w:i/>
          <w:iCs/>
        </w:rPr>
        <w:t>Ajouter un nouveau paragraphe 7.1.4</w:t>
      </w:r>
      <w:r w:rsidRPr="0070796C">
        <w:t>, libellé comme suit</w:t>
      </w:r>
      <w:r>
        <w:t> :</w:t>
      </w:r>
    </w:p>
    <w:p w:rsidR="008D01C3" w:rsidRPr="0070796C" w:rsidRDefault="008D01C3" w:rsidP="008D01C3">
      <w:pPr>
        <w:pStyle w:val="SingleTxtG"/>
        <w:spacing w:line="240" w:lineRule="auto"/>
        <w:ind w:left="2268" w:right="1133" w:hanging="1134"/>
      </w:pPr>
      <w:r>
        <w:t>« </w:t>
      </w:r>
      <w:r w:rsidRPr="0070796C">
        <w:t>7.1.4</w:t>
      </w:r>
      <w:r w:rsidRPr="0070796C">
        <w:tab/>
        <w:t>Défaillance d</w:t>
      </w:r>
      <w:r>
        <w:t>’</w:t>
      </w:r>
      <w:r w:rsidRPr="0070796C">
        <w:t>un feu unique contenant plus d</w:t>
      </w:r>
      <w:r>
        <w:t>’</w:t>
      </w:r>
      <w:r w:rsidRPr="0070796C">
        <w:t>une source lumineuse</w:t>
      </w:r>
      <w:r>
        <w:t> </w:t>
      </w:r>
      <w:r w:rsidRPr="0070796C">
        <w:t>:</w:t>
      </w:r>
    </w:p>
    <w:p w:rsidR="008D01C3" w:rsidRPr="0070796C" w:rsidRDefault="008D01C3" w:rsidP="008D01C3">
      <w:pPr>
        <w:pStyle w:val="SingleTxtG"/>
        <w:spacing w:line="240" w:lineRule="auto"/>
        <w:ind w:left="2268" w:right="1133" w:hanging="1134"/>
      </w:pPr>
      <w:r w:rsidRPr="0070796C">
        <w:t>7.1.4.1</w:t>
      </w:r>
      <w:r w:rsidRPr="0070796C">
        <w:tab/>
        <w:t>Dans un feu unique contenant plus d</w:t>
      </w:r>
      <w:r>
        <w:t>’</w:t>
      </w:r>
      <w:r w:rsidRPr="0070796C">
        <w:t>une source lumineuse, un groupe de sources lumineuses, branchées de manière qu</w:t>
      </w:r>
      <w:r>
        <w:t>’</w:t>
      </w:r>
      <w:r w:rsidRPr="0070796C">
        <w:t>en cas de défaillance de l</w:t>
      </w:r>
      <w:r>
        <w:t>’</w:t>
      </w:r>
      <w:r w:rsidRPr="0070796C">
        <w:t>une d</w:t>
      </w:r>
      <w:r>
        <w:t>’</w:t>
      </w:r>
      <w:r w:rsidRPr="0070796C">
        <w:t>elles toutes les autres s</w:t>
      </w:r>
      <w:r>
        <w:t>’</w:t>
      </w:r>
      <w:r w:rsidRPr="0070796C">
        <w:t>arrêtent d</w:t>
      </w:r>
      <w:r>
        <w:t>’</w:t>
      </w:r>
      <w:r w:rsidRPr="0070796C">
        <w:t>émettre de la lumière, doit être considéré comme une seule et même source lumineuse.</w:t>
      </w:r>
    </w:p>
    <w:p w:rsidR="008D01C3" w:rsidRPr="0070796C" w:rsidRDefault="008D01C3" w:rsidP="008D01C3">
      <w:pPr>
        <w:pStyle w:val="SingleTxtG"/>
        <w:spacing w:line="240" w:lineRule="auto"/>
        <w:ind w:left="2268" w:right="1133" w:hanging="1134"/>
      </w:pPr>
      <w:r w:rsidRPr="0070796C">
        <w:t>7.1.4.2</w:t>
      </w:r>
      <w:r w:rsidRPr="0070796C">
        <w:tab/>
        <w:t>En cas de défaillance de l</w:t>
      </w:r>
      <w:r>
        <w:t>’</w:t>
      </w:r>
      <w:r w:rsidRPr="0070796C">
        <w:t>une quelconque des sources lumineuses d</w:t>
      </w:r>
      <w:r>
        <w:t>’</w:t>
      </w:r>
      <w:r w:rsidRPr="0070796C">
        <w:t>un feu unique qui en contient plusieurs, l</w:t>
      </w:r>
      <w:r>
        <w:t>’</w:t>
      </w:r>
      <w:r w:rsidRPr="0070796C">
        <w:t>une au moins des dispositions suivantes s</w:t>
      </w:r>
      <w:r>
        <w:t>’</w:t>
      </w:r>
      <w:r w:rsidRPr="0070796C">
        <w:t>applique</w:t>
      </w:r>
      <w:r>
        <w:t> </w:t>
      </w:r>
      <w:r w:rsidRPr="0070796C">
        <w:t>:</w:t>
      </w:r>
    </w:p>
    <w:p w:rsidR="008D01C3" w:rsidRPr="0070796C" w:rsidRDefault="008D01C3" w:rsidP="008D01C3">
      <w:pPr>
        <w:pStyle w:val="SingleTxtG"/>
        <w:ind w:left="2835" w:hanging="567"/>
        <w:rPr>
          <w:bCs/>
        </w:rPr>
      </w:pPr>
      <w:r w:rsidRPr="0070796C">
        <w:t>a)</w:t>
      </w:r>
      <w:r w:rsidRPr="0070796C">
        <w:tab/>
        <w:t>L</w:t>
      </w:r>
      <w:r>
        <w:t>’</w:t>
      </w:r>
      <w:r w:rsidRPr="0070796C">
        <w:t>intensité lumineuse satisfait à l</w:t>
      </w:r>
      <w:r>
        <w:t>’</w:t>
      </w:r>
      <w:r w:rsidRPr="0070796C">
        <w:t>intensité minimale prescrite dans le tableau de répartition lumineuse spatiale normalisée de l</w:t>
      </w:r>
      <w:r>
        <w:t>’</w:t>
      </w:r>
      <w:r w:rsidR="00E663A9">
        <w:t>annexe 4 ;</w:t>
      </w:r>
      <w:r w:rsidRPr="0070796C">
        <w:t xml:space="preserve"> ou</w:t>
      </w:r>
    </w:p>
    <w:p w:rsidR="008D01C3" w:rsidRPr="0070796C" w:rsidRDefault="008D01C3" w:rsidP="008D01C3">
      <w:pPr>
        <w:pStyle w:val="SingleTxtG"/>
        <w:ind w:left="2835" w:hanging="567"/>
      </w:pPr>
      <w:r w:rsidRPr="0070796C">
        <w:t>b)</w:t>
      </w:r>
      <w:r w:rsidRPr="0070796C">
        <w:tab/>
        <w:t>Un signal d</w:t>
      </w:r>
      <w:r>
        <w:t>’</w:t>
      </w:r>
      <w:r w:rsidRPr="0070796C">
        <w:t>activation d</w:t>
      </w:r>
      <w:r>
        <w:t>’</w:t>
      </w:r>
      <w:r w:rsidRPr="0070796C">
        <w:t xml:space="preserve">un témoin de défaut de fonctionnement est produit, comme décrit au paragraphe 6.12.8 du Règlement </w:t>
      </w:r>
      <w:r w:rsidRPr="005E51F5">
        <w:rPr>
          <w:rFonts w:eastAsia="MS Mincho"/>
          <w:szCs w:val="22"/>
        </w:rPr>
        <w:t>n</w:t>
      </w:r>
      <w:r w:rsidRPr="005E51F5">
        <w:rPr>
          <w:rFonts w:eastAsia="MS Mincho"/>
          <w:szCs w:val="22"/>
          <w:vertAlign w:val="superscript"/>
        </w:rPr>
        <w:t>o</w:t>
      </w:r>
      <w:r>
        <w:t> </w:t>
      </w:r>
      <w:r w:rsidRPr="0070796C">
        <w:t>48, à condition que l</w:t>
      </w:r>
      <w:r>
        <w:t>’</w:t>
      </w:r>
      <w:r w:rsidRPr="0070796C">
        <w:t>intensité lumineuse mesurée sur l</w:t>
      </w:r>
      <w:r>
        <w:t>’</w:t>
      </w:r>
      <w:r w:rsidRPr="0070796C">
        <w:t>axe de référence soit égale à 50 % au moins de la valeur minimale d</w:t>
      </w:r>
      <w:r>
        <w:t>’</w:t>
      </w:r>
      <w:r w:rsidRPr="0070796C">
        <w:t xml:space="preserve">intensité requise. Dans ce cas, </w:t>
      </w:r>
      <w:r w:rsidRPr="00A2600B">
        <w:t>la fiche de communication indique que le feu en question ne peut être utilisé</w:t>
      </w:r>
      <w:r w:rsidRPr="0070796C">
        <w:t xml:space="preserve"> que sur un véhicule équipé d</w:t>
      </w:r>
      <w:r>
        <w:t>’</w:t>
      </w:r>
      <w:r w:rsidRPr="0070796C">
        <w:t>un témoin de défaut de fonctionnement.</w:t>
      </w:r>
      <w:r w:rsidR="00E62334">
        <w:t> »</w:t>
      </w:r>
    </w:p>
    <w:p w:rsidR="008D01C3" w:rsidRPr="00126FEB" w:rsidRDefault="008D01C3" w:rsidP="00E62334">
      <w:pPr>
        <w:pStyle w:val="SingleTxtG"/>
        <w:keepNext/>
        <w:keepLines/>
        <w:spacing w:line="240" w:lineRule="auto"/>
        <w:ind w:left="2268" w:hanging="1134"/>
        <w:rPr>
          <w:i/>
          <w:iCs/>
        </w:rPr>
      </w:pPr>
      <w:r w:rsidRPr="0070796C">
        <w:rPr>
          <w:i/>
          <w:iCs/>
        </w:rPr>
        <w:t>Paragraphe 12.1</w:t>
      </w:r>
      <w:r w:rsidRPr="005E51F5">
        <w:rPr>
          <w:iCs/>
        </w:rPr>
        <w:t>, modifier comme suit :</w:t>
      </w:r>
    </w:p>
    <w:p w:rsidR="008D01C3" w:rsidRPr="0070796C" w:rsidRDefault="008D01C3" w:rsidP="008D01C3">
      <w:pPr>
        <w:pStyle w:val="SingleTxtG"/>
        <w:spacing w:line="240" w:lineRule="auto"/>
        <w:ind w:left="2268" w:right="1133" w:hanging="1134"/>
      </w:pPr>
      <w:r>
        <w:t>« </w:t>
      </w:r>
      <w:r w:rsidRPr="0070796C">
        <w:t>12.1</w:t>
      </w:r>
      <w:r w:rsidRPr="0070796C">
        <w:tab/>
        <w:t>Les feux de stationnement doivent être fabriqués de façon à être conformes au type homologué</w:t>
      </w:r>
      <w:r>
        <w:t xml:space="preserve"> en vertu du présent Règlement.</w:t>
      </w:r>
    </w:p>
    <w:p w:rsidR="008D01C3" w:rsidRPr="0070796C" w:rsidRDefault="008D01C3" w:rsidP="008D01C3">
      <w:pPr>
        <w:pStyle w:val="SingleTxtG"/>
        <w:ind w:left="2268"/>
      </w:pPr>
      <w:r w:rsidRPr="00784982">
        <w:rPr>
          <w:spacing w:val="-2"/>
        </w:rPr>
        <w:t>La conformité avec les prescri</w:t>
      </w:r>
      <w:r w:rsidR="00F1037C">
        <w:rPr>
          <w:spacing w:val="-2"/>
        </w:rPr>
        <w:t>ptions énoncées aux paragraphes </w:t>
      </w:r>
      <w:r w:rsidRPr="00784982">
        <w:rPr>
          <w:spacing w:val="-2"/>
        </w:rPr>
        <w:t>7 et 9</w:t>
      </w:r>
      <w:r w:rsidRPr="0070796C">
        <w:t xml:space="preserve"> ci</w:t>
      </w:r>
      <w:r>
        <w:t>-</w:t>
      </w:r>
      <w:r w:rsidRPr="0070796C">
        <w:t>dessus doit être vérifiée de la manière suivante</w:t>
      </w:r>
      <w:r w:rsidR="00E62334">
        <w:t> : »</w:t>
      </w:r>
    </w:p>
    <w:p w:rsidR="008D01C3" w:rsidRPr="0070796C" w:rsidRDefault="008D01C3" w:rsidP="008D01C3">
      <w:pPr>
        <w:pStyle w:val="SingleTxtG"/>
        <w:spacing w:line="240" w:lineRule="auto"/>
        <w:ind w:left="2268" w:hanging="1134"/>
      </w:pPr>
      <w:r w:rsidRPr="0070796C">
        <w:rPr>
          <w:i/>
          <w:iCs/>
        </w:rPr>
        <w:t>Le paragraphe 12.2</w:t>
      </w:r>
      <w:r>
        <w:t xml:space="preserve"> devient le paragraphe 12.1.1.</w:t>
      </w:r>
    </w:p>
    <w:p w:rsidR="008D01C3" w:rsidRPr="0070796C" w:rsidRDefault="008D01C3" w:rsidP="008D01C3">
      <w:pPr>
        <w:pStyle w:val="SingleTxtG"/>
        <w:spacing w:line="240" w:lineRule="auto"/>
        <w:ind w:left="2268" w:hanging="1134"/>
        <w:rPr>
          <w:bCs/>
        </w:rPr>
      </w:pPr>
      <w:r w:rsidRPr="0070796C">
        <w:rPr>
          <w:i/>
          <w:iCs/>
        </w:rPr>
        <w:t>Le paragraphe 12.3</w:t>
      </w:r>
      <w:r>
        <w:t xml:space="preserve"> devient le paragraphe 12.1.2.</w:t>
      </w:r>
    </w:p>
    <w:p w:rsidR="008D01C3" w:rsidRPr="0070796C" w:rsidRDefault="008D01C3" w:rsidP="008D01C3">
      <w:pPr>
        <w:pStyle w:val="SingleTxtG"/>
        <w:spacing w:line="240" w:lineRule="auto"/>
        <w:ind w:left="2268" w:hanging="1134"/>
      </w:pPr>
      <w:r w:rsidRPr="0070796C">
        <w:rPr>
          <w:i/>
          <w:iCs/>
        </w:rPr>
        <w:t>Le paragraphe 12.4</w:t>
      </w:r>
      <w:r w:rsidRPr="0070796C">
        <w:t xml:space="preserve"> devient le par</w:t>
      </w:r>
      <w:r>
        <w:t>agraphe 12.2.</w:t>
      </w:r>
    </w:p>
    <w:p w:rsidR="008D01C3" w:rsidRPr="0070796C" w:rsidRDefault="008D01C3" w:rsidP="00E62334">
      <w:pPr>
        <w:pStyle w:val="SingleTxtG"/>
        <w:keepNext/>
        <w:keepLines/>
        <w:spacing w:line="240" w:lineRule="auto"/>
        <w:ind w:left="2268" w:hanging="1134"/>
      </w:pPr>
      <w:r w:rsidRPr="0070796C">
        <w:rPr>
          <w:i/>
          <w:iCs/>
        </w:rPr>
        <w:t>Ajouter un nouveau paragraphe 12.3</w:t>
      </w:r>
      <w:r w:rsidRPr="0070796C">
        <w:t>, libellé comme suit</w:t>
      </w:r>
      <w:r>
        <w:t> </w:t>
      </w:r>
      <w:r w:rsidRPr="0070796C">
        <w:t>:</w:t>
      </w:r>
    </w:p>
    <w:p w:rsidR="008D01C3" w:rsidRPr="0070796C" w:rsidRDefault="008D01C3" w:rsidP="008D01C3">
      <w:pPr>
        <w:pStyle w:val="SingleTxtG"/>
        <w:spacing w:line="240" w:lineRule="auto"/>
        <w:ind w:left="2268" w:right="1133" w:hanging="1134"/>
        <w:rPr>
          <w:bCs/>
        </w:rPr>
      </w:pPr>
      <w:r>
        <w:t>« </w:t>
      </w:r>
      <w:r w:rsidRPr="0070796C">
        <w:t>12.3</w:t>
      </w:r>
      <w:r w:rsidRPr="0070796C">
        <w:tab/>
        <w:t>Dans le cas d</w:t>
      </w:r>
      <w:r>
        <w:t>’</w:t>
      </w:r>
      <w:r w:rsidRPr="0070796C">
        <w:t>une ou plusieurs lampe(s) à incandescence non remplaçable(s) ou d</w:t>
      </w:r>
      <w:r>
        <w:t>’</w:t>
      </w:r>
      <w:r w:rsidRPr="0070796C">
        <w:t xml:space="preserve">un ou </w:t>
      </w:r>
      <w:r w:rsidR="00492DC5">
        <w:t xml:space="preserve">de </w:t>
      </w:r>
      <w:r w:rsidRPr="0070796C">
        <w:t>plusieurs module(s) d</w:t>
      </w:r>
      <w:r>
        <w:t>’</w:t>
      </w:r>
      <w:r w:rsidRPr="0070796C">
        <w:t>éclairage équipé(s) de lampe(s) à incandescence non remplaçable(s), un rapport (établi par le fabricant de la source lumineuse mentionné dans le dossier d</w:t>
      </w:r>
      <w:r>
        <w:t>’</w:t>
      </w:r>
      <w:r w:rsidRPr="0070796C">
        <w:t>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 4.11 de la publication</w:t>
      </w:r>
      <w:r>
        <w:t xml:space="preserve"> CEI 60809 (troisième éditi</w:t>
      </w:r>
      <w:r w:rsidR="00E62334">
        <w:t>on). »</w:t>
      </w:r>
    </w:p>
    <w:p w:rsidR="008D01C3" w:rsidRPr="0070796C" w:rsidRDefault="00E62334" w:rsidP="00E62334">
      <w:pPr>
        <w:pStyle w:val="SingleTxtG"/>
        <w:keepNext/>
        <w:keepLines/>
        <w:spacing w:line="240" w:lineRule="auto"/>
        <w:ind w:left="2268" w:hanging="1134"/>
      </w:pPr>
      <w:r>
        <w:rPr>
          <w:i/>
          <w:iCs/>
        </w:rPr>
        <w:t>Annexe 1, point </w:t>
      </w:r>
      <w:r w:rsidR="008D01C3" w:rsidRPr="0070796C">
        <w:rPr>
          <w:i/>
          <w:iCs/>
        </w:rPr>
        <w:t>9</w:t>
      </w:r>
      <w:r w:rsidR="008D01C3" w:rsidRPr="0070796C">
        <w:t>, modifier comme suit</w:t>
      </w:r>
      <w:r w:rsidR="008D01C3">
        <w:t> </w:t>
      </w:r>
      <w:r w:rsidR="008D01C3" w:rsidRPr="0070796C">
        <w:t>:</w:t>
      </w:r>
    </w:p>
    <w:p w:rsidR="008D01C3" w:rsidRPr="0070796C" w:rsidRDefault="008D01C3" w:rsidP="00F1037C">
      <w:pPr>
        <w:pStyle w:val="SingleTxtG"/>
        <w:keepNext/>
        <w:keepLines/>
        <w:ind w:left="2268" w:hanging="1134"/>
      </w:pPr>
      <w:r>
        <w:t>« </w:t>
      </w:r>
      <w:r w:rsidRPr="0070796C">
        <w:t>9.</w:t>
      </w:r>
      <w:r w:rsidRPr="0070796C">
        <w:tab/>
        <w:t>Description sommaire</w:t>
      </w:r>
      <w:r>
        <w:t> </w:t>
      </w:r>
      <w:r w:rsidRPr="0070796C">
        <w:t>:</w:t>
      </w:r>
    </w:p>
    <w:p w:rsidR="008D01C3" w:rsidRPr="0070796C" w:rsidRDefault="008D01C3" w:rsidP="008D01C3">
      <w:pPr>
        <w:pStyle w:val="SingleTxtG"/>
        <w:tabs>
          <w:tab w:val="right" w:leader="dot" w:pos="8505"/>
        </w:tabs>
        <w:ind w:left="2268"/>
      </w:pPr>
      <w:r w:rsidRPr="0070796C">
        <w:t>Couleur de la lumière émise</w:t>
      </w:r>
      <w:r>
        <w:t> </w:t>
      </w:r>
      <w:r w:rsidRPr="0070796C">
        <w:t>:</w:t>
      </w:r>
      <w:r w:rsidRPr="0070796C">
        <w:tab/>
        <w:t>rouge/blanc/ambre</w:t>
      </w:r>
      <w:r w:rsidRPr="0070796C">
        <w:rPr>
          <w:vertAlign w:val="superscript"/>
        </w:rPr>
        <w:t>2</w:t>
      </w:r>
    </w:p>
    <w:p w:rsidR="008D01C3" w:rsidRPr="0070796C" w:rsidRDefault="008D01C3" w:rsidP="008D01C3">
      <w:pPr>
        <w:pStyle w:val="SingleTxtG"/>
        <w:tabs>
          <w:tab w:val="right" w:leader="dot" w:pos="8505"/>
        </w:tabs>
        <w:ind w:left="2268"/>
      </w:pPr>
      <w:r w:rsidRPr="0070796C">
        <w:t>Nombre et catégorie(s) de source(s) lumineuse(s)</w:t>
      </w:r>
      <w:r>
        <w:t> :</w:t>
      </w:r>
      <w:r w:rsidRPr="0070796C">
        <w:tab/>
      </w:r>
    </w:p>
    <w:p w:rsidR="008D01C3" w:rsidRPr="0070796C" w:rsidRDefault="008D01C3" w:rsidP="008D01C3">
      <w:pPr>
        <w:pStyle w:val="SingleTxtG"/>
        <w:tabs>
          <w:tab w:val="right" w:leader="dot" w:pos="8505"/>
        </w:tabs>
        <w:ind w:left="2268"/>
      </w:pPr>
      <w:r w:rsidRPr="0070796C">
        <w:t>Module d</w:t>
      </w:r>
      <w:r>
        <w:t>’</w:t>
      </w:r>
      <w:r w:rsidRPr="0070796C">
        <w:t>éclairage</w:t>
      </w:r>
      <w:r>
        <w:t> :</w:t>
      </w:r>
      <w:r w:rsidRPr="0070796C">
        <w:tab/>
        <w:t>oui/non</w:t>
      </w:r>
      <w:r w:rsidRPr="0070796C">
        <w:rPr>
          <w:vertAlign w:val="superscript"/>
        </w:rPr>
        <w:t>2</w:t>
      </w:r>
    </w:p>
    <w:p w:rsidR="008D01C3" w:rsidRPr="0070796C" w:rsidRDefault="008D01C3" w:rsidP="008D01C3">
      <w:pPr>
        <w:pStyle w:val="SingleTxtG"/>
        <w:tabs>
          <w:tab w:val="right" w:leader="dot" w:pos="8505"/>
        </w:tabs>
        <w:ind w:left="2268"/>
      </w:pPr>
      <w:r w:rsidRPr="0070796C">
        <w:lastRenderedPageBreak/>
        <w:t>Code d</w:t>
      </w:r>
      <w:r>
        <w:t>’</w:t>
      </w:r>
      <w:r w:rsidRPr="0070796C">
        <w:t>identification propre au module d</w:t>
      </w:r>
      <w:r>
        <w:t>’</w:t>
      </w:r>
      <w:r w:rsidRPr="0070796C">
        <w:t>éclairage</w:t>
      </w:r>
      <w:r>
        <w:t> </w:t>
      </w:r>
      <w:r w:rsidRPr="0070796C">
        <w:t>:</w:t>
      </w:r>
      <w:r w:rsidRPr="0070796C">
        <w:tab/>
      </w:r>
    </w:p>
    <w:p w:rsidR="008D01C3" w:rsidRPr="0070796C" w:rsidRDefault="008D01C3" w:rsidP="008D01C3">
      <w:pPr>
        <w:pStyle w:val="SingleTxtG"/>
        <w:tabs>
          <w:tab w:val="right" w:leader="dot" w:pos="8505"/>
        </w:tabs>
        <w:ind w:left="2268"/>
      </w:pPr>
      <w:r w:rsidRPr="0070796C">
        <w:t>Conditions géométriques de montage et variantes éventuelles</w:t>
      </w:r>
      <w:r>
        <w:t> </w:t>
      </w:r>
      <w:r w:rsidRPr="0070796C">
        <w:t>:</w:t>
      </w:r>
      <w:r w:rsidRPr="0070796C">
        <w:tab/>
      </w:r>
    </w:p>
    <w:p w:rsidR="008D01C3" w:rsidRPr="0070796C" w:rsidRDefault="008D01C3" w:rsidP="00F1037C">
      <w:pPr>
        <w:pStyle w:val="SingleTxtG"/>
        <w:keepNext/>
        <w:keepLines/>
        <w:ind w:left="2268"/>
      </w:pPr>
      <w:r w:rsidRPr="0070796C">
        <w:tab/>
      </w:r>
      <w:r w:rsidRPr="00832C32">
        <w:t>Le dispositif de régulation électronique de la source lumineuse ou le régulateur d</w:t>
      </w:r>
      <w:r>
        <w:t>’</w:t>
      </w:r>
      <w:r w:rsidRPr="00832C32">
        <w:t>intensité</w:t>
      </w:r>
      <w:r>
        <w:t> </w:t>
      </w:r>
      <w:r w:rsidRPr="00832C32">
        <w:t>:</w:t>
      </w:r>
    </w:p>
    <w:p w:rsidR="008D01C3" w:rsidRPr="0070796C" w:rsidRDefault="008D01C3" w:rsidP="008D01C3">
      <w:pPr>
        <w:pStyle w:val="SingleTxtG"/>
        <w:tabs>
          <w:tab w:val="left" w:pos="2835"/>
          <w:tab w:val="right" w:leader="dot" w:pos="8505"/>
        </w:tabs>
        <w:ind w:left="2268"/>
      </w:pPr>
      <w:r>
        <w:t>a)</w:t>
      </w:r>
      <w:r>
        <w:tab/>
      </w:r>
      <w:r w:rsidRPr="0070796C">
        <w:t>Fait partie du feu</w:t>
      </w:r>
      <w:r>
        <w:t> :</w:t>
      </w:r>
      <w:r w:rsidRPr="0070796C">
        <w:tab/>
        <w:t>oui/non/sans objet</w:t>
      </w:r>
      <w:r w:rsidRPr="0070796C">
        <w:rPr>
          <w:vertAlign w:val="superscript"/>
        </w:rPr>
        <w:t>2</w:t>
      </w:r>
    </w:p>
    <w:p w:rsidR="008D01C3" w:rsidRPr="0070796C" w:rsidRDefault="008D01C3" w:rsidP="008D01C3">
      <w:pPr>
        <w:pStyle w:val="SingleTxtG"/>
        <w:tabs>
          <w:tab w:val="left" w:pos="2835"/>
          <w:tab w:val="right" w:leader="dot" w:pos="8505"/>
        </w:tabs>
        <w:ind w:left="2268"/>
      </w:pPr>
      <w:r w:rsidRPr="0070796C">
        <w:t>b)</w:t>
      </w:r>
      <w:r>
        <w:tab/>
      </w:r>
      <w:r w:rsidRPr="0070796C">
        <w:t>Ne fait pas partie du feu</w:t>
      </w:r>
      <w:r>
        <w:t> :</w:t>
      </w:r>
      <w:r w:rsidRPr="0070796C">
        <w:tab/>
        <w:t>oui/non/sans objet</w:t>
      </w:r>
      <w:r w:rsidRPr="0070796C">
        <w:rPr>
          <w:vertAlign w:val="superscript"/>
        </w:rPr>
        <w:t>2</w:t>
      </w:r>
    </w:p>
    <w:p w:rsidR="008D01C3" w:rsidRPr="0070796C" w:rsidRDefault="008D01C3" w:rsidP="008D01C3">
      <w:pPr>
        <w:pStyle w:val="SingleTxtG"/>
        <w:tabs>
          <w:tab w:val="right" w:leader="dot" w:pos="8505"/>
        </w:tabs>
        <w:ind w:left="2268"/>
      </w:pPr>
      <w:r w:rsidRPr="0070796C">
        <w:t>Tension(s) d</w:t>
      </w:r>
      <w:r>
        <w:t>’</w:t>
      </w:r>
      <w:r w:rsidRPr="0070796C">
        <w:t>alimentation du dispositif de régulation électronique de la source lumineuse ou du régulateur d</w:t>
      </w:r>
      <w:r>
        <w:t>’</w:t>
      </w:r>
      <w:r w:rsidRPr="0070796C">
        <w:t>intensité</w:t>
      </w:r>
      <w:r>
        <w:t> :</w:t>
      </w:r>
      <w:r w:rsidRPr="0070796C">
        <w:tab/>
      </w:r>
    </w:p>
    <w:p w:rsidR="008D01C3" w:rsidRPr="0070796C" w:rsidRDefault="008D01C3" w:rsidP="008D01C3">
      <w:pPr>
        <w:pStyle w:val="SingleTxtG"/>
        <w:tabs>
          <w:tab w:val="right" w:leader="dot" w:pos="8505"/>
        </w:tabs>
        <w:ind w:left="2268"/>
      </w:pPr>
      <w:r w:rsidRPr="0070796C">
        <w:t>Nom du fabricant et numéro d</w:t>
      </w:r>
      <w:r>
        <w:t>’</w:t>
      </w:r>
      <w:r w:rsidRPr="0070796C">
        <w:t>identification du dispositif de régulation électronique de la source lumineuse ou du régulateur d</w:t>
      </w:r>
      <w:r>
        <w:t>’</w:t>
      </w:r>
      <w:r w:rsidRPr="0070796C">
        <w:t>intensité (lorsque le dispositif de régulation de la source lumineuse fait partie du feu mais n</w:t>
      </w:r>
      <w:r>
        <w:t>’</w:t>
      </w:r>
      <w:r w:rsidRPr="0070796C">
        <w:t>est pas incorporé dans son boîtier)</w:t>
      </w:r>
      <w:r>
        <w:t> </w:t>
      </w:r>
      <w:r w:rsidRPr="0070796C">
        <w:t>:</w:t>
      </w:r>
      <w:r w:rsidRPr="0070796C">
        <w:tab/>
      </w:r>
    </w:p>
    <w:p w:rsidR="008D01C3" w:rsidRPr="00200908" w:rsidRDefault="008D01C3" w:rsidP="00492DC5">
      <w:pPr>
        <w:pStyle w:val="SingleTxtG"/>
        <w:tabs>
          <w:tab w:val="right" w:leader="dot" w:pos="8505"/>
        </w:tabs>
        <w:ind w:left="2268"/>
      </w:pPr>
      <w:r w:rsidRPr="0070796C">
        <w:t>Le feu ne peut être utilisé que dans un véhicule équipé d</w:t>
      </w:r>
      <w:r>
        <w:t>’</w:t>
      </w:r>
      <w:r w:rsidRPr="0070796C">
        <w:t>un témoin indiquant un défaut de fonctionnement</w:t>
      </w:r>
      <w:r>
        <w:t> </w:t>
      </w:r>
      <w:r w:rsidRPr="0070796C">
        <w:t>:</w:t>
      </w:r>
      <w:r w:rsidR="00492DC5" w:rsidRPr="0070796C">
        <w:tab/>
        <w:t>oui/non</w:t>
      </w:r>
      <w:r w:rsidR="00492DC5" w:rsidRPr="0070796C">
        <w:rPr>
          <w:vertAlign w:val="superscript"/>
        </w:rPr>
        <w:t>2</w:t>
      </w:r>
      <w:r w:rsidR="00492DC5">
        <w:t> ».</w:t>
      </w:r>
    </w:p>
    <w:p w:rsidR="008D01C3" w:rsidRPr="0070796C" w:rsidRDefault="00E62334" w:rsidP="00E62334">
      <w:pPr>
        <w:pStyle w:val="SingleTxtG"/>
        <w:keepNext/>
        <w:keepLines/>
        <w:spacing w:line="240" w:lineRule="auto"/>
        <w:ind w:left="2268" w:hanging="1134"/>
        <w:rPr>
          <w:i/>
        </w:rPr>
      </w:pPr>
      <w:r>
        <w:rPr>
          <w:i/>
          <w:iCs/>
        </w:rPr>
        <w:t>Annexe </w:t>
      </w:r>
      <w:r w:rsidR="008D01C3" w:rsidRPr="0070796C">
        <w:rPr>
          <w:i/>
          <w:iCs/>
        </w:rPr>
        <w:t>5</w:t>
      </w:r>
      <w:r w:rsidR="008D01C3" w:rsidRPr="0070796C">
        <w:t xml:space="preserve">, </w:t>
      </w:r>
    </w:p>
    <w:p w:rsidR="008D01C3" w:rsidRPr="0070796C" w:rsidRDefault="00F1037C" w:rsidP="00E62334">
      <w:pPr>
        <w:pStyle w:val="SingleTxtG"/>
        <w:keepNext/>
        <w:keepLines/>
        <w:spacing w:line="240" w:lineRule="auto"/>
        <w:ind w:left="2268" w:hanging="1134"/>
      </w:pPr>
      <w:r>
        <w:rPr>
          <w:i/>
          <w:iCs/>
        </w:rPr>
        <w:t>Paragraphes </w:t>
      </w:r>
      <w:r w:rsidR="008D01C3" w:rsidRPr="0070796C">
        <w:rPr>
          <w:i/>
          <w:iCs/>
        </w:rPr>
        <w:t>1.2 à 1.3</w:t>
      </w:r>
      <w:r w:rsidR="008D01C3" w:rsidRPr="0070796C">
        <w:t>, modifier comme suit</w:t>
      </w:r>
      <w:r w:rsidR="008D01C3">
        <w:t> :</w:t>
      </w:r>
    </w:p>
    <w:p w:rsidR="008D01C3" w:rsidRPr="0070796C" w:rsidRDefault="008D01C3" w:rsidP="008D01C3">
      <w:pPr>
        <w:pStyle w:val="SingleTxtG"/>
        <w:spacing w:line="240" w:lineRule="auto"/>
        <w:ind w:left="2268" w:right="1133" w:hanging="1134"/>
      </w:pPr>
      <w:r>
        <w:t>« </w:t>
      </w:r>
      <w:r w:rsidRPr="0070796C">
        <w:t>1.2</w:t>
      </w:r>
      <w:r w:rsidRPr="0070796C">
        <w:tab/>
        <w:t>En ce qui concerne les caractéristiques photométriques, la conformité des feux de série ne doit pas être contestée si, lorsqu</w:t>
      </w:r>
      <w:r>
        <w:t>’</w:t>
      </w:r>
      <w:r w:rsidRPr="0070796C">
        <w:t>il est procédé, conformément au paragraphe 8 du présent Règlement, à l</w:t>
      </w:r>
      <w:r>
        <w:t>’</w:t>
      </w:r>
      <w:r w:rsidRPr="0070796C">
        <w:t>essai des caractéristiques photométriques telles qu</w:t>
      </w:r>
      <w:r>
        <w:t>’</w:t>
      </w:r>
      <w:r w:rsidR="00E62334">
        <w:t>énoncées au paragraphe </w:t>
      </w:r>
      <w:r w:rsidRPr="0070796C">
        <w:t>7, d</w:t>
      </w:r>
      <w:r>
        <w:t>’</w:t>
      </w:r>
      <w:r w:rsidRPr="0070796C">
        <w:t>un feu choisi au hasard et équipé d</w:t>
      </w:r>
      <w:r>
        <w:t>’</w:t>
      </w:r>
      <w:r w:rsidRPr="0070796C">
        <w:t>une source lumineuse étalon, ou d</w:t>
      </w:r>
      <w:r>
        <w:t>’</w:t>
      </w:r>
      <w:r w:rsidRPr="0070796C">
        <w:t>un feu équipé de sources lumineuses non remplaçables (à incandescence et autres), avec les sources lumin</w:t>
      </w:r>
      <w:r w:rsidR="00F1037C">
        <w:t>euses présentées fonctionnant à </w:t>
      </w:r>
      <w:r w:rsidRPr="0070796C">
        <w:t>6,75</w:t>
      </w:r>
      <w:r>
        <w:t> </w:t>
      </w:r>
      <w:r w:rsidRPr="0070796C">
        <w:t>V, 13,5</w:t>
      </w:r>
      <w:r>
        <w:t> </w:t>
      </w:r>
      <w:r w:rsidRPr="0070796C">
        <w:t>V ou 28,0</w:t>
      </w:r>
      <w:r>
        <w:t> </w:t>
      </w:r>
      <w:r w:rsidRPr="0070796C">
        <w:t>V respectivement</w:t>
      </w:r>
      <w:r>
        <w:t> </w:t>
      </w:r>
      <w:r w:rsidRPr="0070796C">
        <w:t>:</w:t>
      </w:r>
    </w:p>
    <w:p w:rsidR="008D01C3" w:rsidRPr="0070796C" w:rsidRDefault="008D01C3" w:rsidP="008D01C3">
      <w:pPr>
        <w:pStyle w:val="SingleTxtG"/>
        <w:spacing w:line="240" w:lineRule="auto"/>
        <w:ind w:left="2268" w:right="1133" w:hanging="1134"/>
      </w:pPr>
      <w:r w:rsidRPr="0070796C">
        <w:t>1.2.1</w:t>
      </w:r>
      <w:r w:rsidRPr="0070796C">
        <w:tab/>
        <w:t>Aucune valeur mesurée ne s</w:t>
      </w:r>
      <w:r>
        <w:t>’</w:t>
      </w:r>
      <w:r w:rsidRPr="0070796C">
        <w:t>écarte, dans le sens défavorable, de plus de 20 % des valeurs prescrites dans le présent Règlement.</w:t>
      </w:r>
    </w:p>
    <w:p w:rsidR="008D01C3" w:rsidRPr="0070796C" w:rsidRDefault="008D01C3" w:rsidP="00F1037C">
      <w:pPr>
        <w:pStyle w:val="SingleTxtG"/>
        <w:keepNext/>
        <w:spacing w:line="240" w:lineRule="auto"/>
        <w:ind w:left="2268"/>
      </w:pPr>
      <w:r w:rsidRPr="0070796C">
        <w:t>Pour les valeurs minimales requises dans tous les domaines précisés à l</w:t>
      </w:r>
      <w:r>
        <w:t>’</w:t>
      </w:r>
      <w:r w:rsidRPr="0070796C">
        <w:t>annexe 3 les écarts maximaux respectifs des valeurs mesurées doivent correspondre à ceux qui sont indiqués dans le tableau ci-dessous</w:t>
      </w:r>
      <w:r>
        <w:t> </w:t>
      </w:r>
      <w:r w:rsidRPr="0070796C">
        <w:t>:</w:t>
      </w:r>
    </w:p>
    <w:tbl>
      <w:tblPr>
        <w:tblW w:w="6237"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9"/>
        <w:gridCol w:w="2079"/>
        <w:gridCol w:w="2079"/>
      </w:tblGrid>
      <w:tr w:rsidR="008D01C3" w:rsidRPr="00B3346E" w:rsidTr="00E62334">
        <w:trPr>
          <w:tblHeader/>
        </w:trPr>
        <w:tc>
          <w:tcPr>
            <w:tcW w:w="2079" w:type="dxa"/>
            <w:tcBorders>
              <w:bottom w:val="single" w:sz="12" w:space="0" w:color="auto"/>
            </w:tcBorders>
            <w:shd w:val="clear" w:color="auto" w:fill="auto"/>
            <w:vAlign w:val="bottom"/>
            <w:hideMark/>
          </w:tcPr>
          <w:p w:rsidR="008D01C3" w:rsidRPr="00B3346E" w:rsidRDefault="008D01C3" w:rsidP="00E62334">
            <w:pPr>
              <w:spacing w:before="80" w:after="80" w:line="200" w:lineRule="exact"/>
              <w:ind w:right="57"/>
              <w:jc w:val="center"/>
              <w:rPr>
                <w:i/>
                <w:sz w:val="16"/>
              </w:rPr>
            </w:pPr>
            <w:r w:rsidRPr="00B3346E">
              <w:rPr>
                <w:i/>
                <w:sz w:val="16"/>
              </w:rPr>
              <w:t>Valeur minimale requise</w:t>
            </w:r>
          </w:p>
        </w:tc>
        <w:tc>
          <w:tcPr>
            <w:tcW w:w="2079" w:type="dxa"/>
            <w:tcBorders>
              <w:bottom w:val="single" w:sz="12" w:space="0" w:color="auto"/>
            </w:tcBorders>
            <w:shd w:val="clear" w:color="auto" w:fill="auto"/>
            <w:vAlign w:val="bottom"/>
            <w:hideMark/>
          </w:tcPr>
          <w:p w:rsidR="008D01C3" w:rsidRPr="00B3346E" w:rsidRDefault="008D01C3" w:rsidP="00E62334">
            <w:pPr>
              <w:spacing w:before="80" w:after="80" w:line="200" w:lineRule="exact"/>
              <w:ind w:right="57"/>
              <w:jc w:val="center"/>
              <w:rPr>
                <w:i/>
                <w:sz w:val="16"/>
              </w:rPr>
            </w:pPr>
            <w:r w:rsidRPr="00B3346E">
              <w:rPr>
                <w:i/>
                <w:sz w:val="16"/>
              </w:rPr>
              <w:t>Équivalent 20 %</w:t>
            </w:r>
          </w:p>
        </w:tc>
        <w:tc>
          <w:tcPr>
            <w:tcW w:w="2079" w:type="dxa"/>
            <w:tcBorders>
              <w:bottom w:val="single" w:sz="12" w:space="0" w:color="auto"/>
            </w:tcBorders>
            <w:shd w:val="clear" w:color="auto" w:fill="auto"/>
            <w:vAlign w:val="bottom"/>
            <w:hideMark/>
          </w:tcPr>
          <w:p w:rsidR="008D01C3" w:rsidRPr="00B3346E" w:rsidRDefault="008D01C3" w:rsidP="00E62334">
            <w:pPr>
              <w:spacing w:before="80" w:after="80" w:line="200" w:lineRule="exact"/>
              <w:ind w:right="57"/>
              <w:jc w:val="center"/>
              <w:rPr>
                <w:i/>
                <w:sz w:val="16"/>
              </w:rPr>
            </w:pPr>
            <w:r w:rsidRPr="00B3346E">
              <w:rPr>
                <w:i/>
                <w:sz w:val="16"/>
              </w:rPr>
              <w:t>Équivalent 30 %</w:t>
            </w:r>
          </w:p>
        </w:tc>
      </w:tr>
      <w:tr w:rsidR="008D01C3" w:rsidRPr="00B3346E" w:rsidTr="00E62334">
        <w:tc>
          <w:tcPr>
            <w:tcW w:w="2079" w:type="dxa"/>
            <w:tcBorders>
              <w:top w:val="single" w:sz="12" w:space="0" w:color="auto"/>
              <w:bottom w:val="single" w:sz="4" w:space="0" w:color="auto"/>
            </w:tcBorders>
            <w:shd w:val="clear" w:color="auto" w:fill="auto"/>
            <w:hideMark/>
          </w:tcPr>
          <w:p w:rsidR="008D01C3" w:rsidRPr="00B3346E" w:rsidRDefault="008D01C3" w:rsidP="00E62334">
            <w:pPr>
              <w:spacing w:before="40" w:after="40"/>
              <w:ind w:right="851"/>
              <w:jc w:val="right"/>
            </w:pPr>
            <w:r w:rsidRPr="00B3346E">
              <w:t>cd</w:t>
            </w:r>
          </w:p>
        </w:tc>
        <w:tc>
          <w:tcPr>
            <w:tcW w:w="2079" w:type="dxa"/>
            <w:tcBorders>
              <w:top w:val="single" w:sz="12" w:space="0" w:color="auto"/>
              <w:bottom w:val="single" w:sz="4" w:space="0" w:color="auto"/>
            </w:tcBorders>
            <w:shd w:val="clear" w:color="auto" w:fill="auto"/>
            <w:hideMark/>
          </w:tcPr>
          <w:p w:rsidR="008D01C3" w:rsidRPr="00B3346E" w:rsidRDefault="008D01C3" w:rsidP="00E62334">
            <w:pPr>
              <w:spacing w:before="40" w:after="40"/>
              <w:ind w:right="851"/>
              <w:jc w:val="right"/>
            </w:pPr>
            <w:r w:rsidRPr="00B3346E">
              <w:t>cd</w:t>
            </w:r>
          </w:p>
        </w:tc>
        <w:tc>
          <w:tcPr>
            <w:tcW w:w="2079" w:type="dxa"/>
            <w:tcBorders>
              <w:top w:val="single" w:sz="12" w:space="0" w:color="auto"/>
              <w:bottom w:val="single" w:sz="4" w:space="0" w:color="auto"/>
            </w:tcBorders>
            <w:shd w:val="clear" w:color="auto" w:fill="auto"/>
            <w:hideMark/>
          </w:tcPr>
          <w:p w:rsidR="008D01C3" w:rsidRPr="00B3346E" w:rsidRDefault="008D01C3" w:rsidP="00E62334">
            <w:pPr>
              <w:spacing w:before="40" w:after="40"/>
              <w:ind w:right="851"/>
              <w:jc w:val="right"/>
            </w:pPr>
            <w:r w:rsidRPr="00B3346E">
              <w:t>cd</w:t>
            </w:r>
          </w:p>
        </w:tc>
      </w:tr>
      <w:tr w:rsidR="008D01C3" w:rsidRPr="00B3346E" w:rsidTr="00E62334">
        <w:tc>
          <w:tcPr>
            <w:tcW w:w="2079" w:type="dxa"/>
            <w:tcBorders>
              <w:top w:val="single" w:sz="4" w:space="0" w:color="auto"/>
            </w:tcBorders>
            <w:shd w:val="clear" w:color="auto" w:fill="auto"/>
            <w:hideMark/>
          </w:tcPr>
          <w:p w:rsidR="008D01C3" w:rsidRPr="00B3346E" w:rsidRDefault="008D01C3" w:rsidP="00E62334">
            <w:pPr>
              <w:spacing w:before="40" w:after="40"/>
              <w:ind w:right="851"/>
              <w:jc w:val="right"/>
            </w:pPr>
            <w:r w:rsidRPr="00B3346E">
              <w:t>0,05</w:t>
            </w:r>
          </w:p>
        </w:tc>
        <w:tc>
          <w:tcPr>
            <w:tcW w:w="2079" w:type="dxa"/>
            <w:tcBorders>
              <w:top w:val="single" w:sz="4" w:space="0" w:color="auto"/>
            </w:tcBorders>
            <w:shd w:val="clear" w:color="auto" w:fill="auto"/>
            <w:hideMark/>
          </w:tcPr>
          <w:p w:rsidR="008D01C3" w:rsidRPr="00B3346E" w:rsidRDefault="008D01C3" w:rsidP="00E62334">
            <w:pPr>
              <w:spacing w:before="40" w:after="40"/>
              <w:ind w:right="851"/>
              <w:jc w:val="right"/>
            </w:pPr>
            <w:r w:rsidRPr="00B3346E">
              <w:t>0,02</w:t>
            </w:r>
          </w:p>
        </w:tc>
        <w:tc>
          <w:tcPr>
            <w:tcW w:w="2079" w:type="dxa"/>
            <w:tcBorders>
              <w:top w:val="single" w:sz="4" w:space="0" w:color="auto"/>
            </w:tcBorders>
            <w:shd w:val="clear" w:color="auto" w:fill="auto"/>
            <w:hideMark/>
          </w:tcPr>
          <w:p w:rsidR="008D01C3" w:rsidRPr="00B3346E" w:rsidRDefault="008D01C3" w:rsidP="00E62334">
            <w:pPr>
              <w:spacing w:before="40" w:after="40"/>
              <w:ind w:right="851"/>
              <w:jc w:val="right"/>
            </w:pPr>
            <w:r w:rsidRPr="00B3346E">
              <w:t>0,03</w:t>
            </w:r>
          </w:p>
        </w:tc>
      </w:tr>
    </w:tbl>
    <w:p w:rsidR="008D01C3" w:rsidRPr="0070796C" w:rsidRDefault="008D01C3" w:rsidP="00F1037C">
      <w:pPr>
        <w:pStyle w:val="SingleTxtG"/>
        <w:spacing w:before="240"/>
        <w:ind w:left="2268" w:hanging="1134"/>
      </w:pPr>
      <w:r w:rsidRPr="0070796C">
        <w:t>1.2.2</w:t>
      </w:r>
      <w:r w:rsidRPr="0070796C">
        <w:tab/>
        <w:t>Ou bien si, dans le cas d</w:t>
      </w:r>
      <w:r>
        <w:t>’</w:t>
      </w:r>
      <w:r w:rsidRPr="0070796C">
        <w:t>un feu équipé d</w:t>
      </w:r>
      <w:r>
        <w:t>’</w:t>
      </w:r>
      <w:r w:rsidRPr="0070796C">
        <w:t>une source lumineuse remplaçable, les résultats des essais décrits ci-dessus ne sont pas conformes aux prescriptions, le feu est de nouveau soumis à des essais, avec une autre source lumineuse étalon.</w:t>
      </w:r>
    </w:p>
    <w:p w:rsidR="008D01C3" w:rsidRPr="0070796C" w:rsidRDefault="008D01C3" w:rsidP="008D01C3">
      <w:pPr>
        <w:pStyle w:val="SingleTxtG"/>
        <w:spacing w:line="240" w:lineRule="auto"/>
        <w:ind w:left="2268" w:right="1133" w:hanging="1134"/>
      </w:pPr>
      <w:r w:rsidRPr="0070796C">
        <w:t>1.3</w:t>
      </w:r>
      <w:r w:rsidRPr="0070796C">
        <w:tab/>
        <w:t>Les coordonnées chromatiques doivent être satisfaites dans le cas où un feu est équipé d</w:t>
      </w:r>
      <w:r>
        <w:t>’</w:t>
      </w:r>
      <w:r w:rsidRPr="0070796C">
        <w:t>une source lumineuse étalon, ou dans le cas des feux équipés de sources lumineuses non remplaçables (à incandescence et autres), et dans le cas de toutes les caractéristiques colorimétriques vérifiées avec les sources lumineuses étant présentes dans le feu.</w:t>
      </w:r>
      <w:r w:rsidR="00F1037C">
        <w:t> »</w:t>
      </w:r>
    </w:p>
    <w:p w:rsidR="008D01C3" w:rsidRPr="0070796C" w:rsidRDefault="00CE7CFA" w:rsidP="00E62334">
      <w:pPr>
        <w:pStyle w:val="SingleTxtG"/>
        <w:keepNext/>
        <w:keepLines/>
        <w:spacing w:line="240" w:lineRule="auto"/>
        <w:ind w:left="2268" w:hanging="1134"/>
        <w:rPr>
          <w:i/>
          <w:iCs/>
        </w:rPr>
      </w:pPr>
      <w:r>
        <w:rPr>
          <w:i/>
          <w:iCs/>
        </w:rPr>
        <w:t>Annexe </w:t>
      </w:r>
      <w:r w:rsidR="008D01C3" w:rsidRPr="0070796C">
        <w:rPr>
          <w:i/>
          <w:iCs/>
        </w:rPr>
        <w:t>5</w:t>
      </w:r>
      <w:r w:rsidR="008D01C3">
        <w:t>,</w:t>
      </w:r>
    </w:p>
    <w:p w:rsidR="008D01C3" w:rsidRPr="0070796C" w:rsidRDefault="008D01C3" w:rsidP="00E62334">
      <w:pPr>
        <w:pStyle w:val="SingleTxtG"/>
        <w:keepNext/>
        <w:keepLines/>
        <w:spacing w:line="240" w:lineRule="auto"/>
        <w:ind w:left="2268" w:hanging="1134"/>
      </w:pPr>
      <w:r w:rsidRPr="0070796C">
        <w:rPr>
          <w:i/>
          <w:iCs/>
        </w:rPr>
        <w:t>A</w:t>
      </w:r>
      <w:r w:rsidR="00F1037C">
        <w:rPr>
          <w:i/>
          <w:iCs/>
        </w:rPr>
        <w:t>jouter les nouveaux paragraphes </w:t>
      </w:r>
      <w:r w:rsidRPr="0070796C">
        <w:rPr>
          <w:i/>
          <w:iCs/>
        </w:rPr>
        <w:t>1.4 à 1.4.2</w:t>
      </w:r>
      <w:r w:rsidRPr="0070796C">
        <w:t>, libellés comme suit</w:t>
      </w:r>
      <w:r>
        <w:t> :</w:t>
      </w:r>
    </w:p>
    <w:p w:rsidR="008D01C3" w:rsidRPr="0070796C" w:rsidRDefault="008D01C3" w:rsidP="008D01C3">
      <w:pPr>
        <w:pStyle w:val="SingleTxtG"/>
        <w:spacing w:line="240" w:lineRule="auto"/>
        <w:ind w:left="2268" w:right="1133" w:hanging="1134"/>
        <w:rPr>
          <w:bCs/>
        </w:rPr>
      </w:pPr>
      <w:r>
        <w:t>« </w:t>
      </w:r>
      <w:r w:rsidRPr="0070796C">
        <w:t>1.4</w:t>
      </w:r>
      <w:r w:rsidRPr="0070796C">
        <w:tab/>
        <w:t>Dans le cas d</w:t>
      </w:r>
      <w:r>
        <w:t>’</w:t>
      </w:r>
      <w:r w:rsidRPr="0070796C">
        <w:t xml:space="preserve">une ou </w:t>
      </w:r>
      <w:r w:rsidR="006C57CD">
        <w:t xml:space="preserve">de </w:t>
      </w:r>
      <w:r w:rsidRPr="0070796C">
        <w:t>plusieurs lampe(s) à incandescence non remplaçable(s) ou d</w:t>
      </w:r>
      <w:r>
        <w:t>’</w:t>
      </w:r>
      <w:r w:rsidRPr="0070796C">
        <w:t xml:space="preserve">un ou </w:t>
      </w:r>
      <w:r w:rsidR="006C57CD">
        <w:t xml:space="preserve">de </w:t>
      </w:r>
      <w:r w:rsidRPr="0070796C">
        <w:t>plusieurs module(s) d</w:t>
      </w:r>
      <w:r>
        <w:t>’</w:t>
      </w:r>
      <w:r w:rsidRPr="0070796C">
        <w:t>éclairage équipé(s) de lampe(s) à incandescence non remplaçable(s), lors de toute vérification de la conformité de la production</w:t>
      </w:r>
      <w:r w:rsidR="00CE7CFA">
        <w:t> ;</w:t>
      </w:r>
    </w:p>
    <w:p w:rsidR="008D01C3" w:rsidRPr="0070796C" w:rsidRDefault="008D01C3" w:rsidP="008D01C3">
      <w:pPr>
        <w:pStyle w:val="SingleTxtG"/>
        <w:spacing w:line="240" w:lineRule="auto"/>
        <w:ind w:left="2268" w:right="1133" w:hanging="1134"/>
        <w:rPr>
          <w:bCs/>
        </w:rPr>
      </w:pPr>
      <w:r w:rsidRPr="0070796C">
        <w:t>1.4.1</w:t>
      </w:r>
      <w:r w:rsidRPr="0070796C">
        <w:tab/>
        <w:t>Le détenteur de l</w:t>
      </w:r>
      <w:r>
        <w:t>’</w:t>
      </w:r>
      <w:r w:rsidRPr="0070796C">
        <w:t>homologation est tenu d</w:t>
      </w:r>
      <w:r>
        <w:t>’</w:t>
      </w:r>
      <w:r w:rsidRPr="0070796C">
        <w:t>apporter la preuve de son (leur) utilisation dans la fabrication courante et de montrer l</w:t>
      </w:r>
      <w:r>
        <w:t>’</w:t>
      </w:r>
      <w:r w:rsidRPr="0070796C">
        <w:t xml:space="preserve">identification de la ou </w:t>
      </w:r>
      <w:r w:rsidRPr="0070796C">
        <w:lastRenderedPageBreak/>
        <w:t>des lampes à incandescence non remplaçabl</w:t>
      </w:r>
      <w:r w:rsidR="00F1037C">
        <w:t>es comme il est indiqué dans le </w:t>
      </w:r>
      <w:r w:rsidRPr="0070796C">
        <w:t>dossier d</w:t>
      </w:r>
      <w:r>
        <w:t>’</w:t>
      </w:r>
      <w:r w:rsidRPr="0070796C">
        <w:t>homologation de type</w:t>
      </w:r>
      <w:r>
        <w:t> </w:t>
      </w:r>
      <w:r w:rsidRPr="0070796C">
        <w:t>;</w:t>
      </w:r>
    </w:p>
    <w:p w:rsidR="008D01C3" w:rsidRPr="0070796C" w:rsidRDefault="008D01C3" w:rsidP="008D01C3">
      <w:pPr>
        <w:pStyle w:val="SingleTxtG"/>
        <w:spacing w:line="240" w:lineRule="auto"/>
        <w:ind w:left="2268" w:right="1133" w:hanging="1134"/>
        <w:rPr>
          <w:bCs/>
        </w:rPr>
      </w:pPr>
      <w:r w:rsidRPr="0070796C">
        <w:t>1.4.2</w:t>
      </w:r>
      <w:r w:rsidRPr="0070796C">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w:t>
      </w:r>
      <w:r w:rsidR="00F1037C">
        <w:t>aphe </w:t>
      </w:r>
      <w:r w:rsidR="00CE7CFA">
        <w:t>4.11 de la publication CEI </w:t>
      </w:r>
      <w:r w:rsidRPr="0070796C">
        <w:t>60809 (troisième édition), la conformité doit être vérifiée (par le fabricant de la source lumineuse mentionné dans le dossier d</w:t>
      </w:r>
      <w:r>
        <w:t>’</w:t>
      </w:r>
      <w:r w:rsidRPr="0070796C">
        <w:t>homologation de typ</w:t>
      </w:r>
      <w:r w:rsidR="00CE7CFA">
        <w:t>e) comme spécifié au paragraphe 4.11 de la publication CEI </w:t>
      </w:r>
      <w:r w:rsidRPr="0070796C">
        <w:t>60809 (troisième édition).</w:t>
      </w:r>
      <w:r w:rsidR="00CE7CFA">
        <w:t> »</w:t>
      </w:r>
    </w:p>
    <w:p w:rsidR="008D01C3" w:rsidRPr="0070796C" w:rsidRDefault="00CE7CFA" w:rsidP="00E62334">
      <w:pPr>
        <w:pStyle w:val="SingleTxtG"/>
        <w:keepNext/>
        <w:keepLines/>
        <w:spacing w:line="240" w:lineRule="auto"/>
        <w:ind w:left="2268" w:hanging="1134"/>
        <w:rPr>
          <w:bCs/>
          <w:i/>
          <w:iCs/>
        </w:rPr>
      </w:pPr>
      <w:r>
        <w:rPr>
          <w:i/>
          <w:iCs/>
        </w:rPr>
        <w:t>Annexe </w:t>
      </w:r>
      <w:r w:rsidR="008D01C3" w:rsidRPr="0070796C">
        <w:rPr>
          <w:i/>
          <w:iCs/>
        </w:rPr>
        <w:t>6</w:t>
      </w:r>
      <w:r w:rsidR="008D01C3" w:rsidRPr="0070796C">
        <w:t>, modifier comme suit</w:t>
      </w:r>
      <w:r w:rsidR="008D01C3">
        <w:t> </w:t>
      </w:r>
      <w:r w:rsidR="008D01C3" w:rsidRPr="0070796C">
        <w:t>:</w:t>
      </w:r>
    </w:p>
    <w:p w:rsidR="008D01C3" w:rsidRPr="0070796C" w:rsidRDefault="008D01C3" w:rsidP="00CE7CFA">
      <w:pPr>
        <w:pStyle w:val="HChG"/>
      </w:pPr>
      <w:r w:rsidRPr="006C57CD">
        <w:rPr>
          <w:rStyle w:val="SingleTxtGChar"/>
          <w:b w:val="0"/>
          <w:sz w:val="20"/>
        </w:rPr>
        <w:t>« </w:t>
      </w:r>
      <w:r w:rsidRPr="0070796C">
        <w:t>Annex</w:t>
      </w:r>
      <w:r w:rsidR="00CE7CFA">
        <w:t>e </w:t>
      </w:r>
      <w:r w:rsidRPr="0070796C">
        <w:t>6</w:t>
      </w:r>
    </w:p>
    <w:p w:rsidR="008D01C3" w:rsidRPr="0070796C" w:rsidRDefault="008D01C3" w:rsidP="00CE7CFA">
      <w:pPr>
        <w:pStyle w:val="HChG"/>
      </w:pPr>
      <w:r w:rsidRPr="0070796C">
        <w:tab/>
      </w:r>
      <w:r w:rsidRPr="0070796C">
        <w:tab/>
        <w:t>Prescriptions minimales concernant l</w:t>
      </w:r>
      <w:r>
        <w:t>’</w:t>
      </w:r>
      <w:r w:rsidRPr="0070796C">
        <w:t xml:space="preserve">échantillonnage </w:t>
      </w:r>
      <w:r>
        <w:br/>
      </w:r>
      <w:r w:rsidRPr="0070796C">
        <w:t>fait par un inspecteur</w:t>
      </w:r>
    </w:p>
    <w:p w:rsidR="008D01C3" w:rsidRPr="0070796C" w:rsidRDefault="008D01C3" w:rsidP="00E62334">
      <w:pPr>
        <w:pStyle w:val="SingleTxtG"/>
        <w:keepNext/>
        <w:keepLines/>
        <w:spacing w:line="240" w:lineRule="auto"/>
        <w:ind w:left="2268" w:hanging="1134"/>
      </w:pPr>
      <w:r w:rsidRPr="0070796C">
        <w:t>1.</w:t>
      </w:r>
      <w:r w:rsidRPr="0070796C">
        <w:tab/>
        <w:t>Généralités</w:t>
      </w:r>
    </w:p>
    <w:p w:rsidR="008D01C3" w:rsidRPr="0070796C" w:rsidRDefault="008D01C3" w:rsidP="008D01C3">
      <w:pPr>
        <w:pStyle w:val="SingleTxtG"/>
        <w:spacing w:line="240" w:lineRule="auto"/>
        <w:ind w:left="2268" w:right="1133" w:hanging="1134"/>
      </w:pPr>
      <w:r w:rsidRPr="0070796C">
        <w:t>1.1</w:t>
      </w:r>
      <w:r w:rsidRPr="0070796C">
        <w:tab/>
      </w:r>
      <w:r w:rsidRPr="0070796C">
        <w:tab/>
        <w:t>Les prescriptions de conformité sont considérées comme satisfaites du point de vue mécanique et géométrique, conformément aux prescriptions du présent Règlement, si les différences, le cas échéant, n</w:t>
      </w:r>
      <w:r>
        <w:t>’</w:t>
      </w:r>
      <w:r w:rsidRPr="0070796C">
        <w:t>excèdent pas les écarts de fabrication inévitables.</w:t>
      </w:r>
    </w:p>
    <w:p w:rsidR="008D01C3" w:rsidRPr="0070796C" w:rsidRDefault="008D01C3" w:rsidP="008D01C3">
      <w:pPr>
        <w:pStyle w:val="SingleTxtG"/>
        <w:spacing w:line="240" w:lineRule="auto"/>
        <w:ind w:left="2268" w:right="1133" w:hanging="1134"/>
      </w:pPr>
      <w:r w:rsidRPr="0070796C">
        <w:t>1.2</w:t>
      </w:r>
      <w:r w:rsidRPr="0070796C">
        <w:tab/>
        <w:t>En ce qui concerne les caractéristiques photométriques, la conformité des feux de stationnement de série ne doit pas être contestée si, lorsqu</w:t>
      </w:r>
      <w:r>
        <w:t>’</w:t>
      </w:r>
      <w:r w:rsidRPr="0070796C">
        <w:t>il est proc</w:t>
      </w:r>
      <w:r w:rsidR="00CE7CFA">
        <w:t>édé, conformément au paragraphe </w:t>
      </w:r>
      <w:r w:rsidRPr="0070796C">
        <w:t>8 du présent Règlement, à l</w:t>
      </w:r>
      <w:r>
        <w:t>’</w:t>
      </w:r>
      <w:r w:rsidRPr="0070796C">
        <w:t>essai des caractéristiques photométriques telles qu</w:t>
      </w:r>
      <w:r>
        <w:t>’</w:t>
      </w:r>
      <w:r w:rsidR="00CE7CFA">
        <w:t>énoncées au paragraphe </w:t>
      </w:r>
      <w:r w:rsidRPr="0070796C">
        <w:t>7, d</w:t>
      </w:r>
      <w:r>
        <w:t>’</w:t>
      </w:r>
      <w:r w:rsidRPr="0070796C">
        <w:t>un feu choisi au hasard et équipé d</w:t>
      </w:r>
      <w:r>
        <w:t>’</w:t>
      </w:r>
      <w:r w:rsidRPr="0070796C">
        <w:t>une source lumineuse étalon, ou d</w:t>
      </w:r>
      <w:r>
        <w:t>’</w:t>
      </w:r>
      <w:r w:rsidRPr="0070796C">
        <w:t>un feu équipé de sources lumineuses non remplaçables (à incandescence et autres), avec les sources lumineuses</w:t>
      </w:r>
      <w:r w:rsidR="00CE7CFA">
        <w:t xml:space="preserve"> présentées fonctionnant à 6,75 V, 13,5 V ou 28,0 </w:t>
      </w:r>
      <w:r w:rsidRPr="0070796C">
        <w:t>V respectivement</w:t>
      </w:r>
      <w:r>
        <w:t> :</w:t>
      </w:r>
    </w:p>
    <w:p w:rsidR="008D01C3" w:rsidRPr="0070796C" w:rsidRDefault="008D01C3" w:rsidP="008D01C3">
      <w:pPr>
        <w:pStyle w:val="SingleTxtG"/>
        <w:spacing w:line="240" w:lineRule="auto"/>
        <w:ind w:left="2268" w:right="1133" w:hanging="1134"/>
      </w:pPr>
      <w:r w:rsidRPr="0070796C">
        <w:t>1.2.1</w:t>
      </w:r>
      <w:r w:rsidRPr="0070796C">
        <w:tab/>
        <w:t xml:space="preserve">Il est satisfait </w:t>
      </w:r>
      <w:r w:rsidR="00CE7CFA">
        <w:t>aux prescriptions du paragraphe </w:t>
      </w:r>
      <w:r w:rsidRPr="0070796C">
        <w:t>1.2.1 de l</w:t>
      </w:r>
      <w:r>
        <w:t>’</w:t>
      </w:r>
      <w:r w:rsidR="00CE7CFA">
        <w:t>annexe </w:t>
      </w:r>
      <w:r w:rsidRPr="0070796C">
        <w:t xml:space="preserve">5 du présent Règlement. </w:t>
      </w:r>
    </w:p>
    <w:p w:rsidR="008D01C3" w:rsidRPr="0070796C" w:rsidRDefault="008D01C3" w:rsidP="008D01C3">
      <w:pPr>
        <w:pStyle w:val="SingleTxtG"/>
        <w:spacing w:line="240" w:lineRule="auto"/>
        <w:ind w:left="2268" w:right="1133" w:hanging="1134"/>
      </w:pPr>
      <w:r w:rsidRPr="0070796C">
        <w:t>1.2.2</w:t>
      </w:r>
      <w:r w:rsidRPr="0070796C">
        <w:tab/>
        <w:t>Ou bien si, dans le cas d</w:t>
      </w:r>
      <w:r>
        <w:t>’</w:t>
      </w:r>
      <w:r w:rsidRPr="0070796C">
        <w:t>un feu équipé d</w:t>
      </w:r>
      <w:r>
        <w:t>’</w:t>
      </w:r>
      <w:r w:rsidRPr="0070796C">
        <w:t>une source lumineuse remplaçable, si les résultats des essais décrits ci-dessus ne sont pas conformes aux prescriptions, le feu est de nouveau soumis à des essais, avec une autre source lumineuse étalon.</w:t>
      </w:r>
    </w:p>
    <w:p w:rsidR="008D01C3" w:rsidRPr="0070796C" w:rsidRDefault="008D01C3" w:rsidP="008D01C3">
      <w:pPr>
        <w:pStyle w:val="SingleTxtG"/>
        <w:spacing w:line="240" w:lineRule="auto"/>
        <w:ind w:left="2268" w:right="1133" w:hanging="1134"/>
      </w:pPr>
      <w:r w:rsidRPr="0070796C">
        <w:t>1.2.3</w:t>
      </w:r>
      <w:r w:rsidRPr="0070796C">
        <w:tab/>
        <w:t>Les feux présentant des défauts apparents ne sont pas pris en considération.</w:t>
      </w:r>
    </w:p>
    <w:p w:rsidR="008D01C3" w:rsidRPr="0070796C" w:rsidRDefault="008D01C3" w:rsidP="008D01C3">
      <w:pPr>
        <w:pStyle w:val="SingleTxtG"/>
        <w:spacing w:line="240" w:lineRule="auto"/>
        <w:ind w:left="2268" w:right="1133" w:hanging="1134"/>
      </w:pPr>
      <w:r w:rsidRPr="0070796C">
        <w:t>1.3</w:t>
      </w:r>
      <w:r w:rsidRPr="0070796C">
        <w:tab/>
      </w:r>
      <w:r w:rsidRPr="0070796C">
        <w:tab/>
        <w:t>Les coordonnées chromatiques doivent être satisfaites dans le cas où un feu est équipé d</w:t>
      </w:r>
      <w:r>
        <w:t>’</w:t>
      </w:r>
      <w:r w:rsidRPr="0070796C">
        <w:t>une source lumineuse étalon, ou dans le cas des feux équipés de sources lumineuses non remplaçables (à incan</w:t>
      </w:r>
      <w:r w:rsidR="00F1037C">
        <w:t>descence et autres), et dans le </w:t>
      </w:r>
      <w:r w:rsidRPr="0070796C">
        <w:t>cas de toutes les caractéristiques colorimétriques vérifiées avec les sources lumineuses étant présentes dans le feu.</w:t>
      </w:r>
    </w:p>
    <w:p w:rsidR="008D01C3" w:rsidRPr="0070796C" w:rsidRDefault="008D01C3" w:rsidP="00E62334">
      <w:pPr>
        <w:pStyle w:val="SingleTxtG"/>
        <w:keepNext/>
        <w:keepLines/>
        <w:spacing w:line="240" w:lineRule="auto"/>
        <w:ind w:left="2268" w:hanging="1134"/>
      </w:pPr>
      <w:r w:rsidRPr="0070796C">
        <w:t>2.</w:t>
      </w:r>
      <w:r w:rsidRPr="0070796C">
        <w:tab/>
        <w:t>Premier prélèvement</w:t>
      </w:r>
    </w:p>
    <w:p w:rsidR="008D01C3" w:rsidRPr="0070796C" w:rsidRDefault="008D01C3" w:rsidP="008D01C3">
      <w:pPr>
        <w:pStyle w:val="SingleTxtG"/>
        <w:spacing w:line="240" w:lineRule="auto"/>
        <w:ind w:left="2268" w:right="1133"/>
      </w:pPr>
      <w:r w:rsidRPr="0070796C">
        <w:t>Lors du premier prélèvement, quatre feux de stationnement sont choisis au hasard.</w:t>
      </w:r>
      <w:r w:rsidR="00CE7CFA">
        <w:t xml:space="preserve"> La lettre </w:t>
      </w:r>
      <w:r w:rsidRPr="0070796C">
        <w:t>A est apposée sur le premie</w:t>
      </w:r>
      <w:r w:rsidR="00F1037C">
        <w:t>r et le troisième, et la lettre </w:t>
      </w:r>
      <w:r w:rsidRPr="0070796C">
        <w:t>B sur le deuxième et le quatrième.</w:t>
      </w:r>
    </w:p>
    <w:p w:rsidR="008D01C3" w:rsidRPr="0070796C" w:rsidRDefault="008D01C3" w:rsidP="008D01C3">
      <w:pPr>
        <w:pStyle w:val="SingleTxtG"/>
        <w:spacing w:line="240" w:lineRule="auto"/>
        <w:ind w:left="2268" w:right="1133" w:hanging="1134"/>
      </w:pPr>
      <w:r w:rsidRPr="0070796C">
        <w:t>2.1</w:t>
      </w:r>
      <w:r w:rsidRPr="0070796C">
        <w:tab/>
        <w:t>La conformité des feux de stationnement de série ne doit pas être contestée si aucune valeur mesuré</w:t>
      </w:r>
      <w:r w:rsidR="00CE7CFA">
        <w:t>e sur les feux des échantillons A et </w:t>
      </w:r>
      <w:r w:rsidRPr="0070796C">
        <w:t>B ne s</w:t>
      </w:r>
      <w:r>
        <w:t>’</w:t>
      </w:r>
      <w:r w:rsidRPr="0070796C">
        <w:t>écarte de plus de 20 % (pour aucun des quatre feux).</w:t>
      </w:r>
    </w:p>
    <w:p w:rsidR="008D01C3" w:rsidRPr="0070796C" w:rsidRDefault="008D01C3" w:rsidP="008D01C3">
      <w:pPr>
        <w:pStyle w:val="SingleTxtG"/>
        <w:spacing w:line="240" w:lineRule="auto"/>
        <w:ind w:left="2268" w:right="1133"/>
      </w:pPr>
      <w:r w:rsidRPr="0070796C">
        <w:t>Si l</w:t>
      </w:r>
      <w:r>
        <w:t>’</w:t>
      </w:r>
      <w:r w:rsidRPr="0070796C">
        <w:t>écart n</w:t>
      </w:r>
      <w:r>
        <w:t>’</w:t>
      </w:r>
      <w:r w:rsidRPr="0070796C">
        <w:t>est pas supérieur à 0 % pour les deux feux de l</w:t>
      </w:r>
      <w:r>
        <w:t>’</w:t>
      </w:r>
      <w:r w:rsidR="00CE7CFA">
        <w:t>échantillon </w:t>
      </w:r>
      <w:r>
        <w:t>A on peut arrêter les mesures.</w:t>
      </w:r>
    </w:p>
    <w:p w:rsidR="008D01C3" w:rsidRPr="0070796C" w:rsidRDefault="008D01C3" w:rsidP="008D01C3">
      <w:pPr>
        <w:pStyle w:val="SingleTxtG"/>
        <w:spacing w:line="240" w:lineRule="auto"/>
        <w:ind w:left="2268" w:right="1133" w:hanging="1134"/>
      </w:pPr>
      <w:r w:rsidRPr="0070796C">
        <w:lastRenderedPageBreak/>
        <w:t>2.2</w:t>
      </w:r>
      <w:r w:rsidRPr="0070796C">
        <w:tab/>
        <w:t>La conformité des feux de stationnement de série doit être contestée si l</w:t>
      </w:r>
      <w:r>
        <w:t>’</w:t>
      </w:r>
      <w:r w:rsidRPr="0070796C">
        <w:t>écart de la valeur mesurée sur a</w:t>
      </w:r>
      <w:r w:rsidR="00CE7CFA">
        <w:t>u moins un feu des échantillons A ou B dépasse </w:t>
      </w:r>
      <w:r w:rsidRPr="0070796C">
        <w:t>20 %.</w:t>
      </w:r>
    </w:p>
    <w:p w:rsidR="008D01C3" w:rsidRPr="0070796C" w:rsidRDefault="008D01C3" w:rsidP="008D01C3">
      <w:pPr>
        <w:pStyle w:val="SingleTxtG"/>
        <w:spacing w:line="240" w:lineRule="auto"/>
        <w:ind w:left="2268" w:right="1133"/>
      </w:pPr>
      <w:r w:rsidRPr="0070796C">
        <w:t>Le fabricant doit être prié de mettre sa production en conformité avec les prescriptions et il faudra procéder à un deuxième prélèvement, conformément au paragraphe 3, dans les deux mois qui suivent la notification. Les</w:t>
      </w:r>
      <w:r w:rsidR="00CE7CFA">
        <w:t> échantillons </w:t>
      </w:r>
      <w:r w:rsidRPr="0070796C">
        <w:t>A et</w:t>
      </w:r>
      <w:r w:rsidR="00CE7CFA">
        <w:t> </w:t>
      </w:r>
      <w:r w:rsidRPr="0070796C">
        <w:t>B doivent être conservés par le service technique jusqu</w:t>
      </w:r>
      <w:r>
        <w:t>’</w:t>
      </w:r>
      <w:r w:rsidRPr="0070796C">
        <w:t>à la fin du processus de</w:t>
      </w:r>
      <w:r>
        <w:t xml:space="preserve"> vérification de la conformité.</w:t>
      </w:r>
    </w:p>
    <w:p w:rsidR="008D01C3" w:rsidRPr="0070796C" w:rsidRDefault="008D01C3" w:rsidP="00E62334">
      <w:pPr>
        <w:pStyle w:val="SingleTxtG"/>
        <w:keepNext/>
        <w:keepLines/>
        <w:spacing w:line="240" w:lineRule="auto"/>
        <w:ind w:left="2268" w:hanging="1134"/>
      </w:pPr>
      <w:r w:rsidRPr="0070796C">
        <w:t>3.</w:t>
      </w:r>
      <w:r w:rsidRPr="0070796C">
        <w:tab/>
      </w:r>
      <w:r w:rsidRPr="0070796C">
        <w:tab/>
        <w:t>Deuxième prélèvement</w:t>
      </w:r>
    </w:p>
    <w:p w:rsidR="008D01C3" w:rsidRPr="0070796C" w:rsidRDefault="008D01C3" w:rsidP="008D01C3">
      <w:pPr>
        <w:pStyle w:val="SingleTxtG"/>
        <w:spacing w:line="240" w:lineRule="auto"/>
        <w:ind w:left="2268" w:right="1133"/>
        <w:rPr>
          <w:strike/>
        </w:rPr>
      </w:pPr>
      <w:r w:rsidRPr="0070796C">
        <w:t>On choisit au hasard quatre feux parmi le stock produit après mise en conformité.</w:t>
      </w:r>
    </w:p>
    <w:p w:rsidR="008D01C3" w:rsidRPr="0070796C" w:rsidRDefault="00BB2501" w:rsidP="008D01C3">
      <w:pPr>
        <w:pStyle w:val="SingleTxtG"/>
        <w:spacing w:line="240" w:lineRule="auto"/>
        <w:ind w:left="2268" w:right="1133"/>
      </w:pPr>
      <w:r>
        <w:t>La lettre </w:t>
      </w:r>
      <w:r w:rsidR="008D01C3" w:rsidRPr="0070796C">
        <w:t>C est apposée sur le premie</w:t>
      </w:r>
      <w:r w:rsidR="00CE7CFA">
        <w:t>r et le troisième, et la lettre </w:t>
      </w:r>
      <w:r w:rsidR="008D01C3" w:rsidRPr="0070796C">
        <w:t>D sur le deuxième et le quatrième.</w:t>
      </w:r>
    </w:p>
    <w:p w:rsidR="008D01C3" w:rsidRPr="0070796C" w:rsidRDefault="008D01C3" w:rsidP="008D01C3">
      <w:pPr>
        <w:pStyle w:val="SingleTxtG"/>
        <w:spacing w:line="240" w:lineRule="auto"/>
        <w:ind w:left="2268" w:right="1133" w:hanging="1134"/>
      </w:pPr>
      <w:r w:rsidRPr="0070796C">
        <w:t>3.1</w:t>
      </w:r>
      <w:r w:rsidRPr="0070796C">
        <w:tab/>
      </w:r>
      <w:r w:rsidRPr="0070796C">
        <w:tab/>
        <w:t>La conformité des feux de stationnement de série ne doit pas être contestée si aucune valeur mesuré</w:t>
      </w:r>
      <w:r w:rsidR="000B7AF8">
        <w:t>e sur les feux des échantillons </w:t>
      </w:r>
      <w:r w:rsidRPr="0070796C">
        <w:t>C et</w:t>
      </w:r>
      <w:r w:rsidR="000B7AF8">
        <w:t> </w:t>
      </w:r>
      <w:r w:rsidRPr="0070796C">
        <w:t>D ne s</w:t>
      </w:r>
      <w:r>
        <w:t>’</w:t>
      </w:r>
      <w:r w:rsidRPr="0070796C">
        <w:t>écarte de plus de 20 % (pour aucun des quatre feux).</w:t>
      </w:r>
    </w:p>
    <w:p w:rsidR="008D01C3" w:rsidRPr="0070796C" w:rsidRDefault="008D01C3" w:rsidP="008D01C3">
      <w:pPr>
        <w:pStyle w:val="SingleTxtG"/>
        <w:spacing w:line="240" w:lineRule="auto"/>
        <w:ind w:left="2268" w:right="1133"/>
      </w:pPr>
      <w:r w:rsidRPr="0070796C">
        <w:t>Si l</w:t>
      </w:r>
      <w:r>
        <w:t>’</w:t>
      </w:r>
      <w:r w:rsidRPr="0070796C">
        <w:t>écart n</w:t>
      </w:r>
      <w:r>
        <w:t>’</w:t>
      </w:r>
      <w:r w:rsidRPr="0070796C">
        <w:t>est pas supérieur à 0 % pour les deux feux d</w:t>
      </w:r>
      <w:r>
        <w:t>’</w:t>
      </w:r>
      <w:r w:rsidRPr="0070796C">
        <w:t>angle de l</w:t>
      </w:r>
      <w:r>
        <w:t>’</w:t>
      </w:r>
      <w:r w:rsidR="00BB2501">
        <w:t>échantillon </w:t>
      </w:r>
      <w:r w:rsidRPr="0070796C">
        <w:t>C on peut arrêter les mesures</w:t>
      </w:r>
      <w:r>
        <w:t>.</w:t>
      </w:r>
    </w:p>
    <w:p w:rsidR="008D01C3" w:rsidRPr="0070796C" w:rsidRDefault="008D01C3" w:rsidP="00E62334">
      <w:pPr>
        <w:pStyle w:val="SingleTxtG"/>
        <w:keepNext/>
        <w:keepLines/>
        <w:spacing w:line="240" w:lineRule="auto"/>
        <w:ind w:left="2268" w:hanging="1134"/>
      </w:pPr>
      <w:r w:rsidRPr="0070796C">
        <w:t>3.2</w:t>
      </w:r>
      <w:r w:rsidRPr="0070796C">
        <w:tab/>
        <w:t>La conformité des feux de stationnement de série doit être contestée si l</w:t>
      </w:r>
      <w:r>
        <w:t>’</w:t>
      </w:r>
      <w:r w:rsidRPr="0070796C">
        <w:t>écart de la valeur mesurée sur au moins</w:t>
      </w:r>
      <w:r w:rsidR="00B0746C">
        <w:t> :</w:t>
      </w:r>
    </w:p>
    <w:p w:rsidR="008D01C3" w:rsidRPr="0070796C" w:rsidRDefault="00CE7CFA" w:rsidP="008D01C3">
      <w:pPr>
        <w:pStyle w:val="SingleTxtG"/>
        <w:spacing w:line="240" w:lineRule="auto"/>
        <w:ind w:left="2268" w:right="1133" w:hanging="1134"/>
      </w:pPr>
      <w:r>
        <w:t>3.2.1</w:t>
      </w:r>
      <w:r>
        <w:tab/>
        <w:t>Un des échantillons </w:t>
      </w:r>
      <w:r w:rsidR="008D01C3" w:rsidRPr="0070796C">
        <w:t>C et</w:t>
      </w:r>
      <w:r>
        <w:t> </w:t>
      </w:r>
      <w:r w:rsidR="008D01C3" w:rsidRPr="0070796C">
        <w:t>D dépasse 20 % mais l</w:t>
      </w:r>
      <w:r w:rsidR="008D01C3">
        <w:t>’</w:t>
      </w:r>
      <w:r w:rsidR="008D01C3" w:rsidRPr="0070796C">
        <w:t>écart de l</w:t>
      </w:r>
      <w:r w:rsidR="008D01C3">
        <w:t>’</w:t>
      </w:r>
      <w:r w:rsidR="008D01C3" w:rsidRPr="0070796C">
        <w:t>ensemble de ces échantillons ne dépasse pas 30 %</w:t>
      </w:r>
      <w:r w:rsidR="008D01C3">
        <w:t> ;</w:t>
      </w:r>
    </w:p>
    <w:p w:rsidR="008D01C3" w:rsidRPr="0070796C" w:rsidRDefault="008D01C3" w:rsidP="008D01C3">
      <w:pPr>
        <w:pStyle w:val="SingleTxtG"/>
        <w:spacing w:line="240" w:lineRule="auto"/>
        <w:ind w:left="2268" w:right="1133"/>
      </w:pPr>
      <w:r w:rsidRPr="0070796C">
        <w:t>Le fabricant doit être à nouveau prié de mettre sa production en conformité avec les prescriptions</w:t>
      </w:r>
      <w:r>
        <w:t> ;</w:t>
      </w:r>
    </w:p>
    <w:p w:rsidR="008D01C3" w:rsidRPr="0070796C" w:rsidRDefault="008D01C3" w:rsidP="008D01C3">
      <w:pPr>
        <w:pStyle w:val="SingleTxtG"/>
        <w:spacing w:line="240" w:lineRule="auto"/>
        <w:ind w:left="2268" w:right="1133"/>
      </w:pPr>
      <w:r w:rsidRPr="0070796C">
        <w:t>Il faut procéder à un troisième</w:t>
      </w:r>
      <w:r>
        <w:t xml:space="preserve"> </w:t>
      </w:r>
      <w:r w:rsidRPr="0070796C">
        <w:t>prélèvement, conformément au paragraphe</w:t>
      </w:r>
      <w:r w:rsidR="00CE7CFA">
        <w:t> </w:t>
      </w:r>
      <w:r w:rsidRPr="0070796C">
        <w:t>4 ci-après, dans les deux mois qui suivent la</w:t>
      </w:r>
      <w:r w:rsidR="00CE7CFA">
        <w:t xml:space="preserve"> notification. Les échantillons </w:t>
      </w:r>
      <w:r w:rsidRPr="0070796C">
        <w:t>C et</w:t>
      </w:r>
      <w:r>
        <w:t> </w:t>
      </w:r>
      <w:r w:rsidRPr="0070796C">
        <w:t>D sont conservés par le service technique jusqu</w:t>
      </w:r>
      <w:r>
        <w:t>’</w:t>
      </w:r>
      <w:r w:rsidRPr="0070796C">
        <w:t>à la fin du processus de</w:t>
      </w:r>
      <w:r>
        <w:t xml:space="preserve"> vérification de la conformité ;</w:t>
      </w:r>
    </w:p>
    <w:p w:rsidR="008D01C3" w:rsidRPr="0070796C" w:rsidRDefault="008D01C3" w:rsidP="00E62334">
      <w:pPr>
        <w:pStyle w:val="SingleTxtG"/>
        <w:keepNext/>
        <w:keepLines/>
        <w:spacing w:line="240" w:lineRule="auto"/>
        <w:ind w:left="2268" w:hanging="1134"/>
      </w:pPr>
      <w:r w:rsidRPr="0070796C">
        <w:t>3.2</w:t>
      </w:r>
      <w:r w:rsidR="00CE7CFA">
        <w:t>.2</w:t>
      </w:r>
      <w:r w:rsidR="00CE7CFA">
        <w:tab/>
        <w:t>Un échantillon C ou </w:t>
      </w:r>
      <w:r w:rsidRPr="0070796C">
        <w:t>D dépasse 30 %.</w:t>
      </w:r>
    </w:p>
    <w:p w:rsidR="008D01C3" w:rsidRPr="0070796C" w:rsidRDefault="008D01C3" w:rsidP="008D01C3">
      <w:pPr>
        <w:pStyle w:val="SingleTxtG"/>
        <w:spacing w:line="240" w:lineRule="auto"/>
        <w:ind w:left="2268" w:right="1133"/>
      </w:pPr>
      <w:r w:rsidRPr="0070796C">
        <w:t>Dans ce cas, il faut retirer l</w:t>
      </w:r>
      <w:r>
        <w:t>’</w:t>
      </w:r>
      <w:r w:rsidRPr="0070796C">
        <w:t>homologation conformément aux dispositi</w:t>
      </w:r>
      <w:r>
        <w:t>ons du paragraphe 5 ci-dessous.</w:t>
      </w:r>
    </w:p>
    <w:p w:rsidR="008D01C3" w:rsidRPr="0070796C" w:rsidRDefault="008D01C3" w:rsidP="00E62334">
      <w:pPr>
        <w:pStyle w:val="SingleTxtG"/>
        <w:keepNext/>
        <w:keepLines/>
        <w:spacing w:line="240" w:lineRule="auto"/>
        <w:ind w:left="2268" w:hanging="1134"/>
      </w:pPr>
      <w:r w:rsidRPr="0070796C">
        <w:t>4.</w:t>
      </w:r>
      <w:r w:rsidRPr="0070796C">
        <w:tab/>
      </w:r>
      <w:r w:rsidRPr="0070796C">
        <w:tab/>
        <w:t>Troisième prélèvement</w:t>
      </w:r>
    </w:p>
    <w:p w:rsidR="008D01C3" w:rsidRPr="0070796C" w:rsidRDefault="008D01C3" w:rsidP="008D01C3">
      <w:pPr>
        <w:pStyle w:val="SingleTxtG"/>
        <w:spacing w:line="240" w:lineRule="auto"/>
        <w:ind w:left="2268" w:right="1133"/>
      </w:pPr>
      <w:r w:rsidRPr="0070796C">
        <w:t>On choisit au hasard quatre feux parmi le stock pr</w:t>
      </w:r>
      <w:r>
        <w:t>oduit après mise en conformité.</w:t>
      </w:r>
    </w:p>
    <w:p w:rsidR="008D01C3" w:rsidRPr="0070796C" w:rsidRDefault="008D01C3" w:rsidP="008D01C3">
      <w:pPr>
        <w:pStyle w:val="SingleTxtG"/>
        <w:spacing w:line="240" w:lineRule="auto"/>
        <w:ind w:left="2268" w:right="1133"/>
      </w:pPr>
      <w:r w:rsidRPr="0070796C">
        <w:t xml:space="preserve">La </w:t>
      </w:r>
      <w:r w:rsidR="00F1037C">
        <w:t>lettre </w:t>
      </w:r>
      <w:r w:rsidRPr="0070796C">
        <w:t>E est apposée sur le premie</w:t>
      </w:r>
      <w:r w:rsidR="00F1037C">
        <w:t>r et le troisième, et la lettre </w:t>
      </w:r>
      <w:r w:rsidRPr="0070796C">
        <w:t>F sur le deuxième et le quatrième.</w:t>
      </w:r>
    </w:p>
    <w:p w:rsidR="008D01C3" w:rsidRPr="0070796C" w:rsidRDefault="008D01C3" w:rsidP="008D01C3">
      <w:pPr>
        <w:pStyle w:val="SingleTxtG"/>
        <w:spacing w:line="240" w:lineRule="auto"/>
        <w:ind w:left="2268" w:hanging="1134"/>
      </w:pPr>
      <w:r w:rsidRPr="0070796C">
        <w:t>4.1</w:t>
      </w:r>
      <w:r w:rsidRPr="0070796C">
        <w:tab/>
        <w:t>La conformité des feux de stationnement de série ne doit pas être contestée si aucune valeur mesurée sur les échantillons E et F ne s</w:t>
      </w:r>
      <w:r>
        <w:t>’</w:t>
      </w:r>
      <w:r w:rsidRPr="0070796C">
        <w:t>écarte de plus de 20 % (pour aucun des quatre feux).</w:t>
      </w:r>
    </w:p>
    <w:p w:rsidR="008D01C3" w:rsidRPr="0070796C" w:rsidRDefault="008D01C3" w:rsidP="008D01C3">
      <w:pPr>
        <w:pStyle w:val="SingleTxtG"/>
        <w:spacing w:line="240" w:lineRule="auto"/>
        <w:ind w:left="2268" w:right="1133"/>
      </w:pPr>
      <w:r w:rsidRPr="0070796C">
        <w:t>Si l</w:t>
      </w:r>
      <w:r>
        <w:t>’</w:t>
      </w:r>
      <w:r w:rsidRPr="0070796C">
        <w:t>écart n</w:t>
      </w:r>
      <w:r>
        <w:t>’</w:t>
      </w:r>
      <w:r w:rsidRPr="0070796C">
        <w:t>est pas supérieur à 0 % pour les deux feux de l</w:t>
      </w:r>
      <w:r>
        <w:t>’</w:t>
      </w:r>
      <w:r w:rsidRPr="0070796C">
        <w:t>échantillon E, on peut arrêter les mesures.</w:t>
      </w:r>
    </w:p>
    <w:p w:rsidR="008D01C3" w:rsidRPr="0070796C" w:rsidRDefault="008D01C3" w:rsidP="008D01C3">
      <w:pPr>
        <w:pStyle w:val="SingleTxtG"/>
        <w:spacing w:line="240" w:lineRule="auto"/>
        <w:ind w:left="2268" w:right="1133" w:hanging="1134"/>
      </w:pPr>
      <w:r w:rsidRPr="0070796C">
        <w:t>4.2</w:t>
      </w:r>
      <w:r w:rsidRPr="0070796C">
        <w:tab/>
        <w:t>La conformité des feux de stationnement de série doit être contestée si l</w:t>
      </w:r>
      <w:r>
        <w:t>’</w:t>
      </w:r>
      <w:r w:rsidRPr="0070796C">
        <w:t>écart de la valeur mesurée sur au moins un des éc</w:t>
      </w:r>
      <w:r w:rsidR="00F1037C">
        <w:t>hantillons E ou </w:t>
      </w:r>
      <w:r>
        <w:t>F dépasse 20 %.</w:t>
      </w:r>
    </w:p>
    <w:p w:rsidR="008D01C3" w:rsidRPr="0070796C" w:rsidRDefault="008D01C3" w:rsidP="008D01C3">
      <w:pPr>
        <w:pStyle w:val="SingleTxtG"/>
        <w:spacing w:line="240" w:lineRule="auto"/>
        <w:ind w:left="2268" w:right="1133"/>
      </w:pPr>
      <w:r w:rsidRPr="0070796C">
        <w:t>Dans ce cas, il faut retirer l</w:t>
      </w:r>
      <w:r>
        <w:t>’</w:t>
      </w:r>
      <w:r w:rsidRPr="0070796C">
        <w:t>homologation conformément aux dispositi</w:t>
      </w:r>
      <w:r w:rsidR="00F1037C">
        <w:t>ons du paragraphe </w:t>
      </w:r>
      <w:r>
        <w:t>5 ci-dessous.</w:t>
      </w:r>
    </w:p>
    <w:p w:rsidR="008D01C3" w:rsidRPr="0070796C" w:rsidRDefault="008D01C3" w:rsidP="00E62334">
      <w:pPr>
        <w:pStyle w:val="SingleTxtG"/>
        <w:keepNext/>
        <w:keepLines/>
        <w:spacing w:line="240" w:lineRule="auto"/>
        <w:ind w:left="2268" w:hanging="1134"/>
      </w:pPr>
      <w:r w:rsidRPr="0070796C">
        <w:t>5.</w:t>
      </w:r>
      <w:r w:rsidRPr="0070796C">
        <w:tab/>
        <w:t>Retrait d</w:t>
      </w:r>
      <w:r>
        <w:t>’</w:t>
      </w:r>
      <w:r w:rsidRPr="0070796C">
        <w:t>homologation</w:t>
      </w:r>
    </w:p>
    <w:p w:rsidR="008D01C3" w:rsidRPr="0070796C" w:rsidRDefault="008D01C3" w:rsidP="008D01C3">
      <w:pPr>
        <w:pStyle w:val="SingleTxtG"/>
        <w:spacing w:line="240" w:lineRule="auto"/>
        <w:ind w:left="2268" w:right="1133"/>
      </w:pPr>
      <w:r w:rsidRPr="0070796C">
        <w:t>Le retrait de l</w:t>
      </w:r>
      <w:r>
        <w:t>’</w:t>
      </w:r>
      <w:r w:rsidRPr="0070796C">
        <w:t>homologation s</w:t>
      </w:r>
      <w:r>
        <w:t>’</w:t>
      </w:r>
      <w:r w:rsidR="00F1037C">
        <w:t>effectue en vertu du paragraphe </w:t>
      </w:r>
      <w:r w:rsidRPr="0070796C">
        <w:t>13 du présent Règlement.</w:t>
      </w:r>
      <w:r w:rsidR="00F1037C">
        <w:t> »</w:t>
      </w:r>
    </w:p>
    <w:p w:rsidR="008D01C3" w:rsidRDefault="00F1037C" w:rsidP="008D01C3">
      <w:pPr>
        <w:pStyle w:val="SingleTxtG"/>
        <w:spacing w:line="240" w:lineRule="auto"/>
      </w:pPr>
      <w:r>
        <w:rPr>
          <w:i/>
          <w:iCs/>
        </w:rPr>
        <w:t>Figure </w:t>
      </w:r>
      <w:r w:rsidR="008D01C3" w:rsidRPr="0070796C">
        <w:rPr>
          <w:i/>
          <w:iCs/>
        </w:rPr>
        <w:t>1</w:t>
      </w:r>
      <w:r w:rsidR="008D01C3" w:rsidRPr="0070796C">
        <w:t>, supprimer.</w:t>
      </w:r>
    </w:p>
    <w:p w:rsidR="008D01C3" w:rsidRPr="00F1037C" w:rsidRDefault="00F1037C" w:rsidP="00F1037C">
      <w:pPr>
        <w:pStyle w:val="SingleTxtG"/>
        <w:spacing w:before="120" w:after="0" w:line="200" w:lineRule="exact"/>
        <w:jc w:val="center"/>
        <w:rPr>
          <w:u w:val="single"/>
        </w:rPr>
      </w:pPr>
      <w:r>
        <w:rPr>
          <w:u w:val="single"/>
        </w:rPr>
        <w:tab/>
      </w:r>
      <w:r>
        <w:rPr>
          <w:u w:val="single"/>
        </w:rPr>
        <w:tab/>
      </w:r>
      <w:r>
        <w:rPr>
          <w:u w:val="single"/>
        </w:rPr>
        <w:tab/>
      </w:r>
    </w:p>
    <w:sectPr w:rsidR="008D01C3" w:rsidRPr="00F1037C" w:rsidSect="008D01C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5FF" w:rsidRDefault="007F15FF"/>
  </w:endnote>
  <w:endnote w:type="continuationSeparator" w:id="0">
    <w:p w:rsidR="007F15FF" w:rsidRDefault="007F15FF">
      <w:pPr>
        <w:pStyle w:val="Footer"/>
      </w:pPr>
    </w:p>
  </w:endnote>
  <w:endnote w:type="continuationNotice" w:id="1">
    <w:p w:rsidR="007F15FF" w:rsidRPr="00C451B9" w:rsidRDefault="007F15F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1C3" w:rsidRPr="008D01C3" w:rsidRDefault="008D01C3" w:rsidP="008D01C3">
    <w:pPr>
      <w:pStyle w:val="Footer"/>
      <w:tabs>
        <w:tab w:val="right" w:pos="9638"/>
      </w:tabs>
    </w:pPr>
    <w:r w:rsidRPr="008D01C3">
      <w:rPr>
        <w:b/>
        <w:sz w:val="18"/>
      </w:rPr>
      <w:fldChar w:fldCharType="begin"/>
    </w:r>
    <w:r w:rsidRPr="008D01C3">
      <w:rPr>
        <w:b/>
        <w:sz w:val="18"/>
      </w:rPr>
      <w:instrText xml:space="preserve"> PAGE  \* MERGEFORMAT </w:instrText>
    </w:r>
    <w:r w:rsidRPr="008D01C3">
      <w:rPr>
        <w:b/>
        <w:sz w:val="18"/>
      </w:rPr>
      <w:fldChar w:fldCharType="separate"/>
    </w:r>
    <w:r w:rsidR="006A2A32">
      <w:rPr>
        <w:b/>
        <w:noProof/>
        <w:sz w:val="18"/>
      </w:rPr>
      <w:t>6</w:t>
    </w:r>
    <w:r w:rsidRPr="008D01C3">
      <w:rPr>
        <w:b/>
        <w:sz w:val="18"/>
      </w:rPr>
      <w:fldChar w:fldCharType="end"/>
    </w:r>
    <w:r>
      <w:rPr>
        <w:b/>
        <w:sz w:val="18"/>
      </w:rPr>
      <w:tab/>
    </w:r>
    <w:r>
      <w:t>GE.17-21893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1C3" w:rsidRPr="008D01C3" w:rsidRDefault="008D01C3" w:rsidP="008D01C3">
    <w:pPr>
      <w:pStyle w:val="Footer"/>
      <w:tabs>
        <w:tab w:val="right" w:pos="9638"/>
      </w:tabs>
      <w:rPr>
        <w:b/>
        <w:sz w:val="18"/>
      </w:rPr>
    </w:pPr>
    <w:r>
      <w:t>GE.17-21893</w:t>
    </w:r>
    <w:r>
      <w:tab/>
    </w:r>
    <w:r w:rsidRPr="008D01C3">
      <w:rPr>
        <w:b/>
        <w:sz w:val="18"/>
      </w:rPr>
      <w:fldChar w:fldCharType="begin"/>
    </w:r>
    <w:r w:rsidRPr="008D01C3">
      <w:rPr>
        <w:b/>
        <w:sz w:val="18"/>
      </w:rPr>
      <w:instrText xml:space="preserve"> PAGE  \* MERGEFORMAT </w:instrText>
    </w:r>
    <w:r w:rsidRPr="008D01C3">
      <w:rPr>
        <w:b/>
        <w:sz w:val="18"/>
      </w:rPr>
      <w:fldChar w:fldCharType="separate"/>
    </w:r>
    <w:r w:rsidR="006A2A32">
      <w:rPr>
        <w:b/>
        <w:noProof/>
        <w:sz w:val="18"/>
      </w:rPr>
      <w:t>5</w:t>
    </w:r>
    <w:r w:rsidRPr="008D01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8D01C3" w:rsidRDefault="008D01C3" w:rsidP="008D01C3">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17-21893  (F)    060218    060218</w:t>
    </w:r>
    <w:r>
      <w:rPr>
        <w:sz w:val="20"/>
      </w:rPr>
      <w:br/>
    </w:r>
    <w:r w:rsidRPr="008D01C3">
      <w:rPr>
        <w:rFonts w:ascii="C39T30Lfz" w:hAnsi="C39T30Lfz"/>
        <w:sz w:val="56"/>
      </w:rPr>
      <w:t></w:t>
    </w:r>
    <w:r w:rsidRPr="008D01C3">
      <w:rPr>
        <w:rFonts w:ascii="C39T30Lfz" w:hAnsi="C39T30Lfz"/>
        <w:sz w:val="56"/>
      </w:rPr>
      <w:t></w:t>
    </w:r>
    <w:r w:rsidRPr="008D01C3">
      <w:rPr>
        <w:rFonts w:ascii="C39T30Lfz" w:hAnsi="C39T30Lfz"/>
        <w:sz w:val="56"/>
      </w:rPr>
      <w:t></w:t>
    </w:r>
    <w:r w:rsidRPr="008D01C3">
      <w:rPr>
        <w:rFonts w:ascii="C39T30Lfz" w:hAnsi="C39T30Lfz"/>
        <w:sz w:val="56"/>
      </w:rPr>
      <w:t></w:t>
    </w:r>
    <w:r w:rsidRPr="008D01C3">
      <w:rPr>
        <w:rFonts w:ascii="C39T30Lfz" w:hAnsi="C39T30Lfz"/>
        <w:sz w:val="56"/>
      </w:rPr>
      <w:t></w:t>
    </w:r>
    <w:r w:rsidRPr="008D01C3">
      <w:rPr>
        <w:rFonts w:ascii="C39T30Lfz" w:hAnsi="C39T30Lfz"/>
        <w:sz w:val="56"/>
      </w:rPr>
      <w:t></w:t>
    </w:r>
    <w:r w:rsidRPr="008D01C3">
      <w:rPr>
        <w:rFonts w:ascii="C39T30Lfz" w:hAnsi="C39T30Lfz"/>
        <w:sz w:val="56"/>
      </w:rPr>
      <w:t></w:t>
    </w:r>
    <w:r w:rsidRPr="008D01C3">
      <w:rPr>
        <w:rFonts w:ascii="C39T30Lfz" w:hAnsi="C39T30Lfz"/>
        <w:sz w:val="56"/>
      </w:rPr>
      <w:t></w:t>
    </w:r>
    <w:r w:rsidRPr="008D01C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6/Rev.3/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6/Rev.3/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5FF" w:rsidRPr="00D27D5E" w:rsidRDefault="007F15FF" w:rsidP="00D27D5E">
      <w:pPr>
        <w:tabs>
          <w:tab w:val="right" w:pos="2155"/>
        </w:tabs>
        <w:spacing w:after="80"/>
        <w:ind w:left="680"/>
        <w:rPr>
          <w:u w:val="single"/>
        </w:rPr>
      </w:pPr>
      <w:r>
        <w:rPr>
          <w:u w:val="single"/>
        </w:rPr>
        <w:tab/>
      </w:r>
    </w:p>
  </w:footnote>
  <w:footnote w:type="continuationSeparator" w:id="0">
    <w:p w:rsidR="007F15FF" w:rsidRPr="00D171D4" w:rsidRDefault="007F15FF" w:rsidP="00D171D4">
      <w:pPr>
        <w:tabs>
          <w:tab w:val="right" w:pos="2155"/>
        </w:tabs>
        <w:spacing w:after="80"/>
        <w:ind w:left="680"/>
        <w:rPr>
          <w:u w:val="single"/>
        </w:rPr>
      </w:pPr>
      <w:r w:rsidRPr="00D171D4">
        <w:rPr>
          <w:u w:val="single"/>
        </w:rPr>
        <w:tab/>
      </w:r>
    </w:p>
  </w:footnote>
  <w:footnote w:type="continuationNotice" w:id="1">
    <w:p w:rsidR="007F15FF" w:rsidRPr="00C451B9" w:rsidRDefault="007F15FF" w:rsidP="00C451B9">
      <w:pPr>
        <w:spacing w:line="240" w:lineRule="auto"/>
        <w:rPr>
          <w:sz w:val="2"/>
          <w:szCs w:val="2"/>
        </w:rPr>
      </w:pPr>
    </w:p>
  </w:footnote>
  <w:footnote w:id="2">
    <w:p w:rsidR="008D01C3" w:rsidRPr="00D76C54" w:rsidRDefault="008D01C3" w:rsidP="008D01C3">
      <w:pPr>
        <w:pStyle w:val="FootnoteText"/>
      </w:pPr>
      <w:r>
        <w:tab/>
      </w:r>
      <w:r w:rsidRPr="00D76C54">
        <w:rPr>
          <w:rStyle w:val="FootnoteReference"/>
          <w:sz w:val="20"/>
        </w:rPr>
        <w:t>*</w:t>
      </w:r>
      <w:r w:rsidRPr="00D76C54">
        <w:rPr>
          <w:sz w:val="20"/>
        </w:rPr>
        <w:tab/>
      </w:r>
      <w:r>
        <w:t>Anciens titres de l’Accord :</w:t>
      </w:r>
    </w:p>
    <w:p w:rsidR="008D01C3" w:rsidRPr="00D76C54" w:rsidRDefault="008D01C3" w:rsidP="008D01C3">
      <w:pPr>
        <w:pStyle w:val="FootnoteText"/>
      </w:pPr>
      <w:r>
        <w:tab/>
      </w:r>
      <w:r>
        <w:tab/>
      </w:r>
      <w:r w:rsidRPr="00D76C54">
        <w:t>Accord concernant l’adoption de conditions uniformes d’homologation et la reconnaissance réciproque de l’homologation des équipements et pièces de véhicules à m</w:t>
      </w:r>
      <w:r>
        <w:t>oteur, en date, à Genève, du 20 </w:t>
      </w:r>
      <w:r w:rsidRPr="00D76C54">
        <w:t xml:space="preserve">mars 1958 (version originale). </w:t>
      </w:r>
    </w:p>
    <w:p w:rsidR="008D01C3" w:rsidRPr="00D76C54" w:rsidRDefault="008D01C3" w:rsidP="008D01C3">
      <w:pPr>
        <w:pStyle w:val="FootnoteText"/>
      </w:pPr>
      <w:r>
        <w:tab/>
      </w:r>
      <w:r>
        <w:tab/>
      </w:r>
      <w:r w:rsidRPr="00D76C54">
        <w:t>Accord concernant l’adoption de prescriptions techniques uniformes applicables aux véhicules à roues, aux équipements et aux pièces susceptibles d’être montés ou util</w:t>
      </w:r>
      <w:r w:rsidR="00E62334">
        <w:t>isés sur un véhicule à roues et </w:t>
      </w:r>
      <w:r w:rsidRPr="00D76C54">
        <w:t>les conditions de reconnaissance réciproque des homologations délivrées conformément à c</w:t>
      </w:r>
      <w:r w:rsidR="00E62334">
        <w:t>es </w:t>
      </w:r>
      <w:r w:rsidRPr="00D76C54">
        <w:t>prescri</w:t>
      </w:r>
      <w:r>
        <w:t>ptions, en date, à Genève, du 5 octobre 1995 (Révision </w:t>
      </w:r>
      <w:r w:rsidRPr="00D76C54">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1C3" w:rsidRPr="008D01C3" w:rsidRDefault="008D01C3">
    <w:pPr>
      <w:pStyle w:val="Header"/>
      <w:rPr>
        <w:lang w:val="en-US"/>
      </w:rPr>
    </w:pPr>
    <w:r>
      <w:fldChar w:fldCharType="begin"/>
    </w:r>
    <w:r w:rsidRPr="008D01C3">
      <w:rPr>
        <w:lang w:val="en-US"/>
      </w:rPr>
      <w:instrText xml:space="preserve"> TITLE  \* MERGEFORMAT </w:instrText>
    </w:r>
    <w:r>
      <w:fldChar w:fldCharType="separate"/>
    </w:r>
    <w:r w:rsidR="00F47837">
      <w:rPr>
        <w:lang w:val="en-US"/>
      </w:rPr>
      <w:t>E/ECE/324/Rev.1/Add.76/Rev.3/Amend.1</w:t>
    </w:r>
    <w:r>
      <w:fldChar w:fldCharType="end"/>
    </w:r>
    <w:r w:rsidRPr="008D01C3">
      <w:rPr>
        <w:lang w:val="en-US"/>
      </w:rPr>
      <w:br/>
    </w:r>
    <w:r>
      <w:fldChar w:fldCharType="begin"/>
    </w:r>
    <w:r w:rsidRPr="008D01C3">
      <w:rPr>
        <w:lang w:val="en-US"/>
      </w:rPr>
      <w:instrText xml:space="preserve"> KEYWORDS  \* MERGEFORMAT </w:instrText>
    </w:r>
    <w:r>
      <w:fldChar w:fldCharType="separate"/>
    </w:r>
    <w:r w:rsidR="00F47837">
      <w:rPr>
        <w:lang w:val="en-US"/>
      </w:rPr>
      <w:t>E/ECE/TRANS/505/Rev.1/Add.76/Rev.3/Amend.1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1C3" w:rsidRPr="008D01C3" w:rsidRDefault="008D01C3" w:rsidP="008D01C3">
    <w:pPr>
      <w:pStyle w:val="Header"/>
      <w:jc w:val="right"/>
      <w:rPr>
        <w:lang w:val="en-US"/>
      </w:rPr>
    </w:pPr>
    <w:r>
      <w:fldChar w:fldCharType="begin"/>
    </w:r>
    <w:r w:rsidRPr="008D01C3">
      <w:rPr>
        <w:lang w:val="en-US"/>
      </w:rPr>
      <w:instrText xml:space="preserve"> TITLE  \* MERGEFORMAT </w:instrText>
    </w:r>
    <w:r>
      <w:fldChar w:fldCharType="separate"/>
    </w:r>
    <w:r w:rsidR="00F47837">
      <w:rPr>
        <w:lang w:val="en-US"/>
      </w:rPr>
      <w:t>E/ECE/324/Rev.1/Add.76/Rev.3/Amend.1</w:t>
    </w:r>
    <w:r>
      <w:fldChar w:fldCharType="end"/>
    </w:r>
    <w:r w:rsidRPr="008D01C3">
      <w:rPr>
        <w:lang w:val="en-US"/>
      </w:rPr>
      <w:br/>
    </w:r>
    <w:r>
      <w:fldChar w:fldCharType="begin"/>
    </w:r>
    <w:r w:rsidRPr="008D01C3">
      <w:rPr>
        <w:lang w:val="en-US"/>
      </w:rPr>
      <w:instrText xml:space="preserve"> KEYWORDS  \* MERGEFORMAT </w:instrText>
    </w:r>
    <w:r>
      <w:fldChar w:fldCharType="separate"/>
    </w:r>
    <w:r w:rsidR="00F47837">
      <w:rPr>
        <w:lang w:val="en-US"/>
      </w:rPr>
      <w:t>E/ECE/TRANS/505/Rev.1/Add.76/Rev.3/Amend.1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F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7AF8"/>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2DC5"/>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26C6"/>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A32"/>
    <w:rsid w:val="006A6B31"/>
    <w:rsid w:val="006A6C95"/>
    <w:rsid w:val="006A7B29"/>
    <w:rsid w:val="006B0EB2"/>
    <w:rsid w:val="006B0FF8"/>
    <w:rsid w:val="006B4590"/>
    <w:rsid w:val="006C340C"/>
    <w:rsid w:val="006C57CD"/>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5FF"/>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01C3"/>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0746C"/>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B2501"/>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7CFA"/>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07E5"/>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50E2"/>
    <w:rsid w:val="00E510F3"/>
    <w:rsid w:val="00E51874"/>
    <w:rsid w:val="00E60012"/>
    <w:rsid w:val="00E62334"/>
    <w:rsid w:val="00E62CFF"/>
    <w:rsid w:val="00E663A9"/>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037C"/>
    <w:rsid w:val="00F116EB"/>
    <w:rsid w:val="00F1794E"/>
    <w:rsid w:val="00F211AF"/>
    <w:rsid w:val="00F25EC3"/>
    <w:rsid w:val="00F32ADB"/>
    <w:rsid w:val="00F32C98"/>
    <w:rsid w:val="00F37E12"/>
    <w:rsid w:val="00F424BD"/>
    <w:rsid w:val="00F4527A"/>
    <w:rsid w:val="00F45D41"/>
    <w:rsid w:val="00F47837"/>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A4B3A5A9-E988-43E5-B2E3-3E55861F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uiPriority w:val="99"/>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8D01C3"/>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3ABD-8A15-40FF-ABD9-446D74D1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E/ECE/324/Rev.1/Add.76/Rev.3/Amend.1</vt:lpstr>
      <vt:lpstr>E/ECE/324/Rev.1/Add.76/Rev.3/Amend.1</vt:lpstr>
    </vt:vector>
  </TitlesOfParts>
  <Company>CSD</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E/ECE/324/Rev.1/Add.76/Rev.3/Amend.1</dc:title>
  <dc:creator>Edith BOURION</dc:creator>
  <cp:keywords>E/ECE/TRANS/505/Rev.1/Add.76/Rev.3/Amend.1</cp:keywords>
  <cp:lastModifiedBy>Olivia Braud</cp:lastModifiedBy>
  <cp:revision>2</cp:revision>
  <cp:lastPrinted>2018-02-06T14:56:00Z</cp:lastPrinted>
  <dcterms:created xsi:type="dcterms:W3CDTF">2018-08-22T13:19:00Z</dcterms:created>
  <dcterms:modified xsi:type="dcterms:W3CDTF">2018-08-22T13:19:00Z</dcterms:modified>
</cp:coreProperties>
</file>