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672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80B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80B87" w:rsidRPr="00A80B87" w:rsidRDefault="00A80B87" w:rsidP="00A80B87">
            <w:pPr>
              <w:jc w:val="right"/>
              <w:rPr>
                <w:lang w:val="en-US"/>
              </w:rPr>
            </w:pPr>
            <w:r w:rsidRPr="00A80B87">
              <w:rPr>
                <w:sz w:val="40"/>
                <w:lang w:val="en-US"/>
              </w:rPr>
              <w:t>E</w:t>
            </w:r>
            <w:r w:rsidRPr="00A80B87">
              <w:rPr>
                <w:lang w:val="en-US"/>
              </w:rPr>
              <w:t>/ECE/324/Rev.1/Add.66/Rev.4/Amend.1</w:t>
            </w:r>
            <w:r w:rsidRPr="00A80B87">
              <w:rPr>
                <w:rFonts w:cs="Times New Roman"/>
                <w:lang w:val="en-US"/>
              </w:rPr>
              <w:t>−</w:t>
            </w:r>
            <w:r w:rsidRPr="00A80B87">
              <w:rPr>
                <w:sz w:val="40"/>
                <w:lang w:val="en-US"/>
              </w:rPr>
              <w:t>E</w:t>
            </w:r>
            <w:r w:rsidRPr="00A80B87">
              <w:rPr>
                <w:lang w:val="en-US"/>
              </w:rPr>
              <w:t>/ECE/TRANS/505/Rev.1/Add.66/Rev.4/Amend.1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80B8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80B8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A80B87" w:rsidRDefault="00A80B87" w:rsidP="00A80B8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 November 2018</w:t>
            </w:r>
          </w:p>
          <w:p w:rsidR="00A80B87" w:rsidRPr="009D084C" w:rsidRDefault="00A80B87" w:rsidP="00A80B87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A80B87" w:rsidRPr="001C3156" w:rsidRDefault="00444D62" w:rsidP="00792982">
      <w:pPr>
        <w:pStyle w:val="HChGR"/>
        <w:spacing w:before="240" w:after="180"/>
      </w:pPr>
      <w:r>
        <w:tab/>
      </w:r>
      <w:r>
        <w:tab/>
      </w:r>
      <w:r w:rsidR="00A80B87" w:rsidRPr="001C3156">
        <w:t>Соглашение</w:t>
      </w:r>
    </w:p>
    <w:p w:rsidR="00A80B87" w:rsidRPr="001C3156" w:rsidRDefault="00A80B87" w:rsidP="00792982">
      <w:pPr>
        <w:pStyle w:val="H1GR"/>
        <w:spacing w:before="180" w:after="120"/>
      </w:pPr>
      <w:r>
        <w:tab/>
      </w:r>
      <w:r w:rsidRPr="001C3156">
        <w:tab/>
        <w:t>О принятии единообраз</w:t>
      </w:r>
      <w:r>
        <w:t>ных технических предписаний для </w:t>
      </w:r>
      <w:r w:rsidRPr="001C3156">
        <w:t>колесных транспортных ср</w:t>
      </w:r>
      <w:r>
        <w:t>едств, предметов оборудования и </w:t>
      </w:r>
      <w:r w:rsidRPr="001C3156">
        <w:t>частей, которые могут быть ус</w:t>
      </w:r>
      <w:r>
        <w:t>тановлены и/или использованы на </w:t>
      </w:r>
      <w:r w:rsidRPr="001C3156">
        <w:t>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A80B87" w:rsidRPr="007E1458" w:rsidRDefault="00A80B87" w:rsidP="00A80B87">
      <w:pPr>
        <w:pStyle w:val="SingleTxtGR"/>
        <w:spacing w:after="0" w:line="220" w:lineRule="atLeast"/>
      </w:pPr>
      <w:r w:rsidRPr="007E1458">
        <w:t xml:space="preserve">(Пересмотр </w:t>
      </w:r>
      <w:r w:rsidRPr="003B0BFE">
        <w:t>3</w:t>
      </w:r>
      <w:r w:rsidRPr="007E1458">
        <w:t>, включающий поправки, вступившие в силу 1</w:t>
      </w:r>
      <w:r w:rsidRPr="003B0BFE">
        <w:t>4</w:t>
      </w:r>
      <w:r w:rsidRPr="007E1458">
        <w:t xml:space="preserve"> </w:t>
      </w:r>
      <w:r w:rsidR="00444D62">
        <w:t>сен</w:t>
      </w:r>
      <w:r w:rsidRPr="007E1458">
        <w:t xml:space="preserve">тября </w:t>
      </w:r>
      <w:r w:rsidRPr="003B0BFE">
        <w:t>2017</w:t>
      </w:r>
      <w:r w:rsidRPr="007E1458">
        <w:t xml:space="preserve"> года)</w:t>
      </w:r>
    </w:p>
    <w:p w:rsidR="00A80B87" w:rsidRPr="00444D62" w:rsidRDefault="00A80B87" w:rsidP="00A80B87">
      <w:pPr>
        <w:spacing w:line="220" w:lineRule="atLeast"/>
        <w:jc w:val="center"/>
        <w:rPr>
          <w:b/>
          <w:u w:val="single"/>
        </w:rPr>
      </w:pPr>
      <w:r w:rsidRPr="00444D62">
        <w:rPr>
          <w:b/>
          <w:u w:val="single"/>
        </w:rPr>
        <w:tab/>
      </w:r>
      <w:r w:rsidRPr="00444D62">
        <w:rPr>
          <w:b/>
          <w:u w:val="single"/>
        </w:rPr>
        <w:tab/>
      </w:r>
    </w:p>
    <w:p w:rsidR="00A80B87" w:rsidRPr="00444D62" w:rsidRDefault="00A80B87" w:rsidP="00792982">
      <w:pPr>
        <w:pStyle w:val="H1GR"/>
        <w:spacing w:before="180" w:after="120"/>
        <w:rPr>
          <w:sz w:val="28"/>
          <w:szCs w:val="28"/>
        </w:rPr>
      </w:pPr>
      <w:r w:rsidRPr="00444D62">
        <w:rPr>
          <w:sz w:val="28"/>
          <w:szCs w:val="28"/>
        </w:rPr>
        <w:tab/>
      </w:r>
      <w:r w:rsidRPr="00444D62">
        <w:rPr>
          <w:sz w:val="28"/>
          <w:szCs w:val="28"/>
        </w:rPr>
        <w:tab/>
        <w:t>Добавление 66: Правила № 67</w:t>
      </w:r>
    </w:p>
    <w:p w:rsidR="00A80B87" w:rsidRDefault="00A80B87" w:rsidP="00792982">
      <w:pPr>
        <w:pStyle w:val="H1GR"/>
        <w:spacing w:before="180" w:after="120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 w:rsidRPr="00A80B87">
        <w:rPr>
          <w:bCs/>
          <w:szCs w:val="24"/>
        </w:rPr>
        <w:t>4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1C7651">
        <w:rPr>
          <w:bCs/>
          <w:szCs w:val="24"/>
        </w:rPr>
        <w:t>1</w:t>
      </w:r>
    </w:p>
    <w:p w:rsidR="00A80B87" w:rsidRDefault="00A80B87" w:rsidP="00A80B87">
      <w:pPr>
        <w:pStyle w:val="H1GR"/>
        <w:spacing w:before="120" w:after="120"/>
        <w:rPr>
          <w:b w:val="0"/>
          <w:bCs/>
          <w:sz w:val="20"/>
          <w:szCs w:val="1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3B0BFE">
        <w:rPr>
          <w:b w:val="0"/>
          <w:bCs/>
          <w:sz w:val="20"/>
          <w:szCs w:val="14"/>
        </w:rPr>
        <w:t xml:space="preserve">Дополнение 15 к </w:t>
      </w:r>
      <w:r>
        <w:rPr>
          <w:b w:val="0"/>
          <w:bCs/>
          <w:sz w:val="20"/>
          <w:szCs w:val="14"/>
        </w:rPr>
        <w:t>поправкам серии 01</w:t>
      </w:r>
      <w:r w:rsidRPr="003B0BFE">
        <w:rPr>
          <w:b w:val="0"/>
          <w:bCs/>
          <w:sz w:val="20"/>
          <w:szCs w:val="14"/>
        </w:rPr>
        <w:t xml:space="preserve"> – Дата вступления в силу: </w:t>
      </w:r>
      <w:r>
        <w:rPr>
          <w:b w:val="0"/>
          <w:bCs/>
          <w:sz w:val="20"/>
          <w:szCs w:val="14"/>
        </w:rPr>
        <w:t>16 октября</w:t>
      </w:r>
      <w:r w:rsidRPr="003B0BFE">
        <w:rPr>
          <w:b w:val="0"/>
          <w:bCs/>
          <w:sz w:val="20"/>
          <w:szCs w:val="14"/>
        </w:rPr>
        <w:t xml:space="preserve"> 201</w:t>
      </w:r>
      <w:r>
        <w:rPr>
          <w:b w:val="0"/>
          <w:bCs/>
          <w:sz w:val="20"/>
          <w:szCs w:val="14"/>
        </w:rPr>
        <w:t>8</w:t>
      </w:r>
      <w:r w:rsidRPr="003B0BFE">
        <w:rPr>
          <w:b w:val="0"/>
          <w:bCs/>
          <w:sz w:val="20"/>
          <w:szCs w:val="14"/>
          <w:lang w:val="en-US"/>
        </w:rPr>
        <w:t> </w:t>
      </w:r>
      <w:r w:rsidRPr="003B0BFE">
        <w:rPr>
          <w:b w:val="0"/>
          <w:bCs/>
          <w:sz w:val="20"/>
          <w:szCs w:val="14"/>
        </w:rPr>
        <w:t>года</w:t>
      </w:r>
    </w:p>
    <w:p w:rsidR="00A80B87" w:rsidRDefault="00A80B87" w:rsidP="00792982">
      <w:pPr>
        <w:pStyle w:val="SingleTxtGR"/>
        <w:spacing w:line="200" w:lineRule="atLeast"/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>
        <w:rPr>
          <w:spacing w:val="-6"/>
          <w:lang w:eastAsia="en-GB"/>
        </w:rPr>
        <w:t>ECE/TRANS/WP.29/2018/18.</w:t>
      </w:r>
    </w:p>
    <w:p w:rsidR="00A80B87" w:rsidRPr="00792982" w:rsidRDefault="00A80B87" w:rsidP="00792982">
      <w:pPr>
        <w:pStyle w:val="SingleTxtGR"/>
        <w:spacing w:before="180" w:after="0"/>
        <w:rPr>
          <w:b/>
          <w:sz w:val="24"/>
          <w:szCs w:val="24"/>
        </w:rPr>
      </w:pPr>
      <w:r w:rsidRPr="00792982">
        <w:rPr>
          <w:b/>
          <w:sz w:val="24"/>
          <w:szCs w:val="24"/>
        </w:rPr>
        <w:t>Единообразные предписания, касающиеся:</w:t>
      </w:r>
    </w:p>
    <w:p w:rsidR="00A80B87" w:rsidRPr="00792982" w:rsidRDefault="00A80B87" w:rsidP="00792982">
      <w:pPr>
        <w:pStyle w:val="SingleTxtGR"/>
        <w:spacing w:after="0"/>
        <w:ind w:left="1701" w:hanging="567"/>
        <w:jc w:val="left"/>
        <w:rPr>
          <w:b/>
          <w:sz w:val="24"/>
          <w:szCs w:val="24"/>
        </w:rPr>
      </w:pPr>
      <w:r w:rsidRPr="00792982">
        <w:rPr>
          <w:b/>
          <w:sz w:val="24"/>
          <w:szCs w:val="24"/>
        </w:rPr>
        <w:t>I.</w:t>
      </w:r>
      <w:r w:rsidRPr="00792982">
        <w:rPr>
          <w:b/>
          <w:sz w:val="24"/>
          <w:szCs w:val="24"/>
        </w:rPr>
        <w:tab/>
        <w:t xml:space="preserve">Официального утверждения специального оборудования транспортных средств категорий </w:t>
      </w:r>
      <w:r w:rsidRPr="00792982">
        <w:rPr>
          <w:b/>
          <w:sz w:val="24"/>
          <w:szCs w:val="24"/>
          <w:lang w:val="en-US"/>
        </w:rPr>
        <w:t>M</w:t>
      </w:r>
      <w:r w:rsidRPr="00792982">
        <w:rPr>
          <w:b/>
          <w:sz w:val="24"/>
          <w:szCs w:val="24"/>
        </w:rPr>
        <w:t xml:space="preserve"> и </w:t>
      </w:r>
      <w:r w:rsidRPr="00792982">
        <w:rPr>
          <w:b/>
          <w:sz w:val="24"/>
          <w:szCs w:val="24"/>
          <w:lang w:val="en-US"/>
        </w:rPr>
        <w:t>N</w:t>
      </w:r>
      <w:r w:rsidRPr="00792982">
        <w:rPr>
          <w:b/>
          <w:sz w:val="24"/>
          <w:szCs w:val="24"/>
        </w:rPr>
        <w:t>, двигатели которых работают на сжиженном нефтяном газе</w:t>
      </w:r>
    </w:p>
    <w:p w:rsidR="00A80B87" w:rsidRPr="00792982" w:rsidRDefault="00A80B87" w:rsidP="00792982">
      <w:pPr>
        <w:pStyle w:val="SingleTxtGR"/>
        <w:spacing w:after="0"/>
        <w:ind w:left="1701" w:hanging="567"/>
        <w:jc w:val="left"/>
        <w:rPr>
          <w:b/>
          <w:bCs/>
          <w:sz w:val="24"/>
          <w:szCs w:val="24"/>
        </w:rPr>
      </w:pPr>
      <w:r w:rsidRPr="00792982">
        <w:rPr>
          <w:b/>
          <w:bCs/>
          <w:sz w:val="24"/>
          <w:szCs w:val="24"/>
        </w:rPr>
        <w:t>II.</w:t>
      </w:r>
      <w:r w:rsidRPr="00792982">
        <w:rPr>
          <w:b/>
          <w:bCs/>
          <w:sz w:val="24"/>
          <w:szCs w:val="24"/>
        </w:rPr>
        <w:tab/>
        <w:t xml:space="preserve">Официального утверждения транспортных средств категорий </w:t>
      </w:r>
      <w:r w:rsidRPr="00792982">
        <w:rPr>
          <w:b/>
          <w:bCs/>
          <w:sz w:val="24"/>
          <w:szCs w:val="24"/>
          <w:lang w:val="en-US"/>
        </w:rPr>
        <w:t>M</w:t>
      </w:r>
      <w:r w:rsidRPr="00792982">
        <w:rPr>
          <w:b/>
          <w:bCs/>
          <w:sz w:val="24"/>
          <w:szCs w:val="24"/>
        </w:rPr>
        <w:t xml:space="preserve"> и </w:t>
      </w:r>
      <w:r w:rsidRPr="00792982">
        <w:rPr>
          <w:b/>
          <w:bCs/>
          <w:sz w:val="24"/>
          <w:szCs w:val="24"/>
          <w:lang w:val="en-US"/>
        </w:rPr>
        <w:t>N</w:t>
      </w:r>
      <w:r w:rsidRPr="00792982">
        <w:rPr>
          <w:b/>
          <w:bCs/>
          <w:sz w:val="24"/>
          <w:szCs w:val="24"/>
        </w:rPr>
        <w:t>, оснащенных специальным оборудованием для использования сжиженного нефтяного газа в качестве топлива, в отношении установки такого оборудования</w:t>
      </w:r>
    </w:p>
    <w:p w:rsidR="00A80B87" w:rsidRPr="00526669" w:rsidRDefault="00A80B87" w:rsidP="00792982">
      <w:pPr>
        <w:pStyle w:val="SingleTxtGR"/>
        <w:spacing w:before="60" w:after="0"/>
        <w:jc w:val="center"/>
        <w:rPr>
          <w:b/>
          <w:u w:val="single"/>
        </w:rPr>
      </w:pPr>
      <w:r w:rsidRPr="00526669">
        <w:rPr>
          <w:b/>
          <w:u w:val="single"/>
        </w:rPr>
        <w:tab/>
      </w:r>
      <w:r w:rsidR="00792982" w:rsidRPr="00526669">
        <w:rPr>
          <w:b/>
          <w:u w:val="single"/>
        </w:rPr>
        <w:tab/>
      </w:r>
    </w:p>
    <w:p w:rsidR="00A80B87" w:rsidRDefault="00A80B87" w:rsidP="00792982">
      <w:pPr>
        <w:jc w:val="center"/>
        <w:rPr>
          <w:lang w:eastAsia="ru-RU"/>
        </w:rPr>
      </w:pPr>
      <w:r>
        <w:rPr>
          <w:b/>
          <w:noProof/>
          <w:lang w:val="fr-CH" w:eastAsia="fr-CH"/>
        </w:rPr>
        <w:drawing>
          <wp:inline distT="0" distB="0" distL="0" distR="0" wp14:anchorId="1465C268" wp14:editId="1EDFDE62">
            <wp:extent cx="755073" cy="640753"/>
            <wp:effectExtent l="0" t="0" r="6985" b="6985"/>
            <wp:docPr id="7" name="Рисунок 7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1" cy="6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Default="00A80B87" w:rsidP="00792982">
      <w:pPr>
        <w:pStyle w:val="SingleTxtGR"/>
        <w:spacing w:before="60" w:after="0"/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 w:rsidRPr="0080382B">
        <w:rPr>
          <w:b/>
          <w:bCs/>
        </w:rPr>
        <w:t>ОРГАНИЗАЦИЯ ОБЪЕДИНЕННЫХ НАЦИЙ</w:t>
      </w:r>
    </w:p>
    <w:p w:rsidR="00792982" w:rsidRPr="00792982" w:rsidRDefault="00792982" w:rsidP="00792982">
      <w:pPr>
        <w:pStyle w:val="SingleTxtGR"/>
      </w:pPr>
      <w:r w:rsidRPr="00792982">
        <w:rPr>
          <w:i/>
        </w:rPr>
        <w:t xml:space="preserve">Содержание, приложения, </w:t>
      </w:r>
      <w:r w:rsidRPr="00792982">
        <w:rPr>
          <w:iCs/>
        </w:rPr>
        <w:t>изменить следующим образом</w:t>
      </w:r>
      <w:r w:rsidRPr="00792982">
        <w:t>:</w:t>
      </w:r>
    </w:p>
    <w:p w:rsidR="00792982" w:rsidRPr="00792982" w:rsidRDefault="00792982" w:rsidP="00792982">
      <w:pPr>
        <w:pStyle w:val="SingleTxtGR"/>
      </w:pPr>
      <w:r w:rsidRPr="00792982">
        <w:t>«Приложения</w:t>
      </w:r>
    </w:p>
    <w:p w:rsidR="00792982" w:rsidRPr="00792982" w:rsidRDefault="00792982" w:rsidP="00792982">
      <w:pPr>
        <w:pStyle w:val="SingleTxtGR"/>
      </w:pPr>
      <w:r w:rsidRPr="00792982">
        <w:t>…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14</w:t>
      </w:r>
      <w:r w:rsidRPr="00792982">
        <w:tab/>
        <w:t>Положения, касающиеся официального утверждения электронного блока управления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15</w:t>
      </w:r>
      <w:r w:rsidRPr="00792982">
        <w:tab/>
        <w:t>Положения, касающиеся официального утверждения газопровода(ов) шовного типа, газопровода(ов), изготовленного(ых) из материалов, не являющихся медью, нержавеющей сталью и сталью с антикоррозийным покрытием, и их соединительные муфты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16</w:t>
      </w:r>
      <w:r w:rsidRPr="00792982">
        <w:tab/>
        <w:t>Процедуры испытаний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17</w:t>
      </w:r>
      <w:r w:rsidRPr="00792982">
        <w:tab/>
        <w:t>Положения, касающиеся опознавательного знака транспортных средств категорий М</w:t>
      </w:r>
      <w:r w:rsidRPr="00792982">
        <w:rPr>
          <w:vertAlign w:val="subscript"/>
        </w:rPr>
        <w:t>2</w:t>
      </w:r>
      <w:r w:rsidRPr="00792982">
        <w:t xml:space="preserve"> и М</w:t>
      </w:r>
      <w:r w:rsidRPr="00792982">
        <w:rPr>
          <w:vertAlign w:val="subscript"/>
        </w:rPr>
        <w:t>3</w:t>
      </w:r>
      <w:r w:rsidRPr="00792982">
        <w:t>, работающих на СНГ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18</w:t>
      </w:r>
      <w:r w:rsidRPr="00792982">
        <w:tab/>
        <w:t>Положения, касающиеся опознавательного знака соединительного патрубка подачи резервного топлива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19</w:t>
      </w:r>
      <w:r w:rsidRPr="00792982">
        <w:tab/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792982" w:rsidRPr="00792982" w:rsidRDefault="00792982" w:rsidP="005D0CF0">
      <w:pPr>
        <w:pStyle w:val="SingleTxtGR"/>
        <w:ind w:left="1701" w:hanging="567"/>
      </w:pPr>
      <w:r w:rsidRPr="00792982">
        <w:t>20</w:t>
      </w:r>
      <w:r w:rsidRPr="00792982">
        <w:tab/>
        <w:t>Положения о сообщающихся системах СНГ»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  <w:i/>
        </w:rPr>
        <w:t xml:space="preserve">Пункт 2.2 </w:t>
      </w:r>
      <w:r w:rsidRPr="00792982">
        <w:rPr>
          <w:bCs/>
          <w:iCs/>
        </w:rPr>
        <w:t>изменить следующим образом</w:t>
      </w:r>
      <w:r w:rsidRPr="00792982">
        <w:rPr>
          <w:bCs/>
        </w:rPr>
        <w:t>: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>«2.2</w:t>
      </w:r>
      <w:r w:rsidRPr="00792982">
        <w:rPr>
          <w:bCs/>
        </w:rPr>
        <w:tab/>
      </w:r>
      <w:r w:rsidRPr="00792982">
        <w:rPr>
          <w:bCs/>
        </w:rPr>
        <w:tab/>
        <w:t>"</w:t>
      </w:r>
      <w:r w:rsidRPr="00792982">
        <w:rPr>
          <w:bCs/>
          <w:i/>
        </w:rPr>
        <w:t>Специальное оборудование</w:t>
      </w:r>
      <w:r w:rsidRPr="00792982">
        <w:rPr>
          <w:bCs/>
        </w:rPr>
        <w:t>" означает: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a)</w:t>
      </w:r>
      <w:r w:rsidRPr="00792982">
        <w:rPr>
          <w:bCs/>
        </w:rPr>
        <w:tab/>
        <w:t>баллон;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b)</w:t>
      </w:r>
      <w:r w:rsidRPr="00792982">
        <w:rPr>
          <w:bCs/>
        </w:rPr>
        <w:tab/>
        <w:t>вспомогательное оборудование баллона;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c)</w:t>
      </w:r>
      <w:r w:rsidRPr="00792982">
        <w:rPr>
          <w:bCs/>
        </w:rPr>
        <w:tab/>
        <w:t>испаритель/регулятор давления;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d)</w:t>
      </w:r>
      <w:r w:rsidRPr="00792982">
        <w:rPr>
          <w:bCs/>
        </w:rPr>
        <w:tab/>
        <w:t>запорный клапан;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e)</w:t>
      </w:r>
      <w:r w:rsidRPr="00792982">
        <w:rPr>
          <w:bCs/>
        </w:rPr>
        <w:tab/>
        <w:t>газонагнетатель, инжектор или газосмеситель;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f)</w:t>
      </w:r>
      <w:r w:rsidRPr="00792982">
        <w:rPr>
          <w:bCs/>
        </w:rPr>
        <w:tab/>
        <w:t>газовый дозатор с газонагнетателем или без него;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g)</w:t>
      </w:r>
      <w:r w:rsidRPr="00792982">
        <w:rPr>
          <w:bCs/>
        </w:rPr>
        <w:tab/>
        <w:t>гибкие шланги;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h)</w:t>
      </w:r>
      <w:r w:rsidRPr="00792982">
        <w:rPr>
          <w:bCs/>
        </w:rPr>
        <w:tab/>
        <w:t>заправочный блок;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i)</w:t>
      </w:r>
      <w:r w:rsidRPr="00792982">
        <w:rPr>
          <w:bCs/>
        </w:rPr>
        <w:tab/>
        <w:t>обратный клапан;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j)</w:t>
      </w:r>
      <w:r w:rsidRPr="00792982">
        <w:rPr>
          <w:bCs/>
        </w:rPr>
        <w:tab/>
        <w:t>предохранительный клапан газопровода;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k)</w:t>
      </w:r>
      <w:r w:rsidRPr="00792982">
        <w:rPr>
          <w:bCs/>
        </w:rPr>
        <w:tab/>
        <w:t>фильтр;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l)</w:t>
      </w:r>
      <w:r w:rsidRPr="00792982">
        <w:rPr>
          <w:bCs/>
        </w:rPr>
        <w:tab/>
        <w:t>датчик давления или температуры;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m)</w:t>
      </w:r>
      <w:r w:rsidRPr="00792982">
        <w:rPr>
          <w:bCs/>
        </w:rPr>
        <w:tab/>
        <w:t>топливный насос;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n)</w:t>
      </w:r>
      <w:r w:rsidRPr="00792982">
        <w:rPr>
          <w:bCs/>
        </w:rPr>
        <w:tab/>
        <w:t>соединительный патрубок подачи резервного топлива;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o)</w:t>
      </w:r>
      <w:r w:rsidRPr="00792982">
        <w:rPr>
          <w:bCs/>
        </w:rPr>
        <w:tab/>
        <w:t>электронный блок управления;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p)</w:t>
      </w:r>
      <w:r w:rsidRPr="00792982">
        <w:rPr>
          <w:bCs/>
        </w:rPr>
        <w:tab/>
        <w:t>топливопровод;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q)</w:t>
      </w:r>
      <w:r w:rsidRPr="00792982">
        <w:rPr>
          <w:bCs/>
        </w:rPr>
        <w:tab/>
        <w:t>ограничитель давления;</w:t>
      </w:r>
    </w:p>
    <w:p w:rsidR="00792982" w:rsidRPr="00792982" w:rsidRDefault="00792982" w:rsidP="00792982">
      <w:pPr>
        <w:pStyle w:val="SingleTxtGR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>r)</w:t>
      </w:r>
      <w:r w:rsidRPr="00792982">
        <w:rPr>
          <w:bCs/>
        </w:rPr>
        <w:tab/>
        <w:t>комбинацию элементов;</w:t>
      </w:r>
    </w:p>
    <w:p w:rsidR="00792982" w:rsidRPr="00792982" w:rsidRDefault="00792982" w:rsidP="005D0CF0">
      <w:pPr>
        <w:pStyle w:val="SingleTxtGR"/>
        <w:ind w:left="2268" w:hanging="1134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 xml:space="preserve">s) </w:t>
      </w:r>
      <w:r w:rsidRPr="00792982">
        <w:rPr>
          <w:bCs/>
        </w:rPr>
        <w:tab/>
        <w:t xml:space="preserve">газопроводы шовного и бесшовного типа и их соединительные </w:t>
      </w:r>
      <w:r w:rsidRPr="00792982">
        <w:rPr>
          <w:bCs/>
        </w:rPr>
        <w:tab/>
        <w:t>муфты;</w:t>
      </w:r>
    </w:p>
    <w:p w:rsidR="00792982" w:rsidRPr="00792982" w:rsidRDefault="00792982" w:rsidP="005D0CF0">
      <w:pPr>
        <w:pStyle w:val="SingleTxtGR"/>
        <w:ind w:left="2268" w:hanging="1134"/>
        <w:rPr>
          <w:bCs/>
        </w:rPr>
      </w:pPr>
      <w:r w:rsidRPr="00792982">
        <w:rPr>
          <w:bCs/>
        </w:rPr>
        <w:tab/>
      </w:r>
      <w:r w:rsidRPr="00792982">
        <w:rPr>
          <w:bCs/>
        </w:rPr>
        <w:tab/>
        <w:t xml:space="preserve">t) </w:t>
      </w:r>
      <w:r w:rsidRPr="00792982">
        <w:rPr>
          <w:bCs/>
        </w:rPr>
        <w:tab/>
        <w:t xml:space="preserve">газопроводы, изготовленные из материалов, не являющихся </w:t>
      </w:r>
      <w:r w:rsidRPr="00792982">
        <w:rPr>
          <w:bCs/>
        </w:rPr>
        <w:tab/>
        <w:t xml:space="preserve">медью, нержавеющей сталью и сталью с антикоррозийным </w:t>
      </w:r>
      <w:r w:rsidRPr="00792982">
        <w:rPr>
          <w:bCs/>
        </w:rPr>
        <w:tab/>
        <w:t>покрытием, и их соединительные муфты».</w:t>
      </w:r>
    </w:p>
    <w:p w:rsidR="00792982" w:rsidRPr="00792982" w:rsidRDefault="00792982" w:rsidP="00444D62">
      <w:pPr>
        <w:pStyle w:val="SingleTxtGR"/>
        <w:keepNext/>
        <w:keepLines/>
        <w:spacing w:line="220" w:lineRule="atLeast"/>
      </w:pPr>
      <w:r w:rsidRPr="00792982">
        <w:rPr>
          <w:i/>
        </w:rPr>
        <w:lastRenderedPageBreak/>
        <w:t xml:space="preserve">Включить новые пункты 2.21–2.24 </w:t>
      </w:r>
      <w:r w:rsidRPr="00792982">
        <w:rPr>
          <w:iCs/>
        </w:rPr>
        <w:t>следующего содержания</w:t>
      </w:r>
      <w:r w:rsidRPr="00792982">
        <w:t>:</w:t>
      </w:r>
    </w:p>
    <w:p w:rsidR="00792982" w:rsidRPr="00792982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 w:rsidRPr="00792982">
        <w:t>«</w:t>
      </w:r>
      <w:r w:rsidRPr="00792982">
        <w:rPr>
          <w:bCs/>
        </w:rPr>
        <w:t>2.21</w:t>
      </w:r>
      <w:r w:rsidRPr="00792982">
        <w:rPr>
          <w:bCs/>
        </w:rPr>
        <w:tab/>
        <w:t>"</w:t>
      </w:r>
      <w:r w:rsidRPr="00792982">
        <w:rPr>
          <w:bCs/>
          <w:i/>
        </w:rPr>
        <w:t>Система СНГ</w:t>
      </w:r>
      <w:r w:rsidRPr="00444D62">
        <w:rPr>
          <w:bCs/>
        </w:rPr>
        <w:t>"</w:t>
      </w:r>
      <w:r w:rsidRPr="00792982">
        <w:rPr>
          <w:bCs/>
          <w:i/>
        </w:rPr>
        <w:t xml:space="preserve"> </w:t>
      </w:r>
      <w:r w:rsidRPr="00792982">
        <w:rPr>
          <w:bCs/>
          <w:iCs/>
        </w:rPr>
        <w:t>означает комплект специального оборудования СНГ, предназначенный для установки на транспортном средстве в качестве единого функционального блока с целью обеспечения работы двигателя на СНГ</w:t>
      </w:r>
      <w:r w:rsidRPr="00792982">
        <w:rPr>
          <w:bCs/>
          <w:i/>
        </w:rPr>
        <w:t>.</w:t>
      </w:r>
    </w:p>
    <w:p w:rsidR="00792982" w:rsidRPr="00792982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 w:rsidRPr="00792982">
        <w:rPr>
          <w:bCs/>
        </w:rPr>
        <w:t>2.22</w:t>
      </w:r>
      <w:r w:rsidRPr="00792982">
        <w:rPr>
          <w:bCs/>
        </w:rPr>
        <w:tab/>
        <w:t>"</w:t>
      </w:r>
      <w:r w:rsidRPr="00792982">
        <w:rPr>
          <w:bCs/>
          <w:i/>
        </w:rPr>
        <w:t>Сообщающаяся система СНГ (СС)</w:t>
      </w:r>
      <w:r w:rsidRPr="00792982">
        <w:rPr>
          <w:bCs/>
        </w:rPr>
        <w:t>"</w:t>
      </w:r>
      <w:r w:rsidRPr="00792982">
        <w:rPr>
          <w:bCs/>
          <w:iCs/>
        </w:rPr>
        <w:t xml:space="preserve"> означает систему СНГ, имеющую гидравлические соединения с бензиновой или дизельной топливной системой.</w:t>
      </w:r>
    </w:p>
    <w:p w:rsidR="00792982" w:rsidRPr="00792982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 w:rsidRPr="00792982">
        <w:rPr>
          <w:bCs/>
        </w:rPr>
        <w:t>2.23</w:t>
      </w:r>
      <w:r w:rsidRPr="00792982">
        <w:rPr>
          <w:bCs/>
        </w:rPr>
        <w:tab/>
        <w:t>"</w:t>
      </w:r>
      <w:r w:rsidRPr="00792982">
        <w:rPr>
          <w:bCs/>
          <w:i/>
        </w:rPr>
        <w:t>Многофункциональный элемент оборудования</w:t>
      </w:r>
      <w:r w:rsidRPr="00792982">
        <w:rPr>
          <w:bCs/>
        </w:rPr>
        <w:t>"</w:t>
      </w:r>
      <w:r w:rsidRPr="00792982">
        <w:rPr>
          <w:bCs/>
          <w:i/>
        </w:rPr>
        <w:t xml:space="preserve"> </w:t>
      </w:r>
      <w:r w:rsidRPr="00792982">
        <w:rPr>
          <w:bCs/>
          <w:iCs/>
        </w:rPr>
        <w:t>означает любой из упомянутых выше элементов специального оборудования, которые выполнены в одном узле или установлены вместе в качестве элемента оборудования</w:t>
      </w:r>
      <w:r w:rsidRPr="00792982">
        <w:rPr>
          <w:bCs/>
        </w:rPr>
        <w:t>.</w:t>
      </w:r>
    </w:p>
    <w:p w:rsidR="00792982" w:rsidRPr="00792982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  <w:rPr>
          <w:iCs/>
        </w:rPr>
      </w:pPr>
      <w:r w:rsidRPr="00792982">
        <w:t>2.24</w:t>
      </w:r>
      <w:r w:rsidRPr="00792982">
        <w:tab/>
      </w:r>
      <w:r w:rsidRPr="00792982">
        <w:rPr>
          <w:iCs/>
        </w:rPr>
        <w:t>"</w:t>
      </w:r>
      <w:r w:rsidRPr="00792982">
        <w:rPr>
          <w:i/>
          <w:iCs/>
        </w:rPr>
        <w:t>Газопровод</w:t>
      </w:r>
      <w:r w:rsidRPr="00792982">
        <w:rPr>
          <w:iCs/>
        </w:rPr>
        <w:t xml:space="preserve">" означает трубопровод, изготовленный из металлического материала, который </w:t>
      </w:r>
      <w:r w:rsidRPr="00792982">
        <w:t>спроектирован таким образом, что он не сгибается при нормальной эксплуатации, и по которому подается СНГ</w:t>
      </w:r>
      <w:r w:rsidRPr="00792982">
        <w:rPr>
          <w:iCs/>
        </w:rPr>
        <w:t>».</w:t>
      </w:r>
    </w:p>
    <w:p w:rsidR="00792982" w:rsidRPr="00792982" w:rsidRDefault="00792982" w:rsidP="00444D62">
      <w:pPr>
        <w:pStyle w:val="SingleTxtGR"/>
        <w:spacing w:line="220" w:lineRule="atLeast"/>
      </w:pPr>
      <w:r w:rsidRPr="00792982">
        <w:rPr>
          <w:i/>
        </w:rPr>
        <w:t>Пункт 4.2</w:t>
      </w:r>
      <w:r w:rsidRPr="00792982">
        <w:t xml:space="preserve"> изменить следующим образом:</w:t>
      </w:r>
    </w:p>
    <w:p w:rsidR="00792982" w:rsidRPr="00792982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792982">
        <w:t>«4.2</w:t>
      </w:r>
      <w:r w:rsidRPr="00792982">
        <w:tab/>
        <w:t>На всех видах оборудования предусматривают …… на чертежах, упоминаемых в пункте 3.2.2 выше. Если имеется лишь ограниченное место для знака (ов) официального утверждения, то предусматриваются другие средства идентификации, отсылающие к знаку официального утверждения».</w:t>
      </w:r>
    </w:p>
    <w:p w:rsidR="00792982" w:rsidRPr="00792982" w:rsidRDefault="00792982" w:rsidP="00444D62">
      <w:pPr>
        <w:pStyle w:val="SingleTxtGR"/>
        <w:spacing w:line="220" w:lineRule="atLeast"/>
      </w:pPr>
      <w:r w:rsidRPr="00792982">
        <w:rPr>
          <w:i/>
        </w:rPr>
        <w:t xml:space="preserve">Пункты 6.4–6.14 (прежние), </w:t>
      </w:r>
      <w:r w:rsidRPr="00792982">
        <w:t>изменить следующим образом (включив новые пункты 6.15 и 6.16):</w:t>
      </w:r>
    </w:p>
    <w:p w:rsidR="00792982" w:rsidRPr="00792982" w:rsidRDefault="00792982" w:rsidP="00444D62">
      <w:pPr>
        <w:pStyle w:val="SingleTxtGR"/>
        <w:spacing w:line="220" w:lineRule="atLeast"/>
      </w:pPr>
      <w:r w:rsidRPr="00792982">
        <w:t>«6.4–6.</w:t>
      </w:r>
      <w:r w:rsidRPr="00792982">
        <w:rPr>
          <w:bCs/>
        </w:rPr>
        <w:t>16</w:t>
      </w:r>
      <w:r w:rsidRPr="00792982">
        <w:tab/>
        <w:t>Положения, касающиеся других элементов оборудования</w:t>
      </w:r>
    </w:p>
    <w:p w:rsidR="00A80B87" w:rsidRDefault="00792982" w:rsidP="00444D62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792982">
        <w:tab/>
        <w:t>Другие элементы оборудования, перечисленные в таблице 1 … указанных в таблице.</w:t>
      </w:r>
    </w:p>
    <w:p w:rsidR="00792982" w:rsidRPr="00BD0D35" w:rsidRDefault="00792982" w:rsidP="00792982">
      <w:pPr>
        <w:spacing w:after="120" w:line="240" w:lineRule="auto"/>
        <w:ind w:left="1134"/>
        <w:outlineLvl w:val="0"/>
        <w:rPr>
          <w:lang w:val="en-GB"/>
        </w:rPr>
      </w:pPr>
      <w:r w:rsidRPr="00BD0D35">
        <w:t>Таблица 1</w:t>
      </w:r>
    </w:p>
    <w:tbl>
      <w:tblPr>
        <w:tblW w:w="7373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4580"/>
        <w:gridCol w:w="1564"/>
      </w:tblGrid>
      <w:tr w:rsidR="00792982" w:rsidRPr="00BD0D35" w:rsidTr="00FE43F0">
        <w:trPr>
          <w:cantSplit/>
          <w:tblHeader/>
        </w:trPr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BD0D35" w:rsidRDefault="00792982" w:rsidP="00792982">
            <w:pPr>
              <w:spacing w:before="80" w:after="80" w:line="200" w:lineRule="exact"/>
              <w:rPr>
                <w:i/>
                <w:sz w:val="16"/>
              </w:rPr>
            </w:pPr>
            <w:r w:rsidRPr="00BD0D35">
              <w:rPr>
                <w:i/>
                <w:sz w:val="16"/>
              </w:rPr>
              <w:t>Пункт</w:t>
            </w:r>
          </w:p>
        </w:tc>
        <w:tc>
          <w:tcPr>
            <w:tcW w:w="4580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BD0D35" w:rsidRDefault="00792982" w:rsidP="00792982">
            <w:pPr>
              <w:spacing w:before="80" w:after="80" w:line="200" w:lineRule="exact"/>
              <w:rPr>
                <w:i/>
                <w:sz w:val="16"/>
              </w:rPr>
            </w:pPr>
            <w:r w:rsidRPr="00BD0D35">
              <w:rPr>
                <w:i/>
                <w:sz w:val="16"/>
              </w:rPr>
              <w:t>Элемент оборудования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BD0D35" w:rsidRDefault="00792982" w:rsidP="00792982">
            <w:pPr>
              <w:spacing w:before="80" w:after="80" w:line="200" w:lineRule="exact"/>
              <w:rPr>
                <w:i/>
                <w:sz w:val="16"/>
              </w:rPr>
            </w:pPr>
            <w:r w:rsidRPr="00BD0D35">
              <w:rPr>
                <w:i/>
                <w:sz w:val="16"/>
              </w:rPr>
              <w:t>Приложение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6.4</w:t>
            </w:r>
          </w:p>
        </w:tc>
        <w:tc>
          <w:tcPr>
            <w:tcW w:w="45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Топливный насос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4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6.5</w:t>
            </w:r>
          </w:p>
        </w:tc>
        <w:tc>
          <w:tcPr>
            <w:tcW w:w="4580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Испаритель</w:t>
            </w:r>
            <w:r w:rsidRPr="00444D62">
              <w:rPr>
                <w:sz w:val="18"/>
                <w:szCs w:val="18"/>
                <w:vertAlign w:val="superscript"/>
              </w:rPr>
              <w:t>1</w:t>
            </w:r>
          </w:p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Регулятор давления</w:t>
            </w:r>
            <w:r w:rsidRPr="00444D6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6.9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Газонагнетатели/газосмеситель</w:t>
            </w:r>
            <w:r w:rsidRPr="00444D62">
              <w:rPr>
                <w:sz w:val="18"/>
                <w:szCs w:val="18"/>
                <w:vertAlign w:val="superscript"/>
              </w:rPr>
              <w:t>3</w:t>
            </w:r>
          </w:p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или</w:t>
            </w:r>
          </w:p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инжекторы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11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6.10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Газовые дозаторы</w:t>
            </w:r>
            <w:r w:rsidRPr="00444D6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12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exact"/>
              <w:ind w:left="113" w:right="113"/>
              <w:rPr>
                <w:szCs w:val="20"/>
              </w:rPr>
            </w:pPr>
            <w:r w:rsidRPr="00444D62">
              <w:rPr>
                <w:szCs w:val="20"/>
              </w:rPr>
              <w:t>…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6.14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Ограничитель давления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szCs w:val="20"/>
              </w:rPr>
            </w:pPr>
            <w:r w:rsidRPr="00444D62">
              <w:rPr>
                <w:szCs w:val="20"/>
              </w:rPr>
              <w:t>3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/>
              <w:rPr>
                <w:bCs/>
                <w:szCs w:val="20"/>
              </w:rPr>
            </w:pPr>
            <w:r w:rsidRPr="00444D62">
              <w:rPr>
                <w:bCs/>
                <w:szCs w:val="20"/>
              </w:rPr>
              <w:t>6.15</w:t>
            </w:r>
          </w:p>
        </w:tc>
        <w:tc>
          <w:tcPr>
            <w:tcW w:w="4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/>
              <w:rPr>
                <w:bCs/>
                <w:szCs w:val="20"/>
              </w:rPr>
            </w:pPr>
            <w:r w:rsidRPr="00444D62">
              <w:rPr>
                <w:bCs/>
                <w:szCs w:val="20"/>
              </w:rPr>
              <w:t>Газопровод(ы) шовного типа, газопровод(ы), изготовленный(ые) из материалов, не являющихся медью, нержавеющей сталью и сталью с антикоррозийным покрытием, и их соединительные муфты</w:t>
            </w:r>
          </w:p>
        </w:tc>
        <w:tc>
          <w:tcPr>
            <w:tcW w:w="15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/>
              <w:rPr>
                <w:bCs/>
                <w:szCs w:val="20"/>
              </w:rPr>
            </w:pPr>
            <w:r w:rsidRPr="00444D62">
              <w:rPr>
                <w:bCs/>
                <w:szCs w:val="20"/>
              </w:rPr>
              <w:t>15</w:t>
            </w:r>
          </w:p>
        </w:tc>
      </w:tr>
      <w:tr w:rsidR="00792982" w:rsidRPr="00444D62" w:rsidTr="00FE43F0">
        <w:trPr>
          <w:cantSplit/>
        </w:trPr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bCs/>
                <w:szCs w:val="20"/>
              </w:rPr>
            </w:pPr>
            <w:r w:rsidRPr="00444D62">
              <w:rPr>
                <w:bCs/>
                <w:szCs w:val="20"/>
              </w:rPr>
              <w:lastRenderedPageBreak/>
              <w:t>6.16</w:t>
            </w:r>
          </w:p>
        </w:tc>
        <w:tc>
          <w:tcPr>
            <w:tcW w:w="4580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bCs/>
                <w:iCs/>
                <w:szCs w:val="20"/>
              </w:rPr>
            </w:pPr>
            <w:r w:rsidRPr="00444D62">
              <w:rPr>
                <w:bCs/>
                <w:iCs/>
                <w:szCs w:val="20"/>
                <w:lang w:eastAsia="ar-SA"/>
              </w:rPr>
              <w:t>Многофункциональный элемент оборудования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2982" w:rsidRPr="00444D62" w:rsidRDefault="00792982" w:rsidP="00E31FDF">
            <w:pPr>
              <w:spacing w:before="40" w:after="120" w:line="220" w:lineRule="atLeast"/>
              <w:rPr>
                <w:bCs/>
                <w:szCs w:val="20"/>
              </w:rPr>
            </w:pPr>
            <w:r w:rsidRPr="00444D62">
              <w:rPr>
                <w:bCs/>
                <w:szCs w:val="20"/>
              </w:rPr>
              <w:t>Приложения, применимые к отдельным элементам оборудования</w:t>
            </w:r>
          </w:p>
        </w:tc>
      </w:tr>
    </w:tbl>
    <w:p w:rsidR="00444D62" w:rsidRPr="00E31FDF" w:rsidRDefault="00444D62" w:rsidP="00E31FDF">
      <w:pPr>
        <w:pStyle w:val="SingleTxtGR"/>
        <w:spacing w:before="40" w:after="0" w:line="220" w:lineRule="exact"/>
        <w:ind w:firstLine="170"/>
        <w:jc w:val="left"/>
        <w:rPr>
          <w:sz w:val="18"/>
          <w:szCs w:val="18"/>
        </w:rPr>
      </w:pPr>
      <w:r w:rsidRPr="00E31FDF">
        <w:rPr>
          <w:sz w:val="18"/>
          <w:szCs w:val="18"/>
          <w:vertAlign w:val="superscript"/>
        </w:rPr>
        <w:t>1</w:t>
      </w:r>
      <w:r w:rsidRPr="00E31FDF">
        <w:rPr>
          <w:sz w:val="18"/>
          <w:szCs w:val="18"/>
        </w:rPr>
        <w:t xml:space="preserve">  Либо совмещены в одном узле, либо имеют раздельную конструкцию.</w:t>
      </w:r>
    </w:p>
    <w:p w:rsidR="00444D62" w:rsidRPr="00E31FDF" w:rsidRDefault="00444D62" w:rsidP="00E31FDF">
      <w:pPr>
        <w:pStyle w:val="SingleTxtGR"/>
        <w:spacing w:after="0" w:line="220" w:lineRule="exact"/>
        <w:ind w:firstLine="170"/>
        <w:jc w:val="left"/>
        <w:rPr>
          <w:sz w:val="18"/>
          <w:szCs w:val="18"/>
        </w:rPr>
      </w:pPr>
      <w:r w:rsidRPr="00E31FDF">
        <w:rPr>
          <w:sz w:val="18"/>
          <w:szCs w:val="18"/>
          <w:vertAlign w:val="superscript"/>
        </w:rPr>
        <w:t>2</w:t>
      </w:r>
      <w:r w:rsidRPr="00E31FDF">
        <w:rPr>
          <w:sz w:val="18"/>
          <w:szCs w:val="18"/>
        </w:rPr>
        <w:t xml:space="preserve">  Применимо только в том случае, если пускатель газового дозатора не встроен в газонагнетатель.</w:t>
      </w:r>
    </w:p>
    <w:p w:rsidR="00444D62" w:rsidRDefault="00444D62" w:rsidP="00E31FDF">
      <w:pPr>
        <w:pStyle w:val="SingleTxtGR"/>
        <w:spacing w:line="220" w:lineRule="exact"/>
        <w:ind w:firstLine="170"/>
        <w:jc w:val="left"/>
        <w:rPr>
          <w:i/>
        </w:rPr>
      </w:pPr>
      <w:r w:rsidRPr="00E31FDF">
        <w:rPr>
          <w:sz w:val="18"/>
          <w:szCs w:val="18"/>
          <w:vertAlign w:val="superscript"/>
        </w:rPr>
        <w:t>3</w:t>
      </w:r>
      <w:r w:rsidRPr="00E31FDF">
        <w:rPr>
          <w:sz w:val="18"/>
          <w:szCs w:val="18"/>
        </w:rPr>
        <w:t xml:space="preserve">  Применимо только в том случае, когда рабочее давление газосмесителя превышает 20 кПа (класс 2)».</w:t>
      </w:r>
    </w:p>
    <w:p w:rsidR="00792982" w:rsidRPr="00BD0D35" w:rsidRDefault="00792982" w:rsidP="004541F0">
      <w:pPr>
        <w:pStyle w:val="SingleTxtGR"/>
        <w:spacing w:before="120"/>
      </w:pPr>
      <w:r w:rsidRPr="00BD0D35">
        <w:rPr>
          <w:i/>
        </w:rPr>
        <w:t xml:space="preserve">Пункты 6.15–6.15.3.2 (прежние), </w:t>
      </w:r>
      <w:r w:rsidRPr="00BD0D35">
        <w:t>изменить нумерацию на 6.17–6.17.3.2.</w:t>
      </w:r>
    </w:p>
    <w:p w:rsidR="00792982" w:rsidRPr="00571C87" w:rsidRDefault="00792982" w:rsidP="00792982">
      <w:pPr>
        <w:pStyle w:val="SingleTxtGR"/>
      </w:pPr>
      <w:r w:rsidRPr="00BD0D35">
        <w:rPr>
          <w:i/>
        </w:rPr>
        <w:t xml:space="preserve">Включить новый пункт 6.17.3.3 </w:t>
      </w:r>
      <w:r w:rsidRPr="00571C87">
        <w:t>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t>«</w:t>
      </w:r>
      <w:r w:rsidRPr="00BD0D35">
        <w:rPr>
          <w:bCs/>
        </w:rPr>
        <w:t>6.1</w:t>
      </w:r>
      <w:r w:rsidRPr="00C050ED">
        <w:rPr>
          <w:bCs/>
        </w:rPr>
        <w:t>7</w:t>
      </w:r>
      <w:r w:rsidRPr="00BD0D35">
        <w:rPr>
          <w:bCs/>
        </w:rPr>
        <w:t>.3.3</w:t>
      </w:r>
      <w:r w:rsidRPr="00BD0D35">
        <w:rPr>
          <w:bCs/>
        </w:rPr>
        <w:tab/>
        <w:t>Без ущерба для пункта 1.7 приложения 7 к настоящим Правилам (контролируемые остановки) дистанционно регулируемый запорный клапан (если он предназначен для установки в качестве элемента оборудования сообщающейся системы СНГ для целей пункта 17.13.2.2) в ходе официального утверждения подвергается испытанию на износоустойчивость в соответствии с пунктом 9 приложения 16 в течение числа циклов, равного 20 000.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ab/>
        <w:t>На клапан наносят маркировку, содержащую следующие разборчивые и нестираемые данные: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ab/>
        <w:t>a)</w:t>
      </w:r>
      <w:r w:rsidRPr="00BD0D35">
        <w:rPr>
          <w:bCs/>
        </w:rPr>
        <w:tab/>
        <w:t>буквы "ICS" и</w:t>
      </w:r>
    </w:p>
    <w:p w:rsidR="00792982" w:rsidRPr="00BD0D35" w:rsidRDefault="00792982" w:rsidP="004541F0">
      <w:pPr>
        <w:pStyle w:val="SingleTxtGR"/>
        <w:tabs>
          <w:tab w:val="clear" w:pos="1701"/>
        </w:tabs>
        <w:ind w:left="2835" w:hanging="1701"/>
        <w:rPr>
          <w:bCs/>
        </w:rPr>
      </w:pPr>
      <w:r w:rsidRPr="00BD0D35">
        <w:rPr>
          <w:bCs/>
        </w:rPr>
        <w:tab/>
        <w:t>b)</w:t>
      </w:r>
      <w:r w:rsidRPr="00BD0D35">
        <w:rPr>
          <w:bCs/>
        </w:rPr>
        <w:tab/>
        <w:t>знак официального утверждения, предусмотренный в пункте 5.4 настоящих Правил».</w:t>
      </w:r>
    </w:p>
    <w:p w:rsidR="00792982" w:rsidRPr="00BD0D35" w:rsidRDefault="00792982" w:rsidP="00792982">
      <w:pPr>
        <w:pStyle w:val="SingleTxtGR"/>
        <w:rPr>
          <w:i/>
        </w:rPr>
      </w:pPr>
      <w:r w:rsidRPr="00BD0D35">
        <w:rPr>
          <w:i/>
        </w:rPr>
        <w:t xml:space="preserve">Пункты 6.15.4–6.15.13.2.4 (прежние), </w:t>
      </w:r>
      <w:r w:rsidRPr="00BD0D35">
        <w:t>изменить нумерацию на 6.17.4–6.17.13.2.4.</w:t>
      </w:r>
    </w:p>
    <w:p w:rsidR="00792982" w:rsidRPr="00571C87" w:rsidRDefault="00792982" w:rsidP="00792982">
      <w:pPr>
        <w:pStyle w:val="SingleTxtGR"/>
      </w:pPr>
      <w:r w:rsidRPr="00BD0D35">
        <w:rPr>
          <w:i/>
        </w:rPr>
        <w:t xml:space="preserve">Включить новые пункты 6.17.14 и 6.17.14.1 </w:t>
      </w:r>
      <w:r w:rsidRPr="00571C87">
        <w:t>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«6.17.14</w:t>
      </w:r>
      <w:r w:rsidRPr="00BD0D35">
        <w:tab/>
        <w:t>Положения, касающиеся обратного клапана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6.17.14.1</w:t>
      </w:r>
      <w:r w:rsidRPr="00BD0D35">
        <w:tab/>
        <w:t>Если обратный клапан предназначен для установки в качестве элемента оборудования сообщающейся системы СНГ для целей пункта 17.13.1.1, 17.13.1.2 или 17.13.2.1, то этот клапан в ходе официального утверждения подвергается испытанию на износоустойчивость в соответствии с пунктом 9.7 приложения 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На клапан наносят маркировку, содержащую следующие разборчивые и нестираемые данные: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a)</w:t>
      </w:r>
      <w:r w:rsidRPr="00BD0D35">
        <w:tab/>
        <w:t>буквы "ICS" и</w:t>
      </w:r>
    </w:p>
    <w:p w:rsidR="00792982" w:rsidRPr="00BD0D35" w:rsidRDefault="00792982" w:rsidP="004541F0">
      <w:pPr>
        <w:spacing w:before="120" w:after="120" w:line="240" w:lineRule="auto"/>
        <w:ind w:left="1701" w:right="1134" w:hanging="567"/>
        <w:jc w:val="both"/>
      </w:pPr>
      <w:r w:rsidRPr="00BD0D35">
        <w:tab/>
      </w:r>
      <w:r>
        <w:tab/>
      </w:r>
      <w:r>
        <w:tab/>
      </w:r>
      <w:r w:rsidRPr="00BD0D35">
        <w:t>b)</w:t>
      </w:r>
      <w:r w:rsidRPr="00BD0D35">
        <w:tab/>
        <w:t xml:space="preserve">знак официального утверждения, предусмотренный в пункте 5.4 </w:t>
      </w:r>
      <w:r w:rsidRPr="00BD0D35">
        <w:rPr>
          <w:b/>
          <w:bCs/>
        </w:rPr>
        <w:tab/>
      </w:r>
      <w:r w:rsidRPr="00BD0D35">
        <w:rPr>
          <w:b/>
          <w:bCs/>
        </w:rPr>
        <w:tab/>
      </w:r>
      <w:r w:rsidRPr="00BD0D35">
        <w:rPr>
          <w:b/>
          <w:bCs/>
        </w:rPr>
        <w:tab/>
      </w:r>
      <w:r>
        <w:rPr>
          <w:b/>
          <w:bCs/>
        </w:rPr>
        <w:tab/>
      </w:r>
      <w:r w:rsidRPr="00BD0D35">
        <w:t>настоящих Правил».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rPr>
          <w:i/>
        </w:rPr>
        <w:t xml:space="preserve">Включить новый пункт 6.18 </w:t>
      </w:r>
      <w:r w:rsidRPr="00BD0D35">
        <w:rPr>
          <w:iCs/>
        </w:rPr>
        <w:t>следующего содержания</w:t>
      </w:r>
      <w:r w:rsidRPr="00BD0D35">
        <w:t>: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>
        <w:t>«</w:t>
      </w:r>
      <w:r w:rsidRPr="00BD0D35">
        <w:rPr>
          <w:bCs/>
        </w:rPr>
        <w:t>6.18</w:t>
      </w:r>
      <w:r w:rsidRPr="00BD0D35">
        <w:rPr>
          <w:bCs/>
        </w:rPr>
        <w:tab/>
      </w:r>
      <w:r w:rsidRPr="00BD0D35">
        <w:t>Предназначенные для установки в качестве элементов оборудования или частей сообщающейся системы СНГ неметаллические, металлические либо смешанные (металлические/неметаллические) элементы о</w:t>
      </w:r>
      <w:r>
        <w:t>бо</w:t>
      </w:r>
      <w:r w:rsidRPr="00BD0D35">
        <w:t>рудования СНГ, включая гибкие шланги и их элементы, а также неметаллические, металлические либо смешанные (металлические/</w:t>
      </w:r>
      <w:r w:rsidR="004541F0" w:rsidRPr="004541F0">
        <w:t xml:space="preserve"> </w:t>
      </w:r>
      <w:r w:rsidRPr="00BD0D35">
        <w:t>неметаллические) части элементов оборудования СНГ, которые могут вступать в контакт с бензиновым топливом, должны отвечать требованиям, указанным в приложении 19 к настоящим Правилам.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/>
        <w:jc w:val="both"/>
      </w:pPr>
      <w:r w:rsidRPr="00BD0D35">
        <w:t>На неметаллические, металлические либо смешанные (металлические</w:t>
      </w:r>
      <w:r>
        <w:t>/</w:t>
      </w:r>
      <w:r w:rsidR="004541F0" w:rsidRPr="004541F0">
        <w:t xml:space="preserve"> </w:t>
      </w:r>
      <w:r w:rsidRPr="00BD0D35">
        <w:t xml:space="preserve">неметаллические) элементы оборудования или элементы оборудования, </w:t>
      </w:r>
      <w:r w:rsidRPr="00BD0D35">
        <w:lastRenderedPageBreak/>
        <w:t>содержащие неметаллические части, наносят знак официального утверждения, предусмотренный в добавлении 1 к приложению А».</w:t>
      </w:r>
    </w:p>
    <w:p w:rsidR="00792982" w:rsidRPr="00BD0D35" w:rsidRDefault="00792982" w:rsidP="00792982">
      <w:pPr>
        <w:pStyle w:val="SingleTxtGR"/>
        <w:rPr>
          <w:bCs/>
        </w:rPr>
      </w:pPr>
      <w:r w:rsidRPr="00BD0D35">
        <w:rPr>
          <w:rFonts w:eastAsia="MS Mincho"/>
          <w:bCs/>
          <w:i/>
          <w:lang w:eastAsia="ja-JP"/>
        </w:rPr>
        <w:t>Пункт 9.3</w:t>
      </w:r>
      <w:r w:rsidRPr="00BD0D35">
        <w:rPr>
          <w:rFonts w:eastAsia="MS Mincho"/>
          <w:bCs/>
          <w:lang w:eastAsia="ja-JP"/>
        </w:rPr>
        <w:t xml:space="preserve">, вместо </w:t>
      </w:r>
      <w:r w:rsidRPr="00BD0D35">
        <w:t xml:space="preserve">«в приложениях 8, 10 и 15» читать «в приложениях 8, 10 и 16». 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17.1.7.5</w:t>
      </w:r>
      <w:r w:rsidRPr="00BD0D35">
        <w:t>, заменить ссылку на приложение 17 ссылкой на приложение 18.</w:t>
      </w:r>
    </w:p>
    <w:p w:rsidR="00792982" w:rsidRPr="00BD0D35" w:rsidRDefault="00792982" w:rsidP="004541F0">
      <w:pPr>
        <w:pStyle w:val="SingleTxtGR"/>
      </w:pPr>
      <w:r w:rsidRPr="00BD0D35">
        <w:rPr>
          <w:i/>
          <w:iCs/>
        </w:rPr>
        <w:t>Пункт 17.1.8.1</w:t>
      </w:r>
      <w:r w:rsidRPr="00BD0D35">
        <w:t>, заменить ссылку на приложение 16 ссылкой на приложение 17.</w:t>
      </w:r>
    </w:p>
    <w:p w:rsidR="00792982" w:rsidRPr="00BD0D35" w:rsidRDefault="00792982" w:rsidP="00444D62">
      <w:pPr>
        <w:pStyle w:val="SingleTxtGR"/>
        <w:keepNext/>
        <w:keepLines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17.7.1</w:t>
      </w:r>
      <w:r w:rsidRPr="00BD0D35">
        <w:t xml:space="preserve"> изменить следующим образом</w:t>
      </w:r>
      <w:r w:rsidRPr="00BD0D35">
        <w:rPr>
          <w:bCs/>
        </w:rPr>
        <w:t>:</w:t>
      </w:r>
    </w:p>
    <w:p w:rsidR="00792982" w:rsidRPr="00BD0D35" w:rsidRDefault="00792982" w:rsidP="004541F0">
      <w:pPr>
        <w:pStyle w:val="SingleTxtGR"/>
        <w:ind w:left="2268" w:hanging="1134"/>
      </w:pPr>
      <w:r w:rsidRPr="00BD0D35">
        <w:t>«17.7.1</w:t>
      </w:r>
      <w:r w:rsidRPr="00BD0D35">
        <w:tab/>
        <w:t xml:space="preserve">Газопроводы </w:t>
      </w:r>
      <w:r w:rsidRPr="00BD0D35">
        <w:rPr>
          <w:bCs/>
        </w:rPr>
        <w:t>бесшовного типа, изготовленные из меди или нержавеющей стали либо имеющие антикоррозионное покрытие</w:t>
      </w:r>
      <w:r w:rsidRPr="00BD0D35">
        <w:t>»</w:t>
      </w:r>
      <w:r w:rsidRPr="00BD0D35">
        <w:rPr>
          <w:bCs/>
        </w:rPr>
        <w:t>.</w:t>
      </w:r>
    </w:p>
    <w:p w:rsidR="00792982" w:rsidRPr="00BD0D35" w:rsidRDefault="00792982" w:rsidP="00792982">
      <w:pPr>
        <w:pStyle w:val="SingleTxtGR"/>
        <w:rPr>
          <w:bCs/>
          <w:i/>
        </w:rPr>
      </w:pPr>
      <w:r w:rsidRPr="00BD0D35">
        <w:rPr>
          <w:bCs/>
          <w:i/>
        </w:rPr>
        <w:t>Включить новые пункты 17.7.1.1 и 17.7.1.2</w:t>
      </w:r>
      <w:r w:rsidRPr="00BD0D35">
        <w:rPr>
          <w:bCs/>
        </w:rPr>
        <w:t xml:space="preserve"> 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t>«</w:t>
      </w:r>
      <w:r w:rsidRPr="00BD0D35">
        <w:rPr>
          <w:bCs/>
        </w:rPr>
        <w:t>17.7.1.1</w:t>
      </w:r>
      <w:r w:rsidRPr="00BD0D35">
        <w:rPr>
          <w:bCs/>
        </w:rPr>
        <w:tab/>
        <w:t>В случае использования бесшовных медных трубок газопровод должен иметь резиновую или пластмассовую защитную оплетку.</w:t>
      </w:r>
    </w:p>
    <w:p w:rsidR="00792982" w:rsidRPr="00BD0D35" w:rsidRDefault="00792982" w:rsidP="00792982">
      <w:pPr>
        <w:spacing w:after="120"/>
        <w:ind w:left="2268" w:right="1133" w:hanging="1134"/>
        <w:jc w:val="both"/>
      </w:pPr>
      <w:r w:rsidRPr="00BD0D35">
        <w:rPr>
          <w:bCs/>
        </w:rPr>
        <w:t>17.7.1.2</w:t>
      </w:r>
      <w:r w:rsidRPr="00BD0D35">
        <w:rPr>
          <w:bCs/>
        </w:rPr>
        <w:tab/>
        <w:t xml:space="preserve">Наружный диаметр патрубков газопровода класса 1, изготовленных из меди, не должен превышать 12 мм при толщине стенок не менее 0,8 мм, </w:t>
      </w:r>
      <w:r w:rsidRPr="00BD0D35">
        <w:rPr>
          <w:bCs/>
        </w:rPr>
        <w:tab/>
        <w:t>а патрубков класса 1, изготовленных из стали и нержавеющей стали, не должен превышать 25 мм при надлежащей толщине стенок с учетом требований газовых служб</w:t>
      </w:r>
      <w:r w:rsidRPr="00BD0D35">
        <w:t>»</w:t>
      </w:r>
      <w:r w:rsidRPr="00BD0D35">
        <w:rPr>
          <w:bCs/>
        </w:rPr>
        <w:t>.</w:t>
      </w:r>
    </w:p>
    <w:p w:rsidR="00792982" w:rsidRPr="00BD0D35" w:rsidRDefault="00792982" w:rsidP="00792982">
      <w:pPr>
        <w:pStyle w:val="SingleTxtGR"/>
        <w:rPr>
          <w:bCs/>
          <w:i/>
        </w:rPr>
      </w:pPr>
      <w:r w:rsidRPr="00BD0D35">
        <w:rPr>
          <w:bCs/>
          <w:i/>
        </w:rPr>
        <w:t xml:space="preserve">Пункт 17.7.2 </w:t>
      </w:r>
      <w:r w:rsidRPr="00BD0D35">
        <w:rPr>
          <w:bCs/>
          <w:iCs/>
        </w:rPr>
        <w:t>изменить следующим образом</w:t>
      </w:r>
      <w:r w:rsidRPr="00BD0D35">
        <w:rPr>
          <w:bCs/>
          <w:i/>
        </w:rPr>
        <w:t>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«17.7.2</w:t>
      </w:r>
      <w:r w:rsidRPr="00BD0D35">
        <w:rPr>
          <w:bCs/>
        </w:rPr>
        <w:tab/>
        <w:t>Газопроводы бесшовного типа, изготовленные из материалов, не указанных в пункте 17.7.1, должны удовлетворять требованиям применимых испытаний согласно положениям приложения 15».</w:t>
      </w:r>
    </w:p>
    <w:p w:rsidR="00792982" w:rsidRPr="00BD0D35" w:rsidRDefault="00792982" w:rsidP="00792982">
      <w:pPr>
        <w:pStyle w:val="SingleTxtGR"/>
        <w:keepNext/>
        <w:rPr>
          <w:bCs/>
          <w:i/>
        </w:rPr>
      </w:pPr>
      <w:r w:rsidRPr="00BD0D35">
        <w:rPr>
          <w:bCs/>
          <w:i/>
        </w:rPr>
        <w:t xml:space="preserve">Пункт 17.7.3 </w:t>
      </w:r>
      <w:r w:rsidRPr="00571C87">
        <w:rPr>
          <w:bCs/>
        </w:rPr>
        <w:t>изменить следующим образом: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«17.7.3</w:t>
      </w:r>
      <w:r w:rsidRPr="00BD0D35">
        <w:rPr>
          <w:bCs/>
        </w:rPr>
        <w:tab/>
        <w:t>Газопроводы шовного типа должны удовлетворять требованиям применимых испытаний согласно положениям приложения 15».</w:t>
      </w:r>
    </w:p>
    <w:p w:rsidR="00792982" w:rsidRPr="00571C87" w:rsidRDefault="00792982" w:rsidP="00792982">
      <w:pPr>
        <w:pStyle w:val="SingleTxtGR"/>
        <w:rPr>
          <w:bCs/>
        </w:rPr>
      </w:pPr>
      <w:r w:rsidRPr="00BD0D35">
        <w:rPr>
          <w:bCs/>
          <w:i/>
        </w:rPr>
        <w:t xml:space="preserve">Пункт 17.7.4 </w:t>
      </w:r>
      <w:r w:rsidRPr="00571C87">
        <w:rPr>
          <w:bCs/>
        </w:rPr>
        <w:t>изменить следующим образом:</w:t>
      </w:r>
    </w:p>
    <w:p w:rsidR="00792982" w:rsidRPr="00BD0D35" w:rsidRDefault="00792982" w:rsidP="00792982">
      <w:pPr>
        <w:pStyle w:val="Para"/>
        <w:suppressAutoHyphens/>
        <w:ind w:right="849"/>
        <w:rPr>
          <w:lang w:val="ru-RU"/>
        </w:rPr>
      </w:pPr>
      <w:r w:rsidRPr="00BD0D35">
        <w:rPr>
          <w:bCs/>
          <w:lang w:val="ru-RU"/>
        </w:rPr>
        <w:t>«17.7.4</w:t>
      </w:r>
      <w:r w:rsidRPr="00BD0D35">
        <w:rPr>
          <w:bCs/>
          <w:lang w:val="ru-RU"/>
        </w:rPr>
        <w:tab/>
        <w:t>Газопроводы, изготовленные из неметаллических материалов, должны удовлетворять требованиям пункта 6.7 настоящих Правил».</w:t>
      </w:r>
    </w:p>
    <w:p w:rsidR="00792982" w:rsidRPr="00BD0D35" w:rsidRDefault="00792982" w:rsidP="00792982">
      <w:pPr>
        <w:keepNext/>
        <w:keepLines/>
        <w:spacing w:before="120" w:after="120" w:line="240" w:lineRule="auto"/>
        <w:ind w:left="1134" w:right="1134"/>
        <w:jc w:val="both"/>
        <w:rPr>
          <w:bCs/>
        </w:rPr>
      </w:pPr>
      <w:r w:rsidRPr="00BD0D35">
        <w:rPr>
          <w:i/>
        </w:rPr>
        <w:t xml:space="preserve">Включить новые пункты 17.13–17.13.2.5 </w:t>
      </w:r>
      <w:r w:rsidRPr="00BD0D35">
        <w:rPr>
          <w:iCs/>
        </w:rPr>
        <w:t>следующего содержания</w:t>
      </w:r>
      <w:r w:rsidRPr="00BD0D35">
        <w:t>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«17.13</w:t>
      </w:r>
      <w:r w:rsidRPr="00BD0D35">
        <w:rPr>
          <w:bCs/>
        </w:rPr>
        <w:tab/>
        <w:t>Конкретные положения, касающиеся сообщающихся систем СНГ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rPr>
          <w:bCs/>
        </w:rPr>
        <w:t>17.13.1</w:t>
      </w:r>
      <w:r w:rsidRPr="00BD0D35">
        <w:rPr>
          <w:bCs/>
        </w:rPr>
        <w:tab/>
        <w:t>Система СНГ для двухтопливного (СНГ–дизельное топливо) транспортного средства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t>17.13.1.1</w:t>
      </w:r>
      <w:r w:rsidRPr="00BD0D35">
        <w:tab/>
        <w:t>Должны быть предусмотрены средства для предотвращения любого поступления СНГ в бак с дизельным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>
        <w:rPr>
          <w:bCs/>
        </w:rPr>
        <w:t> </w:t>
      </w:r>
      <w:r w:rsidRPr="00BD0D35">
        <w:rPr>
          <w:bCs/>
        </w:rPr>
        <w:t>6.17.14.1.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t>17.13.1.2</w:t>
      </w:r>
      <w:r w:rsidRPr="00BD0D35">
        <w:tab/>
        <w:t>Должны быть предусмотрены средства для предотвращения любого поступления дизельного топлива в бак СНГ.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>
        <w:rPr>
          <w:bCs/>
        </w:rPr>
        <w:t> </w:t>
      </w:r>
      <w:r w:rsidRPr="00BD0D35">
        <w:rPr>
          <w:bCs/>
        </w:rPr>
        <w:t>6.17.14.1.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17.13.2</w:t>
      </w:r>
      <w:r w:rsidRPr="00BD0D35">
        <w:tab/>
        <w:t>Система СНГ для транспортного средства с двумя топливными системами (СНГ–бензин)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t>17.13.2.1</w:t>
      </w:r>
      <w:r w:rsidRPr="00BD0D35">
        <w:tab/>
        <w:t>Должны быть предусмотрены средства для предотвращения любого поступления СНГ в бак с бензиновым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>
        <w:rPr>
          <w:bCs/>
        </w:rPr>
        <w:t> </w:t>
      </w:r>
      <w:r w:rsidRPr="00BD0D35">
        <w:rPr>
          <w:bCs/>
        </w:rPr>
        <w:t>6.17.14.1.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17.13.2.2</w:t>
      </w:r>
      <w:r w:rsidRPr="00BD0D35">
        <w:tab/>
        <w:t>В порядке недопущения поступления бензина в баллон СНГ, что происходит при операциях переключения и может привести к переполнению бака СНГ (т.</w:t>
      </w:r>
      <w:r w:rsidR="004541F0" w:rsidRPr="004541F0">
        <w:t xml:space="preserve"> </w:t>
      </w:r>
      <w:r w:rsidRPr="00BD0D35">
        <w:t xml:space="preserve">е. заполнению более чем на 80% его емкости из расчета 80% жидкого и 20% газообразного топлива), систему СНГ </w:t>
      </w:r>
      <w:r w:rsidRPr="00BD0D35">
        <w:lastRenderedPageBreak/>
        <w:t>оснащают электронным блоком управления, также отвечающим требованиям пункта 6 приложения 14.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/>
        <w:jc w:val="both"/>
        <w:rPr>
          <w:bCs/>
        </w:rPr>
      </w:pPr>
      <w:r w:rsidRPr="00BD0D35">
        <w:t>На линии потока должны устанавливаться два дистанционно регулируемых запорных клапана, соответствующих положениям пункта</w:t>
      </w:r>
      <w:r>
        <w:rPr>
          <w:bCs/>
        </w:rPr>
        <w:t> </w:t>
      </w:r>
      <w:r w:rsidRPr="00BD0D35">
        <w:rPr>
          <w:bCs/>
        </w:rPr>
        <w:t>6.17.3.3.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17.13.2.3</w:t>
      </w:r>
      <w:r w:rsidRPr="00BD0D35">
        <w:tab/>
        <w:t>Должны быть предусмотрены средства для предотвращения поступления бензина в топливный баллон СНГ, что может обусловить содержание бензина, превышающее 16% фактического объема топлива, находящегося в баке СНГ.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Принятие этой меры подтверждают в соответствии с процедурами, изложенными в приложении 20.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tab/>
        <w:t>Настоящее требование должно выполняться также в случае сбоев посредством подачи сигнала о неисправности водителю и – в факультативном порядке – включения режима аварийной эвакуации своим ходом</w:t>
      </w:r>
      <w:r w:rsidRPr="00BD0D35">
        <w:rPr>
          <w:bCs/>
        </w:rPr>
        <w:t>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BD0D35">
        <w:t>17.13.2.4</w:t>
      </w:r>
      <w:r w:rsidRPr="00BD0D35">
        <w:tab/>
        <w:t>Неметаллические, металлические либо смешанные (металлические/неметаллические) элементы оборудования СНГ, включая гибкие шланги и их элементы, и неметаллические, металлические либо смешанные (металлические/неметаллические) части элементов оборудования СНГ, которые могут вступать в контакт с бензиновым топливом, должны соответствовать требованиям, изложенным в пункте</w:t>
      </w:r>
      <w:r w:rsidRPr="00BD0D35">
        <w:rPr>
          <w:bCs/>
        </w:rPr>
        <w:t xml:space="preserve"> 6.18.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17.13.2.5</w:t>
      </w:r>
      <w:r w:rsidRPr="00BD0D35">
        <w:tab/>
        <w:t>ЭУБ, соответствующий предписаниям пункта 17.13.2.2, устанавливается: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на транспортных средствах, в которых объем впрыскиваемого топлива составляет не более 0,4 литра; и</w:t>
      </w:r>
    </w:p>
    <w:p w:rsidR="00792982" w:rsidRPr="00BD0D35" w:rsidRDefault="00792982" w:rsidP="00792982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567"/>
        <w:jc w:val="both"/>
        <w:rPr>
          <w:bCs/>
        </w:rPr>
      </w:pPr>
      <w:r w:rsidRPr="00BD0D35">
        <w:t>b)</w:t>
      </w:r>
      <w:r w:rsidRPr="00BD0D35">
        <w:tab/>
        <w:t>на транспортных средствах, оснащенных баком СНГ емкостью свыше 20 литров».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BD0D35">
        <w:rPr>
          <w:i/>
        </w:rPr>
        <w:t>Приложение 1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Включить новые пункты 1.2.4.5.19</w:t>
      </w:r>
      <w:r>
        <w:rPr>
          <w:rFonts w:eastAsia="MS Mincho"/>
          <w:bCs/>
          <w:i/>
          <w:lang w:eastAsia="ja-JP"/>
        </w:rPr>
        <w:t>–</w:t>
      </w:r>
      <w:r w:rsidRPr="00BD0D35">
        <w:rPr>
          <w:rFonts w:eastAsia="MS Mincho"/>
          <w:bCs/>
          <w:i/>
          <w:lang w:eastAsia="ja-JP"/>
        </w:rPr>
        <w:t>1.2.4.5.19.3</w:t>
      </w:r>
      <w:r w:rsidRPr="00BD0D35">
        <w:rPr>
          <w:rFonts w:eastAsia="MS Mincho"/>
          <w:bCs/>
          <w:lang w:eastAsia="ja-JP"/>
        </w:rPr>
        <w:t xml:space="preserve"> следующего содержания:</w:t>
      </w:r>
    </w:p>
    <w:p w:rsidR="00792982" w:rsidRPr="00BD0D35" w:rsidRDefault="00792982" w:rsidP="00792982">
      <w:pPr>
        <w:pStyle w:val="SingleTxtGR"/>
      </w:pPr>
      <w:r w:rsidRPr="00BD0D35">
        <w:t>«1.2.4.5.19</w:t>
      </w:r>
      <w:r w:rsidRPr="00BD0D35">
        <w:tab/>
        <w:t>Шовные газопроводы и их соединительные муфты</w:t>
      </w:r>
    </w:p>
    <w:p w:rsidR="00792982" w:rsidRPr="00BD0D35" w:rsidRDefault="00792982" w:rsidP="00792982">
      <w:pPr>
        <w:pStyle w:val="SingleTxtGR"/>
        <w:tabs>
          <w:tab w:val="clear" w:pos="3402"/>
          <w:tab w:val="clear" w:pos="3969"/>
          <w:tab w:val="right" w:leader="dot" w:pos="8504"/>
        </w:tabs>
      </w:pPr>
      <w:r w:rsidRPr="00BD0D35">
        <w:t>1.2.4.5.19.1</w:t>
      </w:r>
      <w:r w:rsidRPr="00BD0D35">
        <w:tab/>
        <w:t xml:space="preserve">Марка(и): </w:t>
      </w:r>
      <w:r w:rsidRPr="00BD0D35">
        <w:tab/>
      </w:r>
    </w:p>
    <w:p w:rsidR="00792982" w:rsidRPr="00BD0D35" w:rsidRDefault="00792982" w:rsidP="00792982">
      <w:pPr>
        <w:pStyle w:val="SingleTxtGR"/>
        <w:tabs>
          <w:tab w:val="clear" w:pos="3402"/>
          <w:tab w:val="clear" w:pos="3969"/>
          <w:tab w:val="right" w:leader="dot" w:pos="8504"/>
        </w:tabs>
      </w:pPr>
      <w:r w:rsidRPr="00BD0D35">
        <w:t>1.2.4.5.19.2</w:t>
      </w:r>
      <w:r w:rsidRPr="00BD0D35">
        <w:tab/>
        <w:t xml:space="preserve">Тип(ы): </w:t>
      </w:r>
      <w:r w:rsidRPr="00BD0D35">
        <w:tab/>
      </w:r>
    </w:p>
    <w:p w:rsidR="00792982" w:rsidRPr="00BD0D35" w:rsidRDefault="00792982" w:rsidP="004541F0">
      <w:pPr>
        <w:pStyle w:val="Para"/>
        <w:tabs>
          <w:tab w:val="left" w:pos="1134"/>
          <w:tab w:val="left" w:pos="2268"/>
          <w:tab w:val="left" w:pos="2835"/>
          <w:tab w:val="right" w:leader="dot" w:pos="8505"/>
        </w:tabs>
        <w:suppressAutoHyphens/>
        <w:ind w:left="2552" w:hanging="1418"/>
        <w:rPr>
          <w:lang w:val="ru-RU"/>
        </w:rPr>
      </w:pPr>
      <w:r w:rsidRPr="00BD0D35">
        <w:rPr>
          <w:lang w:val="ru-RU"/>
        </w:rPr>
        <w:t>1.2.4.5.19.3</w:t>
      </w:r>
      <w:r w:rsidRPr="00BD0D35">
        <w:rPr>
          <w:lang w:val="ru-RU"/>
        </w:rPr>
        <w:tab/>
        <w:t xml:space="preserve">Описание и чертежи: </w:t>
      </w:r>
      <w:r w:rsidRPr="00BD0D35">
        <w:rPr>
          <w:lang w:val="ru-RU"/>
        </w:rPr>
        <w:tab/>
        <w:t>»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Включить новые пункты 1.2.4.5.20</w:t>
      </w:r>
      <w:r>
        <w:rPr>
          <w:rFonts w:eastAsia="MS Mincho"/>
          <w:bCs/>
          <w:i/>
          <w:lang w:eastAsia="ja-JP"/>
        </w:rPr>
        <w:t>–</w:t>
      </w:r>
      <w:r w:rsidRPr="00BD0D35">
        <w:rPr>
          <w:rFonts w:eastAsia="MS Mincho"/>
          <w:bCs/>
          <w:i/>
          <w:lang w:eastAsia="ja-JP"/>
        </w:rPr>
        <w:t xml:space="preserve">1.2.4.5.20.3 </w:t>
      </w:r>
      <w:r w:rsidRPr="00BD0D35">
        <w:rPr>
          <w:rFonts w:eastAsia="MS Mincho"/>
          <w:bCs/>
          <w:lang w:eastAsia="ja-JP"/>
        </w:rPr>
        <w:t>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«1.2.4.5.20</w:t>
      </w:r>
      <w:r w:rsidRPr="00BD0D35">
        <w:rPr>
          <w:bCs/>
        </w:rPr>
        <w:tab/>
        <w:t>Бесшовные газопроводы, изготовленные из материалов, не являющихся медью, нержавеющей сталью и сталью</w:t>
      </w:r>
      <w:r w:rsidR="00444D62">
        <w:rPr>
          <w:bCs/>
        </w:rPr>
        <w:t xml:space="preserve"> с антикоррозийным покрытием, и </w:t>
      </w:r>
      <w:r w:rsidRPr="00BD0D35">
        <w:rPr>
          <w:bCs/>
        </w:rPr>
        <w:t xml:space="preserve">их соединительные муфты </w:t>
      </w:r>
    </w:p>
    <w:p w:rsidR="00792982" w:rsidRPr="00BD0D35" w:rsidRDefault="00792982" w:rsidP="00792982">
      <w:pPr>
        <w:pStyle w:val="SingleTxtGR"/>
        <w:tabs>
          <w:tab w:val="clear" w:pos="3402"/>
          <w:tab w:val="clear" w:pos="3969"/>
          <w:tab w:val="right" w:leader="dot" w:pos="8504"/>
        </w:tabs>
        <w:rPr>
          <w:bCs/>
        </w:rPr>
      </w:pPr>
      <w:r w:rsidRPr="00BD0D35">
        <w:rPr>
          <w:bCs/>
        </w:rPr>
        <w:t>1.2.4.5.20.1</w:t>
      </w:r>
      <w:r w:rsidRPr="00BD0D35">
        <w:rPr>
          <w:bCs/>
        </w:rPr>
        <w:tab/>
        <w:t xml:space="preserve">Марка(и): </w:t>
      </w:r>
      <w:r w:rsidRPr="00BD0D35">
        <w:rPr>
          <w:bCs/>
        </w:rPr>
        <w:tab/>
      </w:r>
    </w:p>
    <w:p w:rsidR="00792982" w:rsidRPr="00BD0D35" w:rsidRDefault="00792982" w:rsidP="00792982">
      <w:pPr>
        <w:pStyle w:val="SingleTxtGR"/>
        <w:tabs>
          <w:tab w:val="clear" w:pos="3402"/>
          <w:tab w:val="clear" w:pos="3969"/>
          <w:tab w:val="right" w:leader="dot" w:pos="8504"/>
        </w:tabs>
        <w:rPr>
          <w:bCs/>
        </w:rPr>
      </w:pPr>
      <w:r w:rsidRPr="00BD0D35">
        <w:rPr>
          <w:bCs/>
        </w:rPr>
        <w:t>1.2.4.5.20.2</w:t>
      </w:r>
      <w:r w:rsidRPr="00BD0D35">
        <w:rPr>
          <w:bCs/>
        </w:rPr>
        <w:tab/>
        <w:t xml:space="preserve">Тип(ы): </w:t>
      </w:r>
      <w:r w:rsidRPr="00BD0D35">
        <w:rPr>
          <w:bCs/>
        </w:rPr>
        <w:tab/>
      </w:r>
    </w:p>
    <w:p w:rsidR="00792982" w:rsidRPr="00BD0D35" w:rsidRDefault="00792982" w:rsidP="00792982">
      <w:pPr>
        <w:pStyle w:val="Para"/>
        <w:tabs>
          <w:tab w:val="left" w:pos="1134"/>
          <w:tab w:val="left" w:pos="2268"/>
          <w:tab w:val="left" w:pos="2835"/>
          <w:tab w:val="right" w:leader="dot" w:pos="8505"/>
        </w:tabs>
        <w:suppressAutoHyphens/>
        <w:ind w:left="2552" w:hanging="1418"/>
        <w:rPr>
          <w:rFonts w:eastAsia="MS Mincho"/>
          <w:bCs/>
          <w:lang w:val="ru-RU" w:eastAsia="ja-JP"/>
        </w:rPr>
      </w:pPr>
      <w:r w:rsidRPr="00BD0D35">
        <w:rPr>
          <w:bCs/>
          <w:lang w:val="ru-RU"/>
        </w:rPr>
        <w:t>1.2.4.5.20.3</w:t>
      </w:r>
      <w:r w:rsidRPr="00BD0D35">
        <w:rPr>
          <w:bCs/>
          <w:lang w:val="ru-RU"/>
        </w:rPr>
        <w:tab/>
        <w:t>Описание и чертежи:</w:t>
      </w:r>
      <w:r>
        <w:rPr>
          <w:bCs/>
          <w:lang w:val="ru-RU"/>
        </w:rPr>
        <w:tab/>
      </w:r>
      <w:r w:rsidRPr="00BD0D35">
        <w:rPr>
          <w:bCs/>
          <w:lang w:val="ru-RU"/>
        </w:rPr>
        <w:t>»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Пункты 1.2.4.5.19</w:t>
      </w:r>
      <w:r>
        <w:rPr>
          <w:rFonts w:eastAsia="MS Mincho"/>
          <w:bCs/>
          <w:i/>
          <w:lang w:eastAsia="ja-JP"/>
        </w:rPr>
        <w:t>–</w:t>
      </w:r>
      <w:r w:rsidRPr="00BD0D35">
        <w:rPr>
          <w:rFonts w:eastAsia="MS Mincho"/>
          <w:bCs/>
          <w:i/>
          <w:lang w:eastAsia="ja-JP"/>
        </w:rPr>
        <w:t>1.2.4.5.19.5 (прежние),</w:t>
      </w:r>
      <w:r w:rsidRPr="00BD0D35">
        <w:rPr>
          <w:rFonts w:eastAsia="MS Mincho"/>
          <w:bCs/>
          <w:lang w:eastAsia="ja-JP"/>
        </w:rPr>
        <w:t xml:space="preserve"> изменить нумерацию на 1.2.4.5.21</w:t>
      </w:r>
      <w:r>
        <w:rPr>
          <w:rFonts w:eastAsia="MS Mincho"/>
          <w:bCs/>
          <w:lang w:eastAsia="ja-JP"/>
        </w:rPr>
        <w:t>–</w:t>
      </w:r>
      <w:r w:rsidRPr="00BD0D35">
        <w:rPr>
          <w:rFonts w:eastAsia="MS Mincho"/>
          <w:bCs/>
          <w:lang w:eastAsia="ja-JP"/>
        </w:rPr>
        <w:t>1.2.4.5.21.5.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BD0D35">
        <w:rPr>
          <w:rFonts w:eastAsia="MS Mincho"/>
          <w:bCs/>
          <w:i/>
          <w:lang w:eastAsia="ja-JP"/>
        </w:rPr>
        <w:t>Включить новые пункты</w:t>
      </w:r>
      <w:r w:rsidRPr="00BD0D35">
        <w:rPr>
          <w:i/>
        </w:rPr>
        <w:t xml:space="preserve"> 1.2.6 и 1.2.7 </w:t>
      </w:r>
      <w:r w:rsidRPr="00BD0D35">
        <w:t>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  <w:tab w:val="clear" w:pos="3969"/>
          <w:tab w:val="right" w:leader="dot" w:pos="8539"/>
        </w:tabs>
        <w:ind w:left="2268" w:hanging="1134"/>
      </w:pPr>
      <w:r w:rsidRPr="00BD0D35">
        <w:t>«1.2.6</w:t>
      </w:r>
      <w:r w:rsidRPr="00BD0D35">
        <w:tab/>
        <w:t>Документация с изложением соответствующих положений и описание системы/чертежи на предмет недопущения переполнения бака СНГ (пункт 17.13.2.2):</w:t>
      </w:r>
      <w:r>
        <w:t xml:space="preserve"> </w:t>
      </w:r>
      <w:r w:rsidRPr="00BD0D35">
        <w:tab/>
      </w:r>
    </w:p>
    <w:p w:rsidR="00792982" w:rsidRPr="00BD0D35" w:rsidRDefault="00792982" w:rsidP="00792982">
      <w:pPr>
        <w:tabs>
          <w:tab w:val="left" w:pos="2835"/>
          <w:tab w:val="left" w:leader="dot" w:pos="8505"/>
        </w:tabs>
        <w:spacing w:before="120" w:after="120" w:line="240" w:lineRule="auto"/>
        <w:ind w:left="2268" w:right="1134" w:hanging="1134"/>
        <w:jc w:val="both"/>
      </w:pPr>
      <w:r w:rsidRPr="00BD0D35">
        <w:t>1.2.7</w:t>
      </w:r>
      <w:r w:rsidRPr="00BD0D35">
        <w:tab/>
        <w:t>Документация с изложением соответствующих положений о сообщающихся системах СНГ (приложение 20):</w:t>
      </w:r>
      <w:r w:rsidRPr="00BD0D35">
        <w:tab/>
        <w:t>»</w:t>
      </w:r>
    </w:p>
    <w:p w:rsidR="00792982" w:rsidRDefault="00792982" w:rsidP="005B268D">
      <w:pPr>
        <w:spacing w:after="120"/>
        <w:ind w:left="2268" w:right="1133" w:hanging="1134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lastRenderedPageBreak/>
        <w:t>Приложение 2</w:t>
      </w:r>
      <w:r w:rsidRPr="00BD0D35">
        <w:rPr>
          <w:rFonts w:eastAsia="MS Mincho"/>
          <w:bCs/>
          <w:i/>
          <w:lang w:val="en-US" w:eastAsia="ja-JP"/>
        </w:rPr>
        <w:t>A</w:t>
      </w:r>
      <w:r w:rsidRPr="00BD0D35">
        <w:rPr>
          <w:rFonts w:eastAsia="MS Mincho"/>
          <w:bCs/>
          <w:lang w:eastAsia="ja-JP"/>
        </w:rPr>
        <w:t xml:space="preserve"> изменить следующим образом:</w:t>
      </w:r>
    </w:p>
    <w:p w:rsidR="00792982" w:rsidRPr="00BD0D35" w:rsidRDefault="00792982" w:rsidP="0079298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F217C">
        <w:rPr>
          <w:rFonts w:eastAsia="MS Mincho"/>
          <w:bCs/>
          <w:lang w:eastAsia="ja-JP"/>
        </w:rPr>
        <w:t>«</w:t>
      </w:r>
      <w:r w:rsidRPr="00BD0D35">
        <w:rPr>
          <w:b/>
          <w:sz w:val="28"/>
        </w:rPr>
        <w:t>Приложение 2</w:t>
      </w:r>
      <w:r w:rsidRPr="00BD0D35">
        <w:rPr>
          <w:b/>
          <w:sz w:val="28"/>
          <w:lang w:val="en-GB"/>
        </w:rPr>
        <w:t>A</w:t>
      </w:r>
    </w:p>
    <w:p w:rsidR="00792982" w:rsidRPr="00BD0D35" w:rsidRDefault="00792982" w:rsidP="00792982">
      <w:pPr>
        <w:pStyle w:val="HChGR"/>
      </w:pPr>
      <w:r w:rsidRPr="00BD0D35">
        <w:rPr>
          <w:b w:val="0"/>
        </w:rPr>
        <w:tab/>
      </w:r>
      <w:r w:rsidRPr="00BD0D35">
        <w:rPr>
          <w:b w:val="0"/>
        </w:rPr>
        <w:tab/>
      </w:r>
      <w:r w:rsidRPr="00BD0D35">
        <w:t>Схема знака официального утверждения типа оборудования СНГ</w:t>
      </w:r>
    </w:p>
    <w:p w:rsidR="00381C24" w:rsidRDefault="00792982" w:rsidP="00792982">
      <w:pPr>
        <w:pStyle w:val="SingleTxtGR"/>
      </w:pPr>
      <w:r w:rsidRPr="00BD0D35">
        <w:rPr>
          <w:bCs/>
          <w:lang w:eastAsia="ru-RU"/>
        </w:rPr>
        <w:t>(см. пункт 5.4 настоящих Правил)</w:t>
      </w:r>
    </w:p>
    <w:p w:rsidR="00792982" w:rsidRPr="00BD0D35" w:rsidRDefault="00792982" w:rsidP="00792982">
      <w:pPr>
        <w:keepNext/>
        <w:keepLines/>
        <w:spacing w:after="120" w:line="240" w:lineRule="exact"/>
        <w:ind w:right="1134"/>
      </w:pPr>
    </w:p>
    <w:p w:rsidR="00792982" w:rsidRPr="00BD0D35" w:rsidRDefault="00792982" w:rsidP="00792982">
      <w:pPr>
        <w:keepNext/>
        <w:keepLines/>
        <w:tabs>
          <w:tab w:val="center" w:pos="4734"/>
        </w:tabs>
        <w:spacing w:line="240" w:lineRule="auto"/>
        <w:jc w:val="both"/>
        <w:rPr>
          <w:bCs/>
        </w:rPr>
      </w:pPr>
      <w:r w:rsidRPr="00BD0D35">
        <w:rPr>
          <w:noProof/>
          <w:sz w:val="24"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37854E42" wp14:editId="101816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0990" cy="1197610"/>
                <wp:effectExtent l="0" t="3810" r="1270" b="0"/>
                <wp:wrapSquare wrapText="righ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982" w:rsidRDefault="00792982" w:rsidP="00792982">
                            <w:pPr>
                              <w:ind w:left="1134"/>
                              <w:rPr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3380E0D0" wp14:editId="723D59B6">
                                  <wp:extent cx="2122805" cy="12007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0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4E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223.7pt;height:94.3pt;z-index:251659264;visibility:visible;mso-wrap-style:non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" o:allowincell="f" stroked="f">
                <v:textbox style="mso-fit-shape-to-text:t" inset="0,0,0,0">
                  <w:txbxContent>
                    <w:p w:rsidR="00792982" w:rsidRDefault="00792982" w:rsidP="00792982">
                      <w:pPr>
                        <w:ind w:left="1134"/>
                        <w:rPr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80E0D0" wp14:editId="723D59B6">
                            <wp:extent cx="2122805" cy="12007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0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92982" w:rsidRPr="00BD0D35" w:rsidRDefault="00792982" w:rsidP="00792982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BD0D35" w:rsidRDefault="00792982" w:rsidP="00792982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770692" w:rsidRDefault="00792982" w:rsidP="00444D62">
      <w:pPr>
        <w:keepNext/>
        <w:keepLines/>
        <w:tabs>
          <w:tab w:val="left" w:pos="2154"/>
          <w:tab w:val="right" w:leader="dot" w:pos="5664"/>
          <w:tab w:val="right" w:leader="dot" w:pos="9062"/>
        </w:tabs>
        <w:spacing w:line="240" w:lineRule="auto"/>
        <w:jc w:val="both"/>
        <w:rPr>
          <w:bCs/>
          <w:sz w:val="30"/>
          <w:szCs w:val="30"/>
        </w:rPr>
      </w:pPr>
      <w:r w:rsidRPr="00770692">
        <w:rPr>
          <w:sz w:val="30"/>
          <w:szCs w:val="30"/>
        </w:rPr>
        <w:t xml:space="preserve">67 </w:t>
      </w:r>
      <w:r w:rsidRPr="00BD0D35">
        <w:rPr>
          <w:sz w:val="30"/>
          <w:szCs w:val="30"/>
          <w:lang w:val="en-GB"/>
        </w:rPr>
        <w:t>R</w:t>
      </w:r>
      <w:r w:rsidRPr="00770692">
        <w:rPr>
          <w:sz w:val="30"/>
          <w:szCs w:val="30"/>
        </w:rPr>
        <w:t>—012439</w:t>
      </w:r>
      <w:r w:rsidR="00444D62">
        <w:rPr>
          <w:sz w:val="30"/>
          <w:szCs w:val="30"/>
        </w:rPr>
        <w:t xml:space="preserve">        </w:t>
      </w:r>
      <w:r w:rsidRPr="00BD0D35">
        <w:rPr>
          <w:sz w:val="30"/>
          <w:szCs w:val="30"/>
          <w:lang w:val="en-GB"/>
        </w:rPr>
        <w:t>CLASS</w:t>
      </w:r>
      <w:r w:rsidRPr="00770692">
        <w:rPr>
          <w:sz w:val="30"/>
          <w:szCs w:val="30"/>
        </w:rPr>
        <w:t xml:space="preserve"> #</w:t>
      </w:r>
      <w:r w:rsidRPr="00770692">
        <w:rPr>
          <w:bCs/>
          <w:sz w:val="24"/>
          <w:szCs w:val="24"/>
          <w:vertAlign w:val="superscript"/>
        </w:rPr>
        <w:t>1</w:t>
      </w:r>
      <w:r w:rsidRPr="00770692">
        <w:rPr>
          <w:bCs/>
          <w:sz w:val="30"/>
          <w:szCs w:val="30"/>
        </w:rPr>
        <w:t xml:space="preserve"> </w:t>
      </w:r>
      <w:r w:rsidRPr="00770692">
        <w:rPr>
          <w:b/>
          <w:bCs/>
          <w:sz w:val="30"/>
          <w:szCs w:val="30"/>
        </w:rPr>
        <w:t xml:space="preserve">* </w:t>
      </w:r>
      <w:r w:rsidRPr="00BD0D35">
        <w:rPr>
          <w:bCs/>
          <w:sz w:val="30"/>
          <w:szCs w:val="30"/>
          <w:lang w:val="en-GB"/>
        </w:rPr>
        <w:t>A</w:t>
      </w:r>
      <w:r w:rsidRPr="00770692">
        <w:rPr>
          <w:bCs/>
          <w:sz w:val="24"/>
          <w:szCs w:val="24"/>
          <w:vertAlign w:val="superscript"/>
        </w:rPr>
        <w:t>2</w:t>
      </w:r>
    </w:p>
    <w:p w:rsidR="00792982" w:rsidRPr="00770692" w:rsidRDefault="00792982" w:rsidP="00792982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770692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770692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770692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pacing w:line="240" w:lineRule="auto"/>
        <w:jc w:val="both"/>
        <w:rPr>
          <w:bCs/>
        </w:rPr>
      </w:pPr>
    </w:p>
    <w:p w:rsidR="00792982" w:rsidRPr="00770692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pacing w:line="240" w:lineRule="auto"/>
        <w:ind w:left="4820" w:right="1134"/>
        <w:jc w:val="both"/>
        <w:rPr>
          <w:bCs/>
          <w:szCs w:val="20"/>
        </w:rPr>
      </w:pPr>
      <w:r w:rsidRPr="00023370">
        <w:rPr>
          <w:bCs/>
          <w:szCs w:val="20"/>
          <w:lang w:val="en-GB"/>
        </w:rPr>
        <w:t>a</w:t>
      </w:r>
      <w:r w:rsidRPr="00770692">
        <w:rPr>
          <w:bCs/>
          <w:szCs w:val="20"/>
        </w:rPr>
        <w:t xml:space="preserve"> </w:t>
      </w:r>
      <w:r w:rsidRPr="00023370">
        <w:rPr>
          <w:bCs/>
          <w:szCs w:val="20"/>
          <w:lang w:val="en-GB"/>
        </w:rPr>
        <w:sym w:font="Symbol" w:char="F0B3"/>
      </w:r>
      <w:r w:rsidRPr="00770692">
        <w:rPr>
          <w:bCs/>
          <w:szCs w:val="20"/>
        </w:rPr>
        <w:t xml:space="preserve"> 5 </w:t>
      </w:r>
      <w:r w:rsidRPr="00023370">
        <w:rPr>
          <w:bCs/>
          <w:szCs w:val="20"/>
        </w:rPr>
        <w:t>мм</w:t>
      </w:r>
    </w:p>
    <w:p w:rsidR="00792982" w:rsidRPr="00770692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left" w:pos="5103"/>
          <w:tab w:val="right" w:leader="dot" w:pos="5664"/>
          <w:tab w:val="right" w:leader="dot" w:pos="9062"/>
        </w:tabs>
        <w:spacing w:line="240" w:lineRule="auto"/>
        <w:ind w:left="4820" w:right="1134"/>
        <w:jc w:val="both"/>
        <w:rPr>
          <w:bCs/>
          <w:szCs w:val="20"/>
        </w:rPr>
      </w:pPr>
      <w:r w:rsidRPr="00770692">
        <w:rPr>
          <w:bCs/>
          <w:sz w:val="18"/>
          <w:szCs w:val="18"/>
          <w:vertAlign w:val="superscript"/>
        </w:rPr>
        <w:t>1</w:t>
      </w:r>
      <w:r w:rsidRPr="00770692">
        <w:rPr>
          <w:bCs/>
          <w:szCs w:val="20"/>
        </w:rPr>
        <w:tab/>
      </w:r>
      <w:r w:rsidRPr="00023370">
        <w:rPr>
          <w:bCs/>
          <w:szCs w:val="20"/>
        </w:rPr>
        <w:t>Класс</w:t>
      </w:r>
      <w:r w:rsidRPr="00770692">
        <w:rPr>
          <w:bCs/>
          <w:szCs w:val="20"/>
        </w:rPr>
        <w:t xml:space="preserve"> 0, 1, 2, 2</w:t>
      </w:r>
      <w:r w:rsidRPr="00023370">
        <w:rPr>
          <w:bCs/>
          <w:szCs w:val="20"/>
          <w:lang w:val="en-GB"/>
        </w:rPr>
        <w:t>A</w:t>
      </w:r>
      <w:r w:rsidRPr="00770692">
        <w:rPr>
          <w:bCs/>
          <w:szCs w:val="20"/>
        </w:rPr>
        <w:t xml:space="preserve"> </w:t>
      </w:r>
      <w:r w:rsidRPr="00023370">
        <w:rPr>
          <w:bCs/>
          <w:szCs w:val="20"/>
        </w:rPr>
        <w:t>или</w:t>
      </w:r>
      <w:r w:rsidRPr="00770692">
        <w:rPr>
          <w:bCs/>
          <w:szCs w:val="20"/>
        </w:rPr>
        <w:t xml:space="preserve"> 3.</w:t>
      </w:r>
    </w:p>
    <w:p w:rsidR="00792982" w:rsidRPr="00023370" w:rsidRDefault="00792982" w:rsidP="00792982">
      <w:pPr>
        <w:keepNext/>
        <w:keepLines/>
        <w:tabs>
          <w:tab w:val="left" w:pos="-720"/>
          <w:tab w:val="left" w:pos="1080"/>
          <w:tab w:val="left" w:pos="1920"/>
          <w:tab w:val="left" w:pos="5103"/>
          <w:tab w:val="right" w:leader="dot" w:pos="8505"/>
        </w:tabs>
        <w:spacing w:line="240" w:lineRule="auto"/>
        <w:ind w:left="4820" w:right="1134"/>
        <w:jc w:val="both"/>
        <w:rPr>
          <w:bCs/>
          <w:szCs w:val="20"/>
        </w:rPr>
      </w:pPr>
      <w:r w:rsidRPr="005B268D">
        <w:rPr>
          <w:bCs/>
          <w:sz w:val="18"/>
          <w:szCs w:val="18"/>
          <w:vertAlign w:val="superscript"/>
        </w:rPr>
        <w:t>2</w:t>
      </w:r>
      <w:r w:rsidRPr="00023370">
        <w:rPr>
          <w:bCs/>
          <w:szCs w:val="20"/>
        </w:rPr>
        <w:tab/>
      </w:r>
      <w:r w:rsidRPr="00023370">
        <w:rPr>
          <w:szCs w:val="20"/>
        </w:rPr>
        <w:t>Указатель технической модификации наносится только на клапанную группу или</w:t>
      </w:r>
      <w:r w:rsidR="005B268D">
        <w:rPr>
          <w:szCs w:val="20"/>
          <w:lang w:val="en-US"/>
        </w:rPr>
        <w:t> </w:t>
      </w:r>
      <w:r w:rsidRPr="00023370">
        <w:rPr>
          <w:szCs w:val="20"/>
        </w:rPr>
        <w:t>– в случае раздельного официального</w:t>
      </w:r>
      <w:r>
        <w:rPr>
          <w:szCs w:val="20"/>
        </w:rPr>
        <w:t xml:space="preserve"> </w:t>
      </w:r>
      <w:r w:rsidRPr="00023370">
        <w:rPr>
          <w:szCs w:val="20"/>
        </w:rPr>
        <w:t>утверждения – на п</w:t>
      </w:r>
      <w:r w:rsidRPr="00023370">
        <w:rPr>
          <w:iCs/>
          <w:szCs w:val="20"/>
        </w:rPr>
        <w:t>редохранительный</w:t>
      </w:r>
      <w:r>
        <w:rPr>
          <w:iCs/>
          <w:szCs w:val="20"/>
        </w:rPr>
        <w:t xml:space="preserve"> </w:t>
      </w:r>
      <w:r w:rsidRPr="00023370">
        <w:rPr>
          <w:iCs/>
          <w:szCs w:val="20"/>
        </w:rPr>
        <w:t>клапан (разгрузочный клапан)</w:t>
      </w:r>
      <w:r>
        <w:rPr>
          <w:iCs/>
          <w:szCs w:val="20"/>
        </w:rPr>
        <w:t xml:space="preserve"> </w:t>
      </w:r>
      <w:r w:rsidRPr="00023370">
        <w:rPr>
          <w:iCs/>
          <w:szCs w:val="20"/>
        </w:rPr>
        <w:t xml:space="preserve">и </w:t>
      </w:r>
      <w:r w:rsidRPr="00023370">
        <w:rPr>
          <w:szCs w:val="20"/>
        </w:rPr>
        <w:t>ограничитель давления.</w:t>
      </w:r>
    </w:p>
    <w:p w:rsidR="00792982" w:rsidRPr="00BD0D35" w:rsidRDefault="00792982" w:rsidP="00792982">
      <w:pPr>
        <w:tabs>
          <w:tab w:val="left" w:pos="1701"/>
        </w:tabs>
        <w:spacing w:before="120" w:after="120"/>
        <w:ind w:left="1134" w:right="1133"/>
        <w:jc w:val="both"/>
      </w:pPr>
      <w:r w:rsidRPr="00BD0D35">
        <w:tab/>
        <w:t>Приведенный выше знак официального утверждения, проставляемый на оборудовании СНГ, указывает, что данное оборудование официально утверждено в Нидерландах (</w:t>
      </w:r>
      <w:r w:rsidRPr="00BD0D35">
        <w:rPr>
          <w:lang w:val="en-GB"/>
        </w:rPr>
        <w:t>E</w:t>
      </w:r>
      <w:r>
        <w:t xml:space="preserve"> </w:t>
      </w:r>
      <w:r w:rsidRPr="00BD0D35">
        <w:t>4) на основании Правил № 67 ООН под номером официального утверждения 012439.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67 ООН с внесенными в них поправками серии 01. Указатель технической модификации (буква "</w:t>
      </w:r>
      <w:r w:rsidRPr="00BD0D35">
        <w:rPr>
          <w:lang w:val="en-GB"/>
        </w:rPr>
        <w:t>A</w:t>
      </w:r>
      <w:r w:rsidRPr="00BD0D35">
        <w:t>" в приведенном примере), которому предшествует обозначение "звездочка", требуется только в случае знака официального утверждения вспомогательного оборудования баллона (клапанной группы или – в случае раздельного официального утверждения – п</w:t>
      </w:r>
      <w:r w:rsidRPr="00BD0D35">
        <w:rPr>
          <w:iCs/>
        </w:rPr>
        <w:t xml:space="preserve">редохранительного клапана (разгрузочного клапана) и </w:t>
      </w:r>
      <w:r w:rsidRPr="00BD0D35">
        <w:t>ограничителя давления)».</w:t>
      </w:r>
    </w:p>
    <w:p w:rsidR="00792982" w:rsidRPr="00BD0D35" w:rsidRDefault="00792982" w:rsidP="00792982">
      <w:pPr>
        <w:widowControl w:val="0"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BD0D35">
        <w:rPr>
          <w:i/>
        </w:rPr>
        <w:t>Приложение 2</w:t>
      </w:r>
      <w:r w:rsidRPr="00BD0D35">
        <w:rPr>
          <w:i/>
          <w:lang w:val="en-GB"/>
        </w:rPr>
        <w:t>A</w:t>
      </w:r>
      <w:r w:rsidRPr="00BD0D35">
        <w:rPr>
          <w:i/>
        </w:rPr>
        <w:t xml:space="preserve">, включить новое добавление 1 </w:t>
      </w:r>
      <w:r w:rsidRPr="00BD0D35">
        <w:t>следующего содержания:</w:t>
      </w:r>
    </w:p>
    <w:p w:rsidR="00792982" w:rsidRPr="002879E1" w:rsidRDefault="00792982" w:rsidP="00792982">
      <w:pPr>
        <w:pStyle w:val="HChGR"/>
      </w:pPr>
      <w:r w:rsidRPr="005B268D">
        <w:rPr>
          <w:b w:val="0"/>
          <w:sz w:val="20"/>
        </w:rPr>
        <w:t>«</w:t>
      </w:r>
      <w:r w:rsidRPr="002879E1">
        <w:t>Приложение 2A – Добавление 1</w:t>
      </w:r>
    </w:p>
    <w:p w:rsidR="00792982" w:rsidRDefault="00792982" w:rsidP="00792982">
      <w:pPr>
        <w:pStyle w:val="SingleTxtGR"/>
      </w:pPr>
      <w:r>
        <w:rPr>
          <w:bCs/>
        </w:rPr>
        <w:tab/>
      </w:r>
      <w:r w:rsidRPr="00BD0D35">
        <w:rPr>
          <w:bCs/>
        </w:rPr>
        <w:t>Схема знака официального утверждения типа неметаллических, металлических либо смешанных (металлических/неметаллических) элементов оборудования СНГ и элементов оборудования СНГ, содержащих неметаллические, металлические либо смешанные (металлические/неметаллические) части, совместимые с бензиновым топливом. Буквой N обозначаются неметаллически</w:t>
      </w:r>
      <w:r w:rsidR="005B268D">
        <w:rPr>
          <w:bCs/>
        </w:rPr>
        <w:t>е элементы оборудования. Буквой </w:t>
      </w:r>
      <w:r w:rsidRPr="00BD0D35">
        <w:rPr>
          <w:bCs/>
        </w:rPr>
        <w:t>M обозначаются металлические элементы оборудования. Буквами NM обозначается комбинация металлических и неметаллических эле</w:t>
      </w:r>
      <w:r w:rsidR="005B268D">
        <w:rPr>
          <w:bCs/>
        </w:rPr>
        <w:t>ментов оборудования. (См. пункт </w:t>
      </w:r>
      <w:r w:rsidRPr="00BD0D35">
        <w:rPr>
          <w:bCs/>
        </w:rPr>
        <w:t>6.18 настоящих Правил.)</w:t>
      </w:r>
    </w:p>
    <w:p w:rsidR="00792982" w:rsidRDefault="0079298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92982" w:rsidRPr="00BD0D35" w:rsidRDefault="00792982" w:rsidP="00792982">
      <w:pPr>
        <w:widowControl w:val="0"/>
        <w:tabs>
          <w:tab w:val="left" w:pos="1701"/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bCs/>
        </w:rPr>
      </w:pPr>
    </w:p>
    <w:p w:rsidR="00792982" w:rsidRPr="00BD0D35" w:rsidRDefault="00792982" w:rsidP="00792982">
      <w:pPr>
        <w:keepNext/>
        <w:keepLines/>
        <w:spacing w:after="120" w:line="240" w:lineRule="exact"/>
        <w:ind w:left="1134" w:right="1134" w:hanging="1134"/>
        <w:jc w:val="both"/>
        <w:rPr>
          <w:bCs/>
          <w:sz w:val="28"/>
          <w:szCs w:val="28"/>
        </w:rPr>
      </w:pPr>
      <w:r w:rsidRPr="00BD0D35">
        <w:rPr>
          <w:noProof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61312" behindDoc="0" locked="0" layoutInCell="0" allowOverlap="1" wp14:anchorId="3C399F67" wp14:editId="09A515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39085" cy="1196340"/>
                <wp:effectExtent l="0" t="0" r="0" b="0"/>
                <wp:wrapSquare wrapText="right"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982" w:rsidRDefault="00792982" w:rsidP="00792982">
                            <w:pPr>
                              <w:ind w:left="1134"/>
                              <w:rPr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3A280A9" wp14:editId="5C2E8E10">
                                  <wp:extent cx="2120265" cy="1192530"/>
                                  <wp:effectExtent l="0" t="0" r="0" b="7620"/>
                                  <wp:docPr id="6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9F67" id="Text Box 90" o:spid="_x0000_s1027" type="#_x0000_t202" style="position:absolute;left:0;text-align:left;margin-left:0;margin-top:0;width:223.55pt;height:94.2pt;z-index:251661312;visibility:visible;mso-wrap-style:non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" o:allowincell="f" stroked="f">
                <v:textbox style="mso-fit-shape-to-text:t" inset="0,0,0,0">
                  <w:txbxContent>
                    <w:p w:rsidR="00792982" w:rsidRDefault="00792982" w:rsidP="00792982">
                      <w:pPr>
                        <w:ind w:left="1134"/>
                        <w:rPr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A280A9" wp14:editId="5C2E8E10">
                            <wp:extent cx="2120265" cy="1192530"/>
                            <wp:effectExtent l="0" t="0" r="0" b="7620"/>
                            <wp:docPr id="6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92982" w:rsidRPr="00BD0D35" w:rsidRDefault="00792982" w:rsidP="00792982">
      <w:pPr>
        <w:keepNext/>
        <w:keepLines/>
        <w:spacing w:after="120" w:line="240" w:lineRule="exact"/>
        <w:ind w:right="1134"/>
        <w:jc w:val="both"/>
        <w:rPr>
          <w:sz w:val="28"/>
          <w:szCs w:val="28"/>
        </w:rPr>
      </w:pPr>
    </w:p>
    <w:p w:rsidR="00792982" w:rsidRPr="00C67277" w:rsidRDefault="00792982" w:rsidP="00792982">
      <w:pPr>
        <w:keepNext/>
        <w:keepLines/>
        <w:spacing w:after="120" w:line="240" w:lineRule="exact"/>
        <w:ind w:right="1134"/>
        <w:jc w:val="both"/>
        <w:rPr>
          <w:bCs/>
          <w:sz w:val="28"/>
          <w:szCs w:val="28"/>
          <w:lang w:val="en-GB"/>
        </w:rPr>
      </w:pPr>
      <w:r w:rsidRPr="00C67277">
        <w:rPr>
          <w:sz w:val="28"/>
          <w:szCs w:val="28"/>
          <w:lang w:val="en-GB"/>
        </w:rPr>
        <w:t xml:space="preserve">67 </w:t>
      </w:r>
      <w:r w:rsidRPr="00BD0D35">
        <w:rPr>
          <w:sz w:val="28"/>
          <w:szCs w:val="28"/>
          <w:lang w:val="en-GB"/>
        </w:rPr>
        <w:t>R</w:t>
      </w:r>
      <w:r w:rsidRPr="00C67277">
        <w:rPr>
          <w:sz w:val="28"/>
          <w:szCs w:val="28"/>
          <w:lang w:val="en-GB"/>
        </w:rPr>
        <w:t>—012439-</w:t>
      </w:r>
      <w:r w:rsidRPr="00BD0D35">
        <w:rPr>
          <w:sz w:val="28"/>
          <w:szCs w:val="28"/>
          <w:lang w:val="en-GB"/>
        </w:rPr>
        <w:t>NM</w:t>
      </w:r>
      <w:r w:rsidRPr="00C67277">
        <w:rPr>
          <w:sz w:val="28"/>
          <w:szCs w:val="28"/>
          <w:lang w:val="en-GB"/>
        </w:rPr>
        <w:t xml:space="preserve">   </w:t>
      </w:r>
      <w:r w:rsidRPr="00BD0D35">
        <w:rPr>
          <w:sz w:val="28"/>
          <w:szCs w:val="28"/>
          <w:lang w:val="en-GB"/>
        </w:rPr>
        <w:t>CLASS</w:t>
      </w:r>
      <w:r w:rsidRPr="00C67277">
        <w:rPr>
          <w:sz w:val="28"/>
          <w:szCs w:val="28"/>
          <w:lang w:val="en-GB"/>
        </w:rPr>
        <w:t xml:space="preserve"> #</w:t>
      </w:r>
      <w:r w:rsidRPr="00C67277">
        <w:rPr>
          <w:bCs/>
          <w:sz w:val="24"/>
          <w:szCs w:val="24"/>
          <w:vertAlign w:val="superscript"/>
          <w:lang w:val="en-GB"/>
        </w:rPr>
        <w:t>1</w:t>
      </w:r>
    </w:p>
    <w:p w:rsidR="00792982" w:rsidRPr="00C67277" w:rsidRDefault="00792982" w:rsidP="00792982">
      <w:pPr>
        <w:keepNext/>
        <w:keepLines/>
        <w:spacing w:after="120" w:line="240" w:lineRule="exact"/>
        <w:ind w:left="1134" w:right="1134"/>
        <w:jc w:val="both"/>
        <w:rPr>
          <w:bCs/>
          <w:lang w:val="en-GB"/>
        </w:rPr>
      </w:pPr>
    </w:p>
    <w:p w:rsidR="00792982" w:rsidRPr="00C67277" w:rsidRDefault="00792982" w:rsidP="00792982">
      <w:pPr>
        <w:keepNext/>
        <w:keepLines/>
        <w:spacing w:after="120" w:line="240" w:lineRule="exact"/>
        <w:ind w:left="1134" w:right="1134"/>
        <w:jc w:val="both"/>
        <w:rPr>
          <w:bCs/>
          <w:lang w:val="en-GB"/>
        </w:rPr>
      </w:pPr>
      <w:r w:rsidRPr="00BD0D35">
        <w:rPr>
          <w:bCs/>
          <w:lang w:val="en-GB"/>
        </w:rPr>
        <w:t>a</w:t>
      </w:r>
      <w:r w:rsidRPr="00C67277">
        <w:rPr>
          <w:bCs/>
          <w:lang w:val="en-GB"/>
        </w:rPr>
        <w:t xml:space="preserve"> </w:t>
      </w:r>
      <w:r w:rsidRPr="00BD0D35">
        <w:rPr>
          <w:bCs/>
        </w:rPr>
        <w:sym w:font="Symbol" w:char="F0B3"/>
      </w:r>
      <w:r w:rsidRPr="00C67277">
        <w:rPr>
          <w:bCs/>
          <w:lang w:val="en-GB"/>
        </w:rPr>
        <w:t xml:space="preserve"> 5 </w:t>
      </w:r>
      <w:r w:rsidRPr="00BD0D35">
        <w:rPr>
          <w:bCs/>
        </w:rPr>
        <w:t>мм</w:t>
      </w:r>
    </w:p>
    <w:p w:rsidR="00792982" w:rsidRPr="00C67277" w:rsidRDefault="00792982" w:rsidP="00792982">
      <w:pPr>
        <w:keepNext/>
        <w:keepLines/>
        <w:spacing w:after="120" w:line="240" w:lineRule="exact"/>
        <w:ind w:left="1134" w:right="1134" w:hanging="1134"/>
        <w:jc w:val="both"/>
        <w:rPr>
          <w:bCs/>
          <w:lang w:val="en-GB"/>
        </w:rPr>
      </w:pPr>
      <w:r w:rsidRPr="00C67277">
        <w:rPr>
          <w:bCs/>
          <w:lang w:val="en-GB"/>
        </w:rPr>
        <w:tab/>
      </w:r>
      <w:r w:rsidRPr="00C67277">
        <w:rPr>
          <w:bCs/>
          <w:lang w:val="en-GB"/>
        </w:rPr>
        <w:tab/>
      </w:r>
      <w:r w:rsidRPr="00C67277">
        <w:rPr>
          <w:bCs/>
          <w:sz w:val="18"/>
          <w:szCs w:val="18"/>
          <w:vertAlign w:val="superscript"/>
          <w:lang w:val="en-GB"/>
        </w:rPr>
        <w:t>1</w:t>
      </w:r>
      <w:r w:rsidRPr="00C67277">
        <w:rPr>
          <w:bCs/>
          <w:lang w:val="en-GB"/>
        </w:rPr>
        <w:t xml:space="preserve">  </w:t>
      </w:r>
      <w:r w:rsidRPr="00BD0D35">
        <w:rPr>
          <w:bCs/>
        </w:rPr>
        <w:t>Класс</w:t>
      </w:r>
      <w:r w:rsidRPr="00C67277">
        <w:rPr>
          <w:bCs/>
          <w:lang w:val="en-GB"/>
        </w:rPr>
        <w:t xml:space="preserve"> 0, 1, 2, 2</w:t>
      </w:r>
      <w:r w:rsidRPr="00BD0D35">
        <w:rPr>
          <w:bCs/>
          <w:lang w:val="en-GB"/>
        </w:rPr>
        <w:t>A</w:t>
      </w:r>
      <w:r w:rsidRPr="00C67277">
        <w:rPr>
          <w:bCs/>
          <w:lang w:val="en-GB"/>
        </w:rPr>
        <w:t xml:space="preserve"> </w:t>
      </w:r>
      <w:r w:rsidRPr="00BD0D35">
        <w:rPr>
          <w:bCs/>
        </w:rPr>
        <w:t>или</w:t>
      </w:r>
      <w:r w:rsidRPr="00C67277">
        <w:rPr>
          <w:bCs/>
          <w:lang w:val="en-GB"/>
        </w:rPr>
        <w:t xml:space="preserve"> 3.</w:t>
      </w:r>
    </w:p>
    <w:p w:rsidR="00792982" w:rsidRPr="00BD0D35" w:rsidRDefault="00792982" w:rsidP="00792982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</w:pPr>
      <w:r w:rsidRPr="00C67277">
        <w:rPr>
          <w:lang w:val="en-GB"/>
        </w:rPr>
        <w:tab/>
      </w:r>
      <w:r w:rsidRPr="00BD0D35">
        <w:rPr>
          <w:bCs/>
        </w:rPr>
        <w:t>Приведенный выше знак официального утверждения проставляют на элементе оборудования СНГ или</w:t>
      </w:r>
      <w:r w:rsidRPr="00BD0D35">
        <w:rPr>
          <w:bCs/>
          <w:iCs/>
        </w:rPr>
        <w:t xml:space="preserve"> </w:t>
      </w:r>
      <w:r>
        <w:rPr>
          <w:bCs/>
          <w:iCs/>
        </w:rPr>
        <w:t>–</w:t>
      </w:r>
      <w:r w:rsidRPr="00BD0D35">
        <w:rPr>
          <w:bCs/>
        </w:rPr>
        <w:t xml:space="preserve"> если этот элемент оборудования устанавливается таким образом, что к нему не имеется беспрепятственного доступа,</w:t>
      </w:r>
      <w:r w:rsidRPr="00BD0D35">
        <w:rPr>
          <w:bCs/>
          <w:iCs/>
        </w:rPr>
        <w:t> </w:t>
      </w:r>
      <w:r>
        <w:rPr>
          <w:bCs/>
          <w:iCs/>
        </w:rPr>
        <w:t>–</w:t>
      </w:r>
      <w:r w:rsidRPr="00BD0D35">
        <w:rPr>
          <w:bCs/>
          <w:iCs/>
        </w:rPr>
        <w:t xml:space="preserve"> </w:t>
      </w:r>
      <w:r w:rsidRPr="00BD0D35">
        <w:rPr>
          <w:bCs/>
        </w:rPr>
        <w:t>на опознавательной табличке, помещаемой в моторном отделении и прикрепляемой к видимой несъемной детали шасси.</w:t>
      </w:r>
      <w:r w:rsidRPr="00BD0D35">
        <w:t xml:space="preserve"> </w:t>
      </w:r>
    </w:p>
    <w:p w:rsidR="00792982" w:rsidRPr="00BD0D35" w:rsidRDefault="00792982" w:rsidP="00792982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bCs/>
        </w:rPr>
      </w:pPr>
      <w:r w:rsidRPr="00BD0D35">
        <w:tab/>
      </w:r>
      <w:r w:rsidRPr="00BD0D35">
        <w:rPr>
          <w:bCs/>
        </w:rPr>
        <w:t>Этот знак официального утверждения указывает, что данный элемент оборудования официально утвержден в Нидерландах (E</w:t>
      </w:r>
      <w:r>
        <w:rPr>
          <w:bCs/>
        </w:rPr>
        <w:t xml:space="preserve"> 4) на основании Правил № </w:t>
      </w:r>
      <w:r w:rsidRPr="00BD0D35">
        <w:rPr>
          <w:bCs/>
        </w:rPr>
        <w:t>67 ООН под номером официального утверждения 012439.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67 ООН с внесенными в них поправками серии 01».</w:t>
      </w:r>
      <w:r w:rsidRPr="004F217C">
        <w:rPr>
          <w:bCs/>
        </w:rPr>
        <w:t xml:space="preserve"> 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Приложение 2</w:t>
      </w:r>
      <w:r w:rsidRPr="00BD0D35">
        <w:rPr>
          <w:rFonts w:eastAsia="MS Mincho"/>
          <w:bCs/>
          <w:i/>
          <w:lang w:val="en-GB" w:eastAsia="ja-JP"/>
        </w:rPr>
        <w:t>B</w:t>
      </w:r>
      <w:r w:rsidRPr="00BD0D35">
        <w:rPr>
          <w:rFonts w:eastAsia="MS Mincho"/>
          <w:bCs/>
          <w:i/>
          <w:lang w:eastAsia="ja-JP"/>
        </w:rPr>
        <w:t>, пункт 1</w:t>
      </w:r>
      <w:r w:rsidRPr="00BD0D35">
        <w:rPr>
          <w:rFonts w:eastAsia="MS Mincho"/>
          <w:bCs/>
          <w:lang w:eastAsia="ja-JP"/>
        </w:rPr>
        <w:t xml:space="preserve"> </w:t>
      </w:r>
      <w:r w:rsidRPr="00BD0D35">
        <w:rPr>
          <w:bCs/>
        </w:rPr>
        <w:t>изменить следующим образом</w:t>
      </w:r>
      <w:r w:rsidRPr="00BD0D35">
        <w:rPr>
          <w:rFonts w:eastAsia="MS Mincho"/>
          <w:bCs/>
          <w:lang w:eastAsia="ja-JP"/>
        </w:rPr>
        <w:t xml:space="preserve"> (сохранив ссылку на сноску</w:t>
      </w:r>
      <w:r>
        <w:rPr>
          <w:rFonts w:eastAsia="MS Mincho"/>
          <w:bCs/>
          <w:lang w:eastAsia="ja-JP"/>
        </w:rPr>
        <w:t xml:space="preserve"> </w:t>
      </w:r>
      <w:r w:rsidRPr="00BD0D35">
        <w:rPr>
          <w:rFonts w:eastAsia="MS Mincho"/>
          <w:bCs/>
          <w:vertAlign w:val="superscript"/>
          <w:lang w:eastAsia="ja-JP"/>
        </w:rPr>
        <w:t>2</w:t>
      </w:r>
      <w:r w:rsidRPr="00BD0D35">
        <w:rPr>
          <w:rFonts w:eastAsia="MS Mincho"/>
          <w:bCs/>
          <w:lang w:eastAsia="ja-JP"/>
        </w:rPr>
        <w:t xml:space="preserve"> неизменной):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«</w:t>
      </w:r>
      <w:r w:rsidRPr="00BD0D35">
        <w:rPr>
          <w:rFonts w:eastAsia="MS Mincho"/>
          <w:bCs/>
          <w:lang w:eastAsia="ja-JP"/>
        </w:rPr>
        <w:t>1.</w:t>
      </w:r>
      <w:r w:rsidRPr="00BD0D35">
        <w:rPr>
          <w:rFonts w:eastAsia="MS Mincho"/>
          <w:bCs/>
          <w:lang w:eastAsia="ja-JP"/>
        </w:rPr>
        <w:tab/>
      </w:r>
      <w:r w:rsidRPr="00BD0D35">
        <w:t>Оборудование СНГ включает</w:t>
      </w:r>
      <w:r w:rsidRPr="00BD0D35">
        <w:rPr>
          <w:rFonts w:eastAsia="MS Mincho"/>
          <w:bCs/>
          <w:vertAlign w:val="superscript"/>
          <w:lang w:eastAsia="ja-JP"/>
        </w:rPr>
        <w:t>2</w:t>
      </w:r>
      <w:r w:rsidRPr="00BD0D35">
        <w:rPr>
          <w:rFonts w:eastAsia="MS Mincho"/>
          <w:bCs/>
          <w:lang w:eastAsia="ja-JP"/>
        </w:rPr>
        <w:t>:</w:t>
      </w:r>
    </w:p>
    <w:p w:rsidR="00792982" w:rsidRPr="00BD0D35" w:rsidRDefault="005B268D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ab/>
      </w:r>
      <w:r w:rsidR="00792982" w:rsidRPr="00BD0D35">
        <w:rPr>
          <w:rFonts w:eastAsia="MS Mincho"/>
          <w:bCs/>
          <w:lang w:eastAsia="ja-JP"/>
        </w:rPr>
        <w:tab/>
        <w:t>……</w:t>
      </w:r>
    </w:p>
    <w:p w:rsidR="00792982" w:rsidRPr="00BD0D35" w:rsidRDefault="005B268D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ab/>
      </w:r>
      <w:r w:rsidR="00792982" w:rsidRPr="00BD0D35">
        <w:rPr>
          <w:rFonts w:eastAsia="MS Mincho"/>
          <w:bCs/>
          <w:lang w:eastAsia="ja-JP"/>
        </w:rPr>
        <w:tab/>
      </w:r>
      <w:r w:rsidR="00792982" w:rsidRPr="00BD0D35">
        <w:t>датчик давления/температуры</w:t>
      </w:r>
    </w:p>
    <w:p w:rsidR="00792982" w:rsidRPr="00BD0D35" w:rsidRDefault="005B268D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ab/>
      </w:r>
      <w:r w:rsidR="00792982" w:rsidRPr="00BD0D35">
        <w:rPr>
          <w:rFonts w:eastAsia="MS Mincho"/>
          <w:bCs/>
          <w:lang w:eastAsia="ja-JP"/>
        </w:rPr>
        <w:tab/>
      </w:r>
      <w:r w:rsidR="00792982" w:rsidRPr="00BD0D35">
        <w:t>фильтр СНГ</w:t>
      </w:r>
    </w:p>
    <w:p w:rsidR="00792982" w:rsidRPr="00BD0D35" w:rsidRDefault="005B268D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ab/>
      </w:r>
      <w:r w:rsidR="00792982" w:rsidRPr="00BD0D35">
        <w:rPr>
          <w:rFonts w:eastAsia="MS Mincho"/>
          <w:bCs/>
          <w:lang w:eastAsia="ja-JP"/>
        </w:rPr>
        <w:tab/>
      </w:r>
      <w:r w:rsidR="00792982" w:rsidRPr="00BD0D35">
        <w:t>шовные газопроводы и их соединительные муфты</w:t>
      </w:r>
    </w:p>
    <w:p w:rsidR="00792982" w:rsidRPr="00BD0D35" w:rsidRDefault="005B268D" w:rsidP="005B268D">
      <w:pPr>
        <w:spacing w:after="120"/>
        <w:ind w:left="1701" w:right="1133" w:hanging="567"/>
        <w:jc w:val="both"/>
        <w:rPr>
          <w:rFonts w:eastAsia="MS Mincho"/>
          <w:bCs/>
          <w:lang w:eastAsia="ja-JP"/>
        </w:rPr>
      </w:pPr>
      <w:r>
        <w:rPr>
          <w:bCs/>
        </w:rPr>
        <w:tab/>
      </w:r>
      <w:r>
        <w:rPr>
          <w:bCs/>
        </w:rPr>
        <w:tab/>
      </w:r>
      <w:r w:rsidR="00792982" w:rsidRPr="00BD0D35">
        <w:rPr>
          <w:bCs/>
        </w:rPr>
        <w:t>газопроводы, изготовленные из материалов, не являющихся медью, нержавеющей сталью и сталью с антикоррозийным покрытием, и их соединительные муфты</w:t>
      </w:r>
    </w:p>
    <w:p w:rsidR="00792982" w:rsidRPr="00BD0D35" w:rsidRDefault="005B268D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ab/>
      </w:r>
      <w:r w:rsidR="00792982" w:rsidRPr="00BD0D35">
        <w:rPr>
          <w:rFonts w:eastAsia="MS Mincho"/>
          <w:bCs/>
          <w:lang w:eastAsia="ja-JP"/>
        </w:rPr>
        <w:tab/>
      </w:r>
      <w:r w:rsidR="00792982" w:rsidRPr="00BD0D35">
        <w:t>комбинацию элементов</w:t>
      </w:r>
      <w:r w:rsidR="00792982">
        <w:t>»</w:t>
      </w:r>
      <w:r w:rsidR="00792982" w:rsidRPr="00BD0D35">
        <w:t>.</w:t>
      </w:r>
    </w:p>
    <w:p w:rsidR="00792982" w:rsidRPr="00BD0D35" w:rsidRDefault="00792982" w:rsidP="00792982">
      <w:pPr>
        <w:pStyle w:val="SingleTxtGR"/>
        <w:rPr>
          <w:bCs/>
        </w:rPr>
      </w:pPr>
      <w:r w:rsidRPr="00BD0D35">
        <w:rPr>
          <w:bCs/>
          <w:i/>
        </w:rPr>
        <w:t>Приложение 2</w:t>
      </w:r>
      <w:r w:rsidRPr="00BD0D35">
        <w:rPr>
          <w:bCs/>
          <w:i/>
          <w:lang w:val="en-US"/>
        </w:rPr>
        <w:t>B</w:t>
      </w:r>
      <w:r w:rsidRPr="00BD0D35">
        <w:rPr>
          <w:bCs/>
          <w:i/>
        </w:rPr>
        <w:t>, добавление, таблица 1</w:t>
      </w:r>
      <w:r w:rsidRPr="00BD0D35">
        <w:rPr>
          <w:bCs/>
        </w:rPr>
        <w:t>, изменить следующим образом (включив новый столбик для указания технической модификации):</w:t>
      </w:r>
    </w:p>
    <w:p w:rsidR="00792982" w:rsidRPr="00BD0D35" w:rsidRDefault="00792982" w:rsidP="00792982">
      <w:pPr>
        <w:pStyle w:val="SingleTxtGR"/>
        <w:rPr>
          <w:lang w:val="en-US"/>
        </w:rPr>
      </w:pPr>
      <w:bookmarkStart w:id="3" w:name="_Toc387935181"/>
      <w:bookmarkStart w:id="4" w:name="_Toc397517971"/>
      <w:r w:rsidRPr="00BD0D35">
        <w:t>«</w:t>
      </w:r>
      <w:r w:rsidRPr="00BD0D35">
        <w:rPr>
          <w:b/>
          <w:bCs/>
        </w:rPr>
        <w:t>Таблица</w:t>
      </w:r>
      <w:r w:rsidRPr="00BD0D35">
        <w:rPr>
          <w:b/>
          <w:bCs/>
          <w:lang w:val="en-US"/>
        </w:rPr>
        <w:t xml:space="preserve"> 1</w:t>
      </w:r>
      <w:bookmarkEnd w:id="3"/>
      <w:bookmarkEnd w:id="4"/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516"/>
        <w:gridCol w:w="2461"/>
        <w:gridCol w:w="420"/>
        <w:gridCol w:w="1276"/>
        <w:gridCol w:w="1607"/>
        <w:gridCol w:w="1090"/>
      </w:tblGrid>
      <w:tr w:rsidR="005B268D" w:rsidRPr="005B268D" w:rsidTr="00FE43F0">
        <w:trPr>
          <w:tblHeader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>№</w:t>
            </w:r>
          </w:p>
        </w:tc>
        <w:tc>
          <w:tcPr>
            <w:tcW w:w="2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>Деталь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>Тип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 xml:space="preserve">Официальное </w:t>
            </w:r>
            <w:r w:rsidRPr="005B268D">
              <w:rPr>
                <w:i/>
                <w:sz w:val="16"/>
              </w:rPr>
              <w:br/>
              <w:t>утверждение №</w:t>
            </w:r>
          </w:p>
        </w:tc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>Распространение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2" w:rsidRPr="005B268D" w:rsidRDefault="00792982" w:rsidP="005B268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B268D">
              <w:rPr>
                <w:i/>
                <w:sz w:val="16"/>
              </w:rPr>
              <w:t>Указатель(и)</w:t>
            </w:r>
            <w:r w:rsidRPr="005B268D">
              <w:rPr>
                <w:sz w:val="16"/>
                <w:vertAlign w:val="superscript"/>
              </w:rPr>
              <w:t>1</w:t>
            </w:r>
          </w:p>
        </w:tc>
      </w:tr>
      <w:tr w:rsidR="005B268D" w:rsidRPr="00444D62" w:rsidTr="00FE43F0">
        <w:tc>
          <w:tcPr>
            <w:tcW w:w="516" w:type="dxa"/>
            <w:tcBorders>
              <w:top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a</w:t>
            </w:r>
          </w:p>
        </w:tc>
        <w:tc>
          <w:tcPr>
            <w:tcW w:w="2461" w:type="dxa"/>
            <w:tcBorders>
              <w:top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80-процентный стопорный клапан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b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Указатель уровня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c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Предохранительный клапан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d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Дистанционно регулируемый рабочий клапан с ограничительным клапаном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e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Топливный насос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f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Клапанная группа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g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Газонепроницаемый кожух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lastRenderedPageBreak/>
              <w:t>h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Заизолированный переходник системы питания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i</w:t>
            </w:r>
          </w:p>
        </w:tc>
        <w:tc>
          <w:tcPr>
            <w:tcW w:w="2461" w:type="dxa"/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Обратный клапан</w:t>
            </w:r>
          </w:p>
        </w:tc>
        <w:tc>
          <w:tcPr>
            <w:tcW w:w="420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  <w:tr w:rsidR="005B268D" w:rsidRPr="00444D62" w:rsidTr="00FE43F0">
        <w:tc>
          <w:tcPr>
            <w:tcW w:w="516" w:type="dxa"/>
            <w:tcBorders>
              <w:bottom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j</w:t>
            </w:r>
          </w:p>
        </w:tc>
        <w:tc>
          <w:tcPr>
            <w:tcW w:w="2461" w:type="dxa"/>
            <w:tcBorders>
              <w:bottom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  <w:r w:rsidRPr="00444D62">
              <w:rPr>
                <w:szCs w:val="20"/>
              </w:rPr>
              <w:t>Ограничитель давления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82" w:rsidRPr="00444D62" w:rsidRDefault="00792982" w:rsidP="005B268D">
            <w:pPr>
              <w:rPr>
                <w:szCs w:val="20"/>
              </w:rPr>
            </w:pPr>
          </w:p>
        </w:tc>
      </w:tr>
    </w:tbl>
    <w:p w:rsidR="005B268D" w:rsidRPr="00FE43F0" w:rsidRDefault="005B268D" w:rsidP="00FE43F0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E31FDF">
        <w:rPr>
          <w:sz w:val="18"/>
          <w:szCs w:val="18"/>
          <w:vertAlign w:val="superscript"/>
        </w:rPr>
        <w:t>1</w:t>
      </w:r>
      <w:r w:rsidRPr="00FE43F0">
        <w:rPr>
          <w:sz w:val="18"/>
          <w:szCs w:val="18"/>
        </w:rPr>
        <w:t xml:space="preserve">  Указатели технической модификации используются только применительно к клапанной группе или – в случае раздельного официального утверждения – к предохранительному клапану (разгрузочному клапану) и ограничителю давления».</w:t>
      </w:r>
    </w:p>
    <w:p w:rsidR="00792982" w:rsidRPr="00BD0D35" w:rsidRDefault="00FE43F0" w:rsidP="00FE43F0">
      <w:pPr>
        <w:pStyle w:val="H4GR"/>
        <w:rPr>
          <w:bCs/>
        </w:rPr>
      </w:pPr>
      <w:r>
        <w:tab/>
      </w:r>
      <w:r>
        <w:tab/>
      </w:r>
      <w:r w:rsidR="00792982" w:rsidRPr="00BD0D35">
        <w:t>Приложение 3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1.6</w:t>
      </w:r>
      <w:r w:rsidRPr="00BD0D35">
        <w:t>, заменить ссылку на приложение 15 ссылкой на приложение 16 (13 раз).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2.6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3.6</w:t>
      </w:r>
      <w:r w:rsidRPr="00BD0D35">
        <w:t>, заменить ссылку на приложение 15 ссылкой на приложение 16 (13 раз).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4.6</w:t>
      </w:r>
      <w:r w:rsidRPr="00BD0D35">
        <w:t>, заменить ссылку на приложение 15 ссылкой на приложение 16 (13 раз).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4.7</w:t>
      </w:r>
      <w:r w:rsidRPr="00BD0D35">
        <w:t>, заменить ссылку на приложение 15 ссылкой на приложение 16.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  <w:iCs/>
        </w:rPr>
        <w:t>Пункт 5.6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</w:rPr>
        <w:t>Пункт 6.6</w:t>
      </w:r>
      <w:r w:rsidRPr="00BD0D35">
        <w:t>, заменить ссылку на приложение 15 ссылкой на приложение 16 (4 раза).</w:t>
      </w:r>
    </w:p>
    <w:p w:rsidR="00792982" w:rsidRPr="00BD0D35" w:rsidRDefault="00792982" w:rsidP="00792982">
      <w:pPr>
        <w:pStyle w:val="SingleTxtGR"/>
        <w:spacing w:line="240" w:lineRule="auto"/>
      </w:pPr>
      <w:r w:rsidRPr="00BD0D35">
        <w:rPr>
          <w:i/>
        </w:rPr>
        <w:t>Пункт 7.6</w:t>
      </w:r>
      <w:r w:rsidRPr="00BD0D35">
        <w:t>, заменить ссылку на приложение 15 ссылкой на приложение 16 (11 раз).</w:t>
      </w:r>
    </w:p>
    <w:p w:rsidR="00792982" w:rsidRPr="00BD0D35" w:rsidRDefault="00792982" w:rsidP="00792982">
      <w:pPr>
        <w:pStyle w:val="H4GR"/>
        <w:rPr>
          <w:bCs/>
        </w:rPr>
      </w:pPr>
      <w:r w:rsidRPr="00BD0D35">
        <w:rPr>
          <w:rFonts w:eastAsia="MS Mincho"/>
          <w:bCs/>
          <w:i w:val="0"/>
          <w:lang w:eastAsia="ja-JP"/>
        </w:rPr>
        <w:tab/>
      </w:r>
      <w:r w:rsidRPr="00BD0D35">
        <w:rPr>
          <w:rFonts w:eastAsia="MS Mincho"/>
          <w:bCs/>
          <w:i w:val="0"/>
          <w:lang w:eastAsia="ja-JP"/>
        </w:rPr>
        <w:tab/>
      </w:r>
      <w:r w:rsidRPr="00BD0D35">
        <w:t>Приложение 4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6.1</w:t>
      </w:r>
      <w:r w:rsidRPr="00BD0D35">
        <w:t>, заменить ссылку на приложение 15 ссылкой на приложение 16.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i/>
        </w:rPr>
        <w:t>Пункт 6.2</w:t>
      </w:r>
      <w:r w:rsidRPr="00BD0D35">
        <w:t>, заменить ссылку на приложение 15 ссылкой на приложение 16 (10 раз)</w:t>
      </w:r>
      <w:r>
        <w:t>.</w:t>
      </w:r>
    </w:p>
    <w:p w:rsidR="00792982" w:rsidRPr="00BD0D35" w:rsidRDefault="00792982" w:rsidP="00792982">
      <w:pPr>
        <w:pStyle w:val="H4GR"/>
        <w:rPr>
          <w:bCs/>
        </w:rPr>
      </w:pPr>
      <w:r w:rsidRPr="00BD0D35">
        <w:tab/>
      </w:r>
      <w:r w:rsidRPr="00BD0D35">
        <w:tab/>
        <w:t>Приложение 5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6.1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6.2</w:t>
      </w:r>
      <w:r w:rsidRPr="00BD0D35">
        <w:t>, заменить ссылку на приложение 15 ссылкой на приложение 16 (6 раз).</w:t>
      </w:r>
    </w:p>
    <w:p w:rsidR="00792982" w:rsidRPr="00BD0D35" w:rsidRDefault="00792982" w:rsidP="00792982">
      <w:pPr>
        <w:pStyle w:val="H4GR"/>
        <w:rPr>
          <w:bCs/>
        </w:rPr>
      </w:pPr>
      <w:r w:rsidRPr="00BD0D35">
        <w:tab/>
      </w:r>
      <w:r w:rsidRPr="00BD0D35">
        <w:tab/>
        <w:t>Приложение 6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6.1</w:t>
      </w:r>
      <w:r w:rsidRPr="00BD0D35">
        <w:t>, заменить ссылку на приложение 15 ссылкой на приложение 16 (12 раз).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6.2</w:t>
      </w:r>
      <w:r w:rsidRPr="00BD0D35">
        <w:t>, заменить ссылку на приложение 15 ссылкой на приложение 16 (6 раз).</w:t>
      </w:r>
    </w:p>
    <w:p w:rsidR="00792982" w:rsidRPr="00BD0D35" w:rsidRDefault="00792982" w:rsidP="00792982">
      <w:pPr>
        <w:pStyle w:val="H4GR"/>
        <w:rPr>
          <w:bCs/>
        </w:rPr>
      </w:pPr>
      <w:r w:rsidRPr="00BD0D35">
        <w:tab/>
      </w:r>
      <w:r w:rsidRPr="00BD0D35">
        <w:tab/>
        <w:t>Приложение 7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1.6</w:t>
      </w:r>
      <w:r w:rsidRPr="00BD0D35">
        <w:t>, заменить ссылку на приложение 15 ссылкой на приложение 16 (12 раз)</w:t>
      </w:r>
      <w:r w:rsidRPr="00BD0D35">
        <w:rPr>
          <w:rFonts w:eastAsia="MS Mincho"/>
          <w:bCs/>
          <w:lang w:eastAsia="ja-JP"/>
        </w:rPr>
        <w:t>.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1.7</w:t>
      </w:r>
      <w:r w:rsidRPr="00BD0D35">
        <w:t>, заменить ссылку на приложение 15 ссылкой на приложение 16</w:t>
      </w:r>
      <w:r w:rsidRPr="00BD0D35">
        <w:rPr>
          <w:rFonts w:eastAsia="MS Mincho"/>
          <w:bCs/>
          <w:lang w:eastAsia="ja-JP"/>
        </w:rPr>
        <w:t>.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BD0D35">
        <w:rPr>
          <w:i/>
        </w:rPr>
        <w:t>Включить новый пункт 1.8</w:t>
      </w:r>
      <w:r w:rsidRPr="00BD0D35">
        <w:t xml:space="preserve"> следующего содержания:</w:t>
      </w:r>
    </w:p>
    <w:p w:rsidR="00792982" w:rsidRPr="00BD0D35" w:rsidRDefault="00792982" w:rsidP="00FE43F0">
      <w:pPr>
        <w:pStyle w:val="SingleTxtGR"/>
        <w:tabs>
          <w:tab w:val="clear" w:pos="1701"/>
        </w:tabs>
        <w:ind w:left="2268" w:hanging="1134"/>
      </w:pPr>
      <w:r>
        <w:t>«</w:t>
      </w:r>
      <w:r w:rsidRPr="00BD0D35">
        <w:t>1.8</w:t>
      </w:r>
      <w:r w:rsidRPr="00BD0D35">
        <w:tab/>
        <w:t>Если в сообщающейся системе СНГ используется дистанционно регулируемый запорный клапан, то применяются положения п</w:t>
      </w:r>
      <w:r>
        <w:t>ункта </w:t>
      </w:r>
      <w:r w:rsidRPr="00BD0D35">
        <w:t>6.1</w:t>
      </w:r>
      <w:r>
        <w:t>7</w:t>
      </w:r>
      <w:r w:rsidRPr="00BD0D35">
        <w:t>.3.3»</w:t>
      </w:r>
      <w:r>
        <w:t>.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 xml:space="preserve">Пункт 2.6, </w:t>
      </w:r>
      <w:r w:rsidRPr="00BD0D35">
        <w:rPr>
          <w:rFonts w:eastAsia="MS Mincho"/>
          <w:bCs/>
          <w:iCs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lang w:eastAsia="ja-JP"/>
        </w:rPr>
        <w:t>.</w:t>
      </w:r>
    </w:p>
    <w:p w:rsidR="00792982" w:rsidRPr="00BD0D35" w:rsidRDefault="00792982" w:rsidP="00FE43F0">
      <w:pPr>
        <w:pStyle w:val="SingleTxtGR"/>
        <w:rPr>
          <w:bCs/>
          <w:i/>
        </w:rPr>
      </w:pPr>
      <w:r w:rsidRPr="00BD0D35">
        <w:rPr>
          <w:bCs/>
          <w:i/>
        </w:rPr>
        <w:t xml:space="preserve">Включить новый пункт 2.7 </w:t>
      </w:r>
      <w:r w:rsidRPr="00BD0D35">
        <w:rPr>
          <w:bCs/>
          <w:iCs/>
        </w:rPr>
        <w:t>следующего содержания:</w:t>
      </w:r>
    </w:p>
    <w:p w:rsidR="00792982" w:rsidRPr="00BD0D35" w:rsidRDefault="00792982" w:rsidP="00FE43F0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BD0D35">
        <w:rPr>
          <w:bCs/>
        </w:rPr>
        <w:t>2.7</w:t>
      </w:r>
      <w:r w:rsidRPr="00BD0D35">
        <w:rPr>
          <w:bCs/>
        </w:rPr>
        <w:tab/>
        <w:t>Если используется дистанционно регулируемый запорный клапан в соответствии с пунктом 6.17.14.1 (в сообщающейся системе СНГ), то применяются положения, изложенные в том же пункте».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 xml:space="preserve">Пункт 3.6, </w:t>
      </w:r>
      <w:r w:rsidRPr="00BD0D35">
        <w:rPr>
          <w:rFonts w:eastAsia="MS Mincho"/>
          <w:bCs/>
          <w:iCs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lang w:eastAsia="ja-JP"/>
        </w:rPr>
        <w:t>.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lastRenderedPageBreak/>
        <w:t xml:space="preserve">Пункт 4.6, </w:t>
      </w:r>
      <w:r w:rsidRPr="00BD0D35">
        <w:rPr>
          <w:rFonts w:eastAsia="MS Mincho"/>
          <w:bCs/>
          <w:iCs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lang w:eastAsia="ja-JP"/>
        </w:rPr>
        <w:t>.</w:t>
      </w:r>
    </w:p>
    <w:p w:rsidR="00792982" w:rsidRPr="00BD0D35" w:rsidRDefault="00FE43F0" w:rsidP="00FE43F0">
      <w:pPr>
        <w:pStyle w:val="H4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792982" w:rsidRPr="00BD0D35">
        <w:rPr>
          <w:rFonts w:eastAsia="MS Mincho"/>
        </w:rPr>
        <w:t>Приложение 8</w:t>
      </w:r>
    </w:p>
    <w:p w:rsidR="00792982" w:rsidRPr="00BD0D35" w:rsidRDefault="00792982" w:rsidP="00FE43F0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 xml:space="preserve">Пункт 6, </w:t>
      </w:r>
      <w:r w:rsidRPr="00BD0D35">
        <w:rPr>
          <w:rFonts w:eastAsia="MS Mincho"/>
          <w:bCs/>
          <w:iCs/>
          <w:lang w:eastAsia="ja-JP"/>
        </w:rPr>
        <w:t>заменить ссылку на приложение 15 ссылкой на приложение 16 (12 раз).</w:t>
      </w:r>
    </w:p>
    <w:p w:rsidR="00792982" w:rsidRPr="00BD0D35" w:rsidRDefault="00FE43F0" w:rsidP="00FE43F0">
      <w:pPr>
        <w:pStyle w:val="H4GR"/>
        <w:rPr>
          <w:rFonts w:eastAsia="MS Mincho"/>
          <w:lang w:eastAsia="ja-JP"/>
        </w:rPr>
      </w:pPr>
      <w:r>
        <w:tab/>
      </w:r>
      <w:r>
        <w:tab/>
      </w:r>
      <w:r w:rsidR="00792982" w:rsidRPr="00BD0D35">
        <w:t>Приложение 10</w:t>
      </w:r>
    </w:p>
    <w:p w:rsidR="00792982" w:rsidRPr="00BD0D35" w:rsidRDefault="00792982" w:rsidP="00792982">
      <w:pPr>
        <w:pStyle w:val="SingleTxtGR"/>
        <w:rPr>
          <w:bCs/>
        </w:rPr>
      </w:pPr>
      <w:r w:rsidRPr="00BD0D35">
        <w:rPr>
          <w:bCs/>
          <w:i/>
        </w:rPr>
        <w:t>Пункт 2.6.1 (</w:t>
      </w:r>
      <w:r w:rsidRPr="00BD0D35">
        <w:rPr>
          <w:i/>
          <w:iCs/>
        </w:rPr>
        <w:t>испытание на огнестойкость</w:t>
      </w:r>
      <w:r w:rsidRPr="00BD0D35">
        <w:rPr>
          <w:bCs/>
          <w:i/>
        </w:rPr>
        <w:t>),</w:t>
      </w:r>
      <w:r w:rsidRPr="00BD0D35">
        <w:rPr>
          <w:bCs/>
        </w:rPr>
        <w:t xml:space="preserve"> сноску </w:t>
      </w:r>
      <w:r w:rsidRPr="00BD0D35">
        <w:rPr>
          <w:bCs/>
          <w:sz w:val="18"/>
          <w:szCs w:val="18"/>
          <w:vertAlign w:val="superscript"/>
        </w:rPr>
        <w:t>1</w:t>
      </w:r>
      <w:r w:rsidRPr="00BD0D35">
        <w:rPr>
          <w:bCs/>
        </w:rPr>
        <w:t xml:space="preserve"> изменить следующим образом:</w:t>
      </w:r>
    </w:p>
    <w:p w:rsidR="00792982" w:rsidRPr="00BD0D35" w:rsidRDefault="00792982" w:rsidP="00FE43F0">
      <w:pPr>
        <w:pStyle w:val="SingleTxtGR"/>
        <w:tabs>
          <w:tab w:val="clear" w:pos="1701"/>
        </w:tabs>
        <w:ind w:left="2268" w:hanging="1134"/>
      </w:pPr>
      <w:r w:rsidRPr="00BD0D35">
        <w:rPr>
          <w:bCs/>
        </w:rPr>
        <w:t>«</w:t>
      </w:r>
      <w:r w:rsidRPr="00BD0D35">
        <w:t>2.6.1</w:t>
      </w:r>
      <w:r w:rsidRPr="00BD0D35">
        <w:tab/>
        <w:t>Общие положения</w:t>
      </w:r>
    </w:p>
    <w:p w:rsidR="00792982" w:rsidRPr="00BD0D35" w:rsidRDefault="00FE43F0" w:rsidP="00FE43F0">
      <w:pPr>
        <w:pStyle w:val="SingleTxtGR"/>
        <w:tabs>
          <w:tab w:val="clear" w:pos="1701"/>
        </w:tabs>
        <w:ind w:left="2268" w:hanging="1134"/>
      </w:pPr>
      <w:r>
        <w:tab/>
      </w:r>
      <w:r w:rsidR="00792982" w:rsidRPr="00BD0D35">
        <w:t>Испытание на огнестойкость имеет целью …</w:t>
      </w:r>
    </w:p>
    <w:p w:rsidR="00792982" w:rsidRPr="00BD0D35" w:rsidRDefault="00FE43F0" w:rsidP="00FE43F0">
      <w:pPr>
        <w:pStyle w:val="SingleTxtGR"/>
        <w:tabs>
          <w:tab w:val="clear" w:pos="1701"/>
        </w:tabs>
        <w:ind w:left="2268" w:hanging="1134"/>
      </w:pPr>
      <w:r>
        <w:tab/>
      </w:r>
      <w:r w:rsidR="00792982" w:rsidRPr="00BD0D35">
        <w:t>…</w:t>
      </w:r>
    </w:p>
    <w:p w:rsidR="00792982" w:rsidRPr="00BD0D35" w:rsidRDefault="00FE43F0" w:rsidP="00E31FDF">
      <w:pPr>
        <w:pStyle w:val="SingleTxtGR"/>
        <w:tabs>
          <w:tab w:val="clear" w:pos="1701"/>
        </w:tabs>
        <w:ind w:left="2835" w:hanging="1701"/>
        <w:rPr>
          <w:rFonts w:eastAsia="MS Mincho"/>
          <w:bCs/>
          <w:lang w:eastAsia="ja-JP"/>
        </w:rPr>
      </w:pPr>
      <w:r w:rsidRPr="00770692">
        <w:tab/>
      </w:r>
      <w:r w:rsidR="00792982" w:rsidRPr="00BD0D35">
        <w:rPr>
          <w:lang w:val="en-US"/>
        </w:rPr>
        <w:t>h</w:t>
      </w:r>
      <w:r w:rsidR="00792982" w:rsidRPr="00BD0D35">
        <w:t>)</w:t>
      </w:r>
      <w:r w:rsidR="00792982" w:rsidRPr="00BD0D35">
        <w:tab/>
        <w:t>одинаковая конфигурация вспомогательного оборудования баллона</w:t>
      </w:r>
      <w:r w:rsidR="00792982" w:rsidRPr="00BD0D35">
        <w:rPr>
          <w:sz w:val="18"/>
          <w:szCs w:val="18"/>
          <w:vertAlign w:val="superscript"/>
        </w:rPr>
        <w:t>1</w:t>
      </w:r>
      <w:r w:rsidR="00792982" w:rsidRPr="00BD0D35">
        <w:t>.</w:t>
      </w:r>
    </w:p>
    <w:p w:rsidR="00792982" w:rsidRPr="00BD0D35" w:rsidRDefault="00792982" w:rsidP="00792982">
      <w:pPr>
        <w:spacing w:after="120"/>
        <w:ind w:left="2268" w:right="1133" w:hanging="1134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lang w:eastAsia="ja-JP"/>
        </w:rPr>
        <w:t>_______________</w:t>
      </w:r>
    </w:p>
    <w:p w:rsidR="00792982" w:rsidRPr="00BD0D35" w:rsidRDefault="00FE43F0" w:rsidP="00FE43F0">
      <w:pPr>
        <w:pStyle w:val="FootnoteText"/>
        <w:rPr>
          <w:rFonts w:eastAsia="MS Mincho"/>
          <w:bCs/>
          <w:lang w:eastAsia="ja-JP"/>
        </w:rPr>
      </w:pPr>
      <w:r>
        <w:rPr>
          <w:rFonts w:eastAsia="MS Mincho"/>
          <w:bCs/>
          <w:vertAlign w:val="superscript"/>
          <w:lang w:eastAsia="ja-JP"/>
        </w:rPr>
        <w:tab/>
      </w:r>
      <w:r w:rsidR="00792982" w:rsidRPr="00BD0D35">
        <w:rPr>
          <w:rFonts w:eastAsia="MS Mincho"/>
          <w:bCs/>
          <w:vertAlign w:val="superscript"/>
          <w:lang w:eastAsia="ja-JP"/>
        </w:rPr>
        <w:t>1</w:t>
      </w:r>
      <w:r w:rsidR="00792982" w:rsidRPr="00BD0D35">
        <w:rPr>
          <w:rFonts w:eastAsia="MS Mincho"/>
          <w:bCs/>
          <w:lang w:eastAsia="ja-JP"/>
        </w:rPr>
        <w:tab/>
      </w:r>
      <w:r w:rsidR="00792982" w:rsidRPr="00BD0D35">
        <w:t>Вспомогательное оборудование: модификации вспомогательного оборудования баллона и распространения их официального утверждения возможны без</w:t>
      </w:r>
      <w:r w:rsidR="00792982">
        <w:t xml:space="preserve"> </w:t>
      </w:r>
      <w:r w:rsidR="00792982" w:rsidRPr="00BD0D35">
        <w:t>повторного испытания, если они доведены до сведения органа по официальному утверждению типа, который официально утвердил баллон, и если считается</w:t>
      </w:r>
      <w:r w:rsidR="00792982">
        <w:t xml:space="preserve"> </w:t>
      </w:r>
      <w:r w:rsidR="00792982" w:rsidRPr="00BD0D35">
        <w:t>маловероятным, что они будут иметь ощутимые отрицательные последствия.</w:t>
      </w:r>
      <w:r w:rsidR="00792982">
        <w:t xml:space="preserve"> </w:t>
      </w:r>
      <w:r w:rsidR="00792982" w:rsidRPr="00BD0D35">
        <w:t>Орган по официальному утверждению типа может потребовать от уполномоченной технической службы протокол дополнительного испытания. Баллон</w:t>
      </w:r>
      <w:r w:rsidR="00792982">
        <w:t xml:space="preserve"> </w:t>
      </w:r>
      <w:r w:rsidR="00792982" w:rsidRPr="00BD0D35">
        <w:t>и конфигурации его вспомогательного оборудования должны быть указаны</w:t>
      </w:r>
      <w:r w:rsidR="00792982">
        <w:t xml:space="preserve"> </w:t>
      </w:r>
      <w:r w:rsidR="00792982" w:rsidRPr="00BD0D35">
        <w:t>в добавлении к приложению</w:t>
      </w:r>
      <w:r w:rsidR="00792982" w:rsidRPr="00BD0D35">
        <w:rPr>
          <w:lang w:val="en-GB"/>
        </w:rPr>
        <w:t> </w:t>
      </w:r>
      <w:r w:rsidR="00792982" w:rsidRPr="00BD0D35">
        <w:t>2В. Клапанная группа или – в случае раздельного официального утверждения – п</w:t>
      </w:r>
      <w:r w:rsidR="00792982" w:rsidRPr="00BD0D35">
        <w:rPr>
          <w:iCs/>
        </w:rPr>
        <w:t>редохранительный клапан (разгрузочный</w:t>
      </w:r>
      <w:r w:rsidR="00792982">
        <w:rPr>
          <w:iCs/>
        </w:rPr>
        <w:t xml:space="preserve"> </w:t>
      </w:r>
      <w:r w:rsidR="00792982" w:rsidRPr="00BD0D35">
        <w:rPr>
          <w:iCs/>
        </w:rPr>
        <w:t xml:space="preserve">клапан) и </w:t>
      </w:r>
      <w:r w:rsidR="00792982" w:rsidRPr="00BD0D35">
        <w:t>ограничитель давления, в отношении которых распространено официальное утверждение с учетом технических модификаций и на которые нанесен указатель в соответствии с приложением 2</w:t>
      </w:r>
      <w:r w:rsidR="00792982" w:rsidRPr="00BD0D35">
        <w:rPr>
          <w:lang w:val="en-GB"/>
        </w:rPr>
        <w:t>A</w:t>
      </w:r>
      <w:r w:rsidR="00792982" w:rsidRPr="00BD0D35">
        <w:t>, должны подвергаться новому испытанию на огнестойкость. Баллон и конфигурации</w:t>
      </w:r>
      <w:r w:rsidR="00792982">
        <w:t xml:space="preserve"> </w:t>
      </w:r>
      <w:r w:rsidR="00792982" w:rsidRPr="00BD0D35">
        <w:t>его вспомогательного оборудования должны быть указаны в добавлении</w:t>
      </w:r>
      <w:r w:rsidR="00792982">
        <w:t xml:space="preserve"> </w:t>
      </w:r>
      <w:r w:rsidR="00792982" w:rsidRPr="00BD0D35">
        <w:t>к приложению 2</w:t>
      </w:r>
      <w:r w:rsidR="00792982" w:rsidRPr="00BD0D35">
        <w:rPr>
          <w:lang w:val="en-GB"/>
        </w:rPr>
        <w:t>B</w:t>
      </w:r>
      <w:r w:rsidR="00792982" w:rsidRPr="00BD0D35">
        <w:t>»</w:t>
      </w:r>
      <w:r w:rsidR="00792982">
        <w:t>.</w:t>
      </w:r>
    </w:p>
    <w:p w:rsidR="00792982" w:rsidRPr="00BD0D35" w:rsidRDefault="00792982" w:rsidP="00792982">
      <w:pPr>
        <w:pStyle w:val="H4GR"/>
      </w:pPr>
      <w:r w:rsidRPr="00BD0D35">
        <w:tab/>
      </w:r>
      <w:r w:rsidRPr="00BD0D35">
        <w:tab/>
        <w:t>Приложение 11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1.6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792982">
      <w:pPr>
        <w:pStyle w:val="SingleTxtGR"/>
        <w:rPr>
          <w:bCs/>
        </w:rPr>
      </w:pPr>
      <w:r w:rsidRPr="00BD0D35">
        <w:rPr>
          <w:i/>
          <w:iCs/>
        </w:rPr>
        <w:t>Пункт 2.6</w:t>
      </w:r>
      <w:r w:rsidRPr="00BD0D35">
        <w:t>, заменить ссылку на приложение 15 ссылкой на приложение 16 (6 раз).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3.6.1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9D0C51">
      <w:pPr>
        <w:pStyle w:val="SingleTxtGR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3.6.2</w:t>
      </w:r>
      <w:r w:rsidRPr="00BD0D35">
        <w:t>, заменить ссылку на приложение 15 ссылкой на приложение 16 (6 раз)</w:t>
      </w:r>
      <w:r w:rsidRPr="00BD0D35">
        <w:rPr>
          <w:bCs/>
        </w:rPr>
        <w:t>.</w:t>
      </w:r>
    </w:p>
    <w:p w:rsidR="00792982" w:rsidRPr="00BD0D35" w:rsidRDefault="009D0C51" w:rsidP="009D0C51">
      <w:pPr>
        <w:pStyle w:val="H4GR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792982" w:rsidRPr="00BD0D35">
        <w:rPr>
          <w:rFonts w:eastAsia="MS Mincho"/>
        </w:rPr>
        <w:t>Приложение 12</w:t>
      </w:r>
    </w:p>
    <w:p w:rsidR="00792982" w:rsidRPr="00BD0D35" w:rsidRDefault="00792982" w:rsidP="009D0C51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Пункт 6,</w:t>
      </w:r>
      <w:r w:rsidRPr="00BD0D35">
        <w:rPr>
          <w:rFonts w:eastAsia="MS Mincho"/>
          <w:bCs/>
          <w:lang w:eastAsia="ja-JP"/>
        </w:rPr>
        <w:t xml:space="preserve"> </w:t>
      </w:r>
      <w:r w:rsidRPr="00BD0D35">
        <w:t>заменить ссылку на приложение 15 ссылкой на приложение 16 (6 раз)</w:t>
      </w:r>
      <w:r w:rsidRPr="00BD0D35">
        <w:rPr>
          <w:bCs/>
        </w:rPr>
        <w:t>.</w:t>
      </w:r>
    </w:p>
    <w:p w:rsidR="00792982" w:rsidRPr="00BD0D35" w:rsidRDefault="00792982" w:rsidP="00792982">
      <w:pPr>
        <w:pStyle w:val="H4GR"/>
        <w:rPr>
          <w:bCs/>
        </w:rPr>
      </w:pPr>
      <w:r w:rsidRPr="00BD0D35">
        <w:tab/>
      </w:r>
      <w:r w:rsidRPr="00BD0D35">
        <w:tab/>
        <w:t>Приложение 13</w:t>
      </w:r>
    </w:p>
    <w:p w:rsidR="00792982" w:rsidRPr="00BD0D35" w:rsidRDefault="00792982" w:rsidP="00792982">
      <w:pPr>
        <w:pStyle w:val="SingleTxtGR"/>
      </w:pPr>
      <w:r w:rsidRPr="00BD0D35">
        <w:rPr>
          <w:i/>
          <w:iCs/>
        </w:rPr>
        <w:t>Пункт 6.1</w:t>
      </w:r>
      <w:r w:rsidRPr="00BD0D35">
        <w:t>, заменить ссылку на приложение 15 ссылкой на приложение 16 (10 раз).</w:t>
      </w:r>
    </w:p>
    <w:p w:rsidR="00792982" w:rsidRPr="00BD0D35" w:rsidRDefault="00792982" w:rsidP="009D0C51">
      <w:pPr>
        <w:pStyle w:val="SingleTxtGR"/>
        <w:rPr>
          <w:rFonts w:eastAsia="MS Mincho"/>
          <w:bCs/>
          <w:lang w:eastAsia="ja-JP"/>
        </w:rPr>
      </w:pPr>
      <w:r w:rsidRPr="00BD0D35">
        <w:rPr>
          <w:i/>
          <w:iCs/>
        </w:rPr>
        <w:t>Пункт 6.2</w:t>
      </w:r>
      <w:r w:rsidRPr="00BD0D35">
        <w:t>, заменить ссылку на приложение 15 ссылкой на приложение 16 (6 раз).</w:t>
      </w:r>
    </w:p>
    <w:p w:rsidR="00792982" w:rsidRPr="00BD0D35" w:rsidRDefault="009D0C51" w:rsidP="009D0C51">
      <w:pPr>
        <w:pStyle w:val="H4GR"/>
      </w:pPr>
      <w:r>
        <w:tab/>
      </w:r>
      <w:r>
        <w:tab/>
      </w:r>
      <w:r w:rsidR="00792982" w:rsidRPr="00BD0D35">
        <w:t>Приложение 14</w:t>
      </w:r>
    </w:p>
    <w:p w:rsidR="00792982" w:rsidRPr="00BD0D35" w:rsidRDefault="00792982" w:rsidP="009D0C51">
      <w:pPr>
        <w:pStyle w:val="SingleTxtGR"/>
      </w:pPr>
      <w:r w:rsidRPr="00BD0D35">
        <w:rPr>
          <w:i/>
        </w:rPr>
        <w:t>Включить новые пункты 6</w:t>
      </w:r>
      <w:r>
        <w:rPr>
          <w:i/>
        </w:rPr>
        <w:t>–</w:t>
      </w:r>
      <w:r w:rsidRPr="00BD0D35">
        <w:rPr>
          <w:i/>
        </w:rPr>
        <w:t>6.4</w:t>
      </w:r>
      <w:r w:rsidRPr="00BD0D35">
        <w:t xml:space="preserve"> следующего содержания: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268" w:hanging="1134"/>
      </w:pPr>
      <w:r>
        <w:t>«</w:t>
      </w:r>
      <w:r w:rsidRPr="00BD0D35">
        <w:t>6.</w:t>
      </w:r>
      <w:r w:rsidRPr="00BD0D35">
        <w:tab/>
        <w:t xml:space="preserve">Если электронный управляющий блок (ЭУБ) предназначен для установки в качестве элемента оборудования сообщающейся системы СНГ, то </w:t>
      </w:r>
      <w:r w:rsidRPr="00BD0D35">
        <w:rPr>
          <w:iCs/>
        </w:rPr>
        <w:t xml:space="preserve">после каждой операции переключения на </w:t>
      </w:r>
      <w:r w:rsidRPr="00BD0D35">
        <w:t>режим работы на</w:t>
      </w:r>
      <w:r w:rsidRPr="00BD0D35">
        <w:rPr>
          <w:iCs/>
        </w:rPr>
        <w:t xml:space="preserve"> СНГ</w:t>
      </w:r>
      <w:r w:rsidRPr="00BD0D35">
        <w:t xml:space="preserve"> он должен </w:t>
      </w:r>
      <w:r w:rsidRPr="00BD0D35">
        <w:rPr>
          <w:iCs/>
        </w:rPr>
        <w:t>− за счет регулирования</w:t>
      </w:r>
      <w:r w:rsidRPr="00BD0D35">
        <w:t xml:space="preserve"> сис</w:t>
      </w:r>
      <w:r w:rsidR="00E31FDF">
        <w:t>темы переключения видов топлива </w:t>
      </w:r>
      <w:r w:rsidRPr="00BD0D35">
        <w:rPr>
          <w:iCs/>
        </w:rPr>
        <w:t>− блокировать функционирование транспортного средства в режиме работы на бензине до тех пор, пока не будет израсходован объем жидкого топлива, эквивалентный объему, поступившему в бак СНГ в ходе такой операции.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lastRenderedPageBreak/>
        <w:tab/>
      </w:r>
      <w:r w:rsidRPr="00BD0D35">
        <w:rPr>
          <w:bCs/>
        </w:rPr>
        <w:t xml:space="preserve">Независимо от данного положения, ЭУБ может допускать переключение на </w:t>
      </w:r>
      <w:r w:rsidRPr="00BD0D35">
        <w:rPr>
          <w:bCs/>
          <w:iCs/>
        </w:rPr>
        <w:t>режим работы на бензине, если сбой в функционировании системы СНГ делает ее неработоспособной. Такой сбой должен четко сигнализироваться водителю.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ab/>
        <w:t xml:space="preserve">В случае </w:t>
      </w:r>
      <w:r w:rsidRPr="00BD0D35">
        <w:rPr>
          <w:bCs/>
          <w:iCs/>
        </w:rPr>
        <w:t>неработоспособности системы СНГ</w:t>
      </w:r>
      <w:r w:rsidRPr="00BD0D35">
        <w:rPr>
          <w:bCs/>
        </w:rPr>
        <w:t xml:space="preserve"> на линии потока устанавливается дистанционно регулируемый запорный клапан, соответствующий требованиям пункта 6.17.3.3, для предотвращения любого поступления бензина в бак СНГ после переключения на режим работы на бензине. 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6.1</w:t>
      </w:r>
      <w:r w:rsidRPr="00BD0D35">
        <w:tab/>
        <w:t>Максимальный объем жидкого топлива, впрыскиваемого в ходе операций переключения, не должен превышать 0,4 литра, а минимальный объем бака должен составлять не менее 20 литров.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6.2</w:t>
      </w:r>
      <w:r w:rsidRPr="00BD0D35">
        <w:tab/>
        <w:t>В целях проверки соответствия требованиям пункта 6 настоящего приложения ЭУБ испытывают следующим образом: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a)</w:t>
      </w:r>
      <w:r w:rsidRPr="009D0C51">
        <w:rPr>
          <w:iCs/>
        </w:rPr>
        <w:tab/>
        <w:t>установить систему СНГ на транспортное средство;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b)</w:t>
      </w:r>
      <w:r w:rsidRPr="009D0C51">
        <w:rPr>
          <w:iCs/>
        </w:rPr>
        <w:tab/>
        <w:t>перевести систему переключения видов топлива в режим работы на СНГ;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c)</w:t>
      </w:r>
      <w:r w:rsidRPr="009D0C51">
        <w:rPr>
          <w:iCs/>
        </w:rPr>
        <w:tab/>
        <w:t>прогреть двигатель до тех пор, пока не будут сбалансированы температура всех охлаждающих и смазывающих средств и давление в системе смазки;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d)</w:t>
      </w:r>
      <w:r w:rsidRPr="009D0C51">
        <w:rPr>
          <w:iCs/>
        </w:rPr>
        <w:tab/>
        <w:t>двигатель продолжает работать на самых малых оборотах холостого хода;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e)</w:t>
      </w:r>
      <w:r w:rsidRPr="009D0C51">
        <w:rPr>
          <w:iCs/>
        </w:rPr>
        <w:tab/>
        <w:t>произвести переключение с режима работы на СНГ на режим работы на бензине и обратно;</w:t>
      </w:r>
    </w:p>
    <w:p w:rsidR="00792982" w:rsidRPr="009D0C51" w:rsidRDefault="00792982" w:rsidP="009D0C51">
      <w:pPr>
        <w:pStyle w:val="SingleTxtGR"/>
        <w:tabs>
          <w:tab w:val="clear" w:pos="1701"/>
        </w:tabs>
        <w:ind w:left="2835" w:hanging="1701"/>
        <w:rPr>
          <w:iCs/>
        </w:rPr>
      </w:pPr>
      <w:r w:rsidRPr="009D0C51">
        <w:rPr>
          <w:iCs/>
        </w:rPr>
        <w:tab/>
        <w:t>f)</w:t>
      </w:r>
      <w:r w:rsidRPr="009D0C51">
        <w:rPr>
          <w:iCs/>
        </w:rPr>
        <w:tab/>
        <w:t>перевести систему переключения видов топлива в режим работы на бензине.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tab/>
        <w:t>Толкование результатов испытания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rPr>
          <w:bCs/>
        </w:rPr>
        <w:tab/>
      </w:r>
      <w:r w:rsidRPr="00BD0D35">
        <w:rPr>
          <w:bCs/>
        </w:rPr>
        <w:tab/>
      </w:r>
      <w:r w:rsidRPr="00BD0D35">
        <w:t>Для толкования результатов испытания используют следующие критерии: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3402" w:hanging="2268"/>
      </w:pPr>
      <w:r w:rsidRPr="00BD0D35">
        <w:tab/>
      </w:r>
      <w:r w:rsidRPr="00BD0D35">
        <w:tab/>
        <w:t>i)</w:t>
      </w:r>
      <w:r w:rsidRPr="00BD0D35">
        <w:tab/>
        <w:t xml:space="preserve">режим работы на бензине отключен </w:t>
      </w:r>
      <w:r w:rsidRPr="00BD0D35">
        <w:rPr>
          <w:iCs/>
        </w:rPr>
        <w:t xml:space="preserve">до тех пор, пока не будет израсходован объем жидкого топлива, эквивалентный </w:t>
      </w:r>
      <w:r w:rsidRPr="00BD0D35">
        <w:t>0,4 литра. Такое потребление можно рассчитать при помощи измерительного устройства на испытательном стенде. Его можно рассчитать на основе сигналов ЭУБ СПГ, указывающих на расход топлива и считываемых при помощи соответствующего сканирующего устройства, если надежность таких сигналов предварительно доказана.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Испытание повторяют также на самых высоких оборотах холостого хода.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6.3</w:t>
      </w:r>
      <w:r w:rsidRPr="00BD0D35">
        <w:tab/>
        <w:t>С целью измерения объема жидкого топлива, поступление которого происходит в ходе осуществления операций переключения, проводят следующее испытание: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установить систему СНГ (за исключением баллона) на транспортное средство;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tab/>
        <w:t>b)</w:t>
      </w:r>
      <w:r w:rsidRPr="00BD0D35">
        <w:tab/>
        <w:t>поместить баллон на систему взвешивания топлива и заполнить бак СНГ;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tab/>
        <w:t>c)</w:t>
      </w:r>
      <w:r w:rsidRPr="00BD0D35">
        <w:tab/>
        <w:t>после того, как давление в системе СНГ будет доведено до значения, соответствующего обычным условиям эксплуатации, зарегистрировать показания системы взвешивания топлива (</w:t>
      </w:r>
      <w:r w:rsidRPr="002879E1">
        <w:t>W1)</w:t>
      </w:r>
      <w:r w:rsidRPr="00BD0D35">
        <w:t>;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tab/>
        <w:t>d)</w:t>
      </w:r>
      <w:r w:rsidRPr="00BD0D35">
        <w:tab/>
        <w:t>отключить функцию ЭУБ, указанную в пункте 6 выше;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lastRenderedPageBreak/>
        <w:tab/>
        <w:t>e)</w:t>
      </w:r>
      <w:r w:rsidRPr="00BD0D35">
        <w:tab/>
        <w:t>по крайней мере 10 раз произвести переключение с режима работы на СНГ на режим работы на бензине и обратно;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f)</w:t>
      </w:r>
      <w:r w:rsidRPr="00BD0D35">
        <w:tab/>
        <w:t>зарегистрировать показания системы взвешивания топлива (W</w:t>
      </w:r>
      <w:r w:rsidRPr="002879E1">
        <w:t>2</w:t>
      </w:r>
      <w:r w:rsidRPr="00BD0D35">
        <w:t>).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Объем бензина, впрыскиваемого при каждой операции переключения, рассчитывают по следующей формуле:</w:t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268" w:right="1134"/>
        <w:jc w:val="both"/>
      </w:pPr>
      <w:r w:rsidRPr="00BD0D35">
        <w:t>Vsw = (W2–W1) / #SW / D</w:t>
      </w:r>
      <w:r w:rsidRPr="002879E1">
        <w:t>бензин,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где: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D</w:t>
      </w:r>
      <w:r w:rsidRPr="002879E1">
        <w:t>бензин</w:t>
      </w:r>
      <w:r w:rsidRPr="00BD0D35">
        <w:rPr>
          <w:vertAlign w:val="subscript"/>
        </w:rPr>
        <w:t xml:space="preserve"> </w:t>
      </w:r>
      <w:r w:rsidRPr="00BD0D35">
        <w:t>= 743 кг/м</w:t>
      </w:r>
      <w:r w:rsidRPr="00BD0D35">
        <w:rPr>
          <w:vertAlign w:val="superscript"/>
        </w:rPr>
        <w:t>3</w:t>
      </w:r>
      <w:r w:rsidRPr="00BD0D35">
        <w:t>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#SW – число операций переключения с режима работы на СНГ на режим работы на бензине и обратно в ходе испытания.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Система взвешивания топлива должна иметь следующие характеристики: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погрешность: ±0,02% полной шкалы или меньше;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b)</w:t>
      </w:r>
      <w:r w:rsidRPr="00BD0D35">
        <w:tab/>
        <w:t>разрешение: 20 г;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c)</w:t>
      </w:r>
      <w:r w:rsidRPr="00BD0D35">
        <w:tab/>
        <w:t>точность: ±2% считываемых показаний или ±0,3% полной шкалы в зависимости от того, какое из этих значений больше.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6.4</w:t>
      </w:r>
      <w:r w:rsidRPr="00BD0D35">
        <w:tab/>
        <w:t>На ЭУБ наносят маркировку, содержащую следующие разборчивые и нестираемые данные: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буквы "ICS"; и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 xml:space="preserve">b) </w:t>
      </w:r>
      <w:r w:rsidRPr="00BD0D35">
        <w:tab/>
        <w:t>значение 0,4 литра; и</w:t>
      </w:r>
      <w:r w:rsidRPr="00BD0D35">
        <w:tab/>
      </w:r>
    </w:p>
    <w:p w:rsidR="00792982" w:rsidRPr="00BD0D35" w:rsidRDefault="00792982" w:rsidP="00792982">
      <w:pPr>
        <w:tabs>
          <w:tab w:val="left" w:pos="2835"/>
          <w:tab w:val="left" w:pos="8505"/>
        </w:tabs>
        <w:spacing w:before="120" w:after="120" w:line="240" w:lineRule="auto"/>
        <w:ind w:left="2835" w:right="1134" w:hanging="567"/>
        <w:jc w:val="both"/>
        <w:rPr>
          <w:bCs/>
        </w:rPr>
      </w:pPr>
      <w:r w:rsidRPr="00BD0D35">
        <w:t>c)</w:t>
      </w:r>
      <w:r w:rsidRPr="00BD0D35">
        <w:tab/>
        <w:t>знак официального утверждения, предусмотренный в пункте 5.4 настоящих Правил»</w:t>
      </w:r>
      <w:r>
        <w:t>.</w:t>
      </w:r>
    </w:p>
    <w:p w:rsidR="00792982" w:rsidRPr="00BD0D35" w:rsidRDefault="00792982" w:rsidP="00792982">
      <w:pPr>
        <w:spacing w:after="120"/>
        <w:ind w:left="1134" w:right="1133"/>
        <w:jc w:val="both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Включить новое приложение 15</w:t>
      </w:r>
      <w:r w:rsidRPr="00BD0D35">
        <w:rPr>
          <w:rFonts w:eastAsia="MS Mincho"/>
          <w:bCs/>
          <w:lang w:eastAsia="ja-JP"/>
        </w:rPr>
        <w:t xml:space="preserve"> следующего содержания:</w:t>
      </w:r>
    </w:p>
    <w:p w:rsidR="00792982" w:rsidRPr="00BD0D35" w:rsidRDefault="00792982" w:rsidP="00792982">
      <w:pPr>
        <w:pStyle w:val="HChGR"/>
        <w:rPr>
          <w:bCs/>
        </w:rPr>
      </w:pPr>
      <w:r w:rsidRPr="00BD0D35">
        <w:rPr>
          <w:b w:val="0"/>
          <w:sz w:val="20"/>
        </w:rPr>
        <w:t>«</w:t>
      </w:r>
      <w:r w:rsidRPr="00BD0D35">
        <w:t>Приложение 15</w:t>
      </w:r>
    </w:p>
    <w:p w:rsidR="00792982" w:rsidRPr="00BD0D35" w:rsidRDefault="00792982" w:rsidP="00792982">
      <w:pPr>
        <w:pStyle w:val="HChGR"/>
        <w:rPr>
          <w:bCs/>
        </w:rPr>
      </w:pPr>
      <w:r w:rsidRPr="00BD0D35">
        <w:rPr>
          <w:bCs/>
        </w:rPr>
        <w:tab/>
      </w:r>
      <w:r w:rsidRPr="00BD0D35">
        <w:rPr>
          <w:bCs/>
        </w:rPr>
        <w:tab/>
        <w:t>Положения, касающиеся официального утверждения газопровода(ов) шовного типа, газопровода(ов), изготовленного(ых) из материалов, не являющихся медью, нержавеющей сталью и сталью с антикоррозийным покрытием, и их соединительные муфты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1.</w:t>
      </w:r>
      <w:r w:rsidRPr="00BD0D35">
        <w:tab/>
        <w:t>Определения: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Газопровод: см. пункт 2.21 настоящих Правил.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2.</w:t>
      </w:r>
      <w:r w:rsidRPr="00BD0D35">
        <w:tab/>
        <w:t xml:space="preserve">Классификация элементов оборудования (согласно пункту 2, рис. 1): 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газопроводы и их соединительная(ые) муфта(ы) могут относиться к классу 0, 1, 2 или 2A.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3.</w:t>
      </w:r>
      <w:r w:rsidRPr="00BD0D35">
        <w:tab/>
        <w:t xml:space="preserve">Классификационное давление: 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Детали класса 0:</w:t>
      </w:r>
      <w:r w:rsidRPr="00BD0D35">
        <w:tab/>
      </w:r>
      <w:r w:rsidRPr="00BD0D35">
        <w:tab/>
        <w:t>заявленное ЭД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Детали класса 1:</w:t>
      </w:r>
      <w:r w:rsidRPr="00BD0D35">
        <w:tab/>
      </w:r>
      <w:r w:rsidRPr="00BD0D35">
        <w:tab/>
        <w:t>3 000 кПа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Детали класса 2:</w:t>
      </w:r>
      <w:r w:rsidRPr="00BD0D35">
        <w:tab/>
        <w:t xml:space="preserve"> </w:t>
      </w:r>
      <w:r>
        <w:t xml:space="preserve">  </w:t>
      </w:r>
      <w:r w:rsidRPr="00BD0D35">
        <w:t>450 кПа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>
        <w:tab/>
        <w:t>Детали класса 2A:</w:t>
      </w:r>
      <w:r>
        <w:tab/>
      </w:r>
      <w:r>
        <w:tab/>
        <w:t xml:space="preserve">   </w:t>
      </w:r>
      <w:r w:rsidRPr="00BD0D35">
        <w:t>120 кПа</w:t>
      </w:r>
    </w:p>
    <w:p w:rsidR="00792982" w:rsidRPr="00BD0D35" w:rsidRDefault="00792982" w:rsidP="00E31FDF">
      <w:pPr>
        <w:pStyle w:val="SingleTxtGR"/>
        <w:keepNext/>
        <w:keepLines/>
        <w:tabs>
          <w:tab w:val="clear" w:pos="1701"/>
        </w:tabs>
        <w:ind w:left="2268" w:hanging="1134"/>
      </w:pPr>
      <w:r w:rsidRPr="00BD0D35">
        <w:lastRenderedPageBreak/>
        <w:t>4.</w:t>
      </w:r>
      <w:r w:rsidRPr="00BD0D35">
        <w:tab/>
        <w:t>Расчетные значения температуры: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от –20 °C до 120 °C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Если температура выходит за пределы вышеупомянутых значений, то применяют специальные условия испытаний.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5.</w:t>
      </w:r>
      <w:r w:rsidRPr="00BD0D35">
        <w:tab/>
        <w:t>Общие конструкционные нормативы: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Соединительные муфты должны быть совместимы с газопроводом.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Должны быть приняты конкретные меры для недопущения гальванической коррозии.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 из нержавеющей стали должен использоваться только в сочетании с соединительными муфтами из нержавеющей стали.</w:t>
      </w:r>
    </w:p>
    <w:p w:rsidR="00792982" w:rsidRPr="00BD0D35" w:rsidRDefault="00792982" w:rsidP="0079298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Cs/>
          <w:lang w:eastAsia="ja-JP"/>
        </w:rPr>
      </w:pPr>
      <w:r w:rsidRPr="00BD0D35">
        <w:tab/>
        <w:t>В газопроводах шовного типа допускается лишь прямая продольная сварка (в направлении самой трубы).</w:t>
      </w:r>
    </w:p>
    <w:p w:rsidR="00792982" w:rsidRPr="00BD0D35" w:rsidRDefault="00792982" w:rsidP="00792982">
      <w:pPr>
        <w:pStyle w:val="SingleTxtGR"/>
        <w:keepNext/>
        <w:tabs>
          <w:tab w:val="clear" w:pos="1701"/>
        </w:tabs>
        <w:ind w:left="2268" w:hanging="1134"/>
      </w:pPr>
      <w:r w:rsidRPr="00BD0D35">
        <w:t>6.</w:t>
      </w:r>
      <w:r w:rsidRPr="00BD0D35">
        <w:tab/>
        <w:t>Применимые процедуры испытаний: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6.1</w:t>
      </w:r>
      <w:r w:rsidRPr="00BD0D35">
        <w:tab/>
        <w:t xml:space="preserve">Для деталей классов 0 и 1: 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499"/>
        <w:gridCol w:w="2625"/>
      </w:tblGrid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4.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5.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 xml:space="preserve">Испытание на устойчивость </w:t>
            </w:r>
            <w:r w:rsidR="009D0C51">
              <w:br/>
            </w:r>
            <w:r w:rsidRPr="00BD0D35">
              <w:t>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6.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9D0C51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 xml:space="preserve">Испытание на устойчивость </w:t>
            </w:r>
            <w:r w:rsidR="009D0C51">
              <w:br/>
            </w:r>
            <w:r w:rsidRPr="00BD0D35">
              <w:t>к низкой</w:t>
            </w:r>
            <w:r w:rsidR="009D0C51" w:rsidRPr="009D0C51">
              <w:t xml:space="preserve"> </w:t>
            </w:r>
            <w:r w:rsidRPr="00BD0D35">
              <w:t>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7.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11**.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 xml:space="preserve">Испытание на коррозионную </w:t>
            </w:r>
            <w:r w:rsidR="009D0C51">
              <w:br/>
            </w:r>
            <w:r w:rsidRPr="00BD0D35">
              <w:t>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12</w:t>
            </w:r>
            <w:r w:rsidRPr="00BD0D35">
              <w:rPr>
                <w:rStyle w:val="FootnoteReference"/>
              </w:rPr>
              <w:t>1</w:t>
            </w:r>
            <w:r w:rsidRPr="00BD0D35">
              <w:t>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Испытание на теплостойкость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bottom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13**.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Испытание на стойкость к действию озона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bottom w:val="none" w:sz="0" w:space="0" w:color="auto"/>
            </w:tcBorders>
          </w:tcPr>
          <w:p w:rsidR="00792982" w:rsidRPr="00BD0D35" w:rsidRDefault="00792982" w:rsidP="009D0C51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Приложение16, пункт 14**.</w:t>
            </w:r>
          </w:p>
        </w:tc>
      </w:tr>
    </w:tbl>
    <w:p w:rsidR="00792982" w:rsidRPr="00BD0D35" w:rsidRDefault="00792982" w:rsidP="00792982">
      <w:pPr>
        <w:pStyle w:val="SingleTxtGR"/>
        <w:tabs>
          <w:tab w:val="clear" w:pos="1701"/>
        </w:tabs>
        <w:spacing w:before="120"/>
        <w:rPr>
          <w:bCs/>
        </w:rPr>
      </w:pPr>
      <w:r w:rsidRPr="00BD0D35">
        <w:rPr>
          <w:bCs/>
        </w:rPr>
        <w:t>6.2</w:t>
      </w:r>
      <w:r w:rsidRPr="00BD0D35">
        <w:rPr>
          <w:bCs/>
        </w:rPr>
        <w:tab/>
        <w:t>Для деталей класса 2 или 2A: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499"/>
        <w:gridCol w:w="2625"/>
      </w:tblGrid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Приложение 16, пункт 4.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Приложение 16, пункт 5.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 xml:space="preserve">Испытание на устойчивость </w:t>
            </w:r>
            <w:r w:rsidR="009D0C51">
              <w:rPr>
                <w:bCs/>
              </w:rPr>
              <w:br/>
            </w:r>
            <w:r w:rsidRPr="00BD0D35">
              <w:rPr>
                <w:bCs/>
              </w:rPr>
              <w:t>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Приложение 16, пункт 6.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 xml:space="preserve">Испытание на устойчивость </w:t>
            </w:r>
            <w:r w:rsidR="009D0C51">
              <w:rPr>
                <w:bCs/>
              </w:rPr>
              <w:br/>
            </w:r>
            <w:r w:rsidRPr="00BD0D35">
              <w:rPr>
                <w:bCs/>
              </w:rPr>
              <w:t>к 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Приложение 16, пункт 7.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  <w:rPr>
                <w:bCs/>
              </w:rPr>
            </w:pPr>
            <w:r w:rsidRPr="00BD0D35">
              <w:rPr>
                <w:bCs/>
              </w:rPr>
              <w:t>Приложение 16, пункт 11</w:t>
            </w:r>
            <w:r w:rsidRPr="002879E1">
              <w:rPr>
                <w:rStyle w:val="FootnoteReference"/>
                <w:bCs/>
                <w:sz w:val="20"/>
                <w:vertAlign w:val="baseline"/>
              </w:rPr>
              <w:footnoteReference w:customMarkFollows="1" w:id="2"/>
              <w:t>**</w:t>
            </w:r>
            <w:r w:rsidRPr="002879E1">
              <w:rPr>
                <w:bCs/>
              </w:rPr>
              <w:t>.</w:t>
            </w:r>
          </w:p>
        </w:tc>
      </w:tr>
      <w:tr w:rsidR="00792982" w:rsidRPr="00BD0D35" w:rsidTr="009D0C51">
        <w:tc>
          <w:tcPr>
            <w:tcW w:w="3499" w:type="dxa"/>
          </w:tcPr>
          <w:p w:rsidR="00792982" w:rsidRPr="00BD0D35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 xml:space="preserve">Испытание на коррозионную </w:t>
            </w:r>
            <w:r w:rsidR="009D0C51">
              <w:br/>
            </w:r>
            <w:r w:rsidRPr="00BD0D35">
              <w:t>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2982" w:rsidRPr="00300147" w:rsidRDefault="00792982" w:rsidP="00792982">
            <w:pPr>
              <w:pStyle w:val="SingleTxtGR"/>
              <w:spacing w:before="60" w:after="60"/>
              <w:ind w:left="0" w:right="0"/>
              <w:jc w:val="left"/>
            </w:pPr>
            <w:r w:rsidRPr="00BD0D35">
              <w:t>Приложение 16, пункт 12</w:t>
            </w:r>
            <w:r w:rsidRPr="00300147">
              <w:rPr>
                <w:sz w:val="18"/>
                <w:vertAlign w:val="superscript"/>
              </w:rPr>
              <w:t>2</w:t>
            </w:r>
            <w:r>
              <w:t>.</w:t>
            </w:r>
          </w:p>
        </w:tc>
      </w:tr>
    </w:tbl>
    <w:p w:rsidR="00792982" w:rsidRDefault="00792982" w:rsidP="00792982">
      <w:pPr>
        <w:tabs>
          <w:tab w:val="left" w:pos="2268"/>
        </w:tabs>
        <w:spacing w:after="120"/>
        <w:ind w:left="2268" w:right="1133" w:hanging="1134"/>
        <w:jc w:val="both"/>
      </w:pPr>
      <w:r w:rsidRPr="00BD0D35">
        <w:t>6.3</w:t>
      </w:r>
      <w:r w:rsidRPr="00BD0D35">
        <w:tab/>
        <w:t>Конкретные требования в отношении газопровода и его соединительных муфт:</w:t>
      </w:r>
    </w:p>
    <w:p w:rsidR="00792982" w:rsidRPr="00BD0D35" w:rsidRDefault="00792982" w:rsidP="0079298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Cs/>
          <w:lang w:eastAsia="ja-JP"/>
        </w:rPr>
      </w:pPr>
      <w:r w:rsidRPr="00BD0D35">
        <w:t>6.3.1</w:t>
      </w:r>
      <w:r w:rsidRPr="00BD0D35">
        <w:tab/>
        <w:t>Испытание на износоустойчивость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rPr>
          <w:rFonts w:eastAsia="MS Mincho"/>
          <w:bCs/>
          <w:lang w:eastAsia="ja-JP"/>
        </w:rPr>
        <w:lastRenderedPageBreak/>
        <w:tab/>
      </w:r>
      <w:r w:rsidRPr="00BD0D35">
        <w:t>Газопровод и его соединительную(ые) муфту(ы) подвергают испытанию на износоустойчивость, состоящему из 100</w:t>
      </w:r>
      <w:r w:rsidRPr="00BD0D35">
        <w:rPr>
          <w:lang w:val="en-US"/>
        </w:rPr>
        <w:t> </w:t>
      </w:r>
      <w:r w:rsidRPr="00BD0D35">
        <w:t>000 циклов.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В ходе одного цикла давление возрастает от 15% ЭД до ЭД.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После испытания на износоустойчивость газопровод и его соединительная(ые) муфта(ы) должны соответствовать требованиям испытания на утечку, предусмотренны</w:t>
      </w:r>
      <w:r>
        <w:t>м в пунктах 5, 6 и 7 приложения </w:t>
      </w:r>
      <w:r w:rsidRPr="00BD0D35">
        <w:t>16, а также требованиям испытания на устойчивость к</w:t>
      </w:r>
      <w:r>
        <w:t xml:space="preserve"> </w:t>
      </w:r>
      <w:r w:rsidRPr="00BD0D35">
        <w:t>избыточному давлению, предусмотренным в пункте 4 приложения 16.</w:t>
      </w:r>
    </w:p>
    <w:p w:rsidR="00792982" w:rsidRPr="00BD0D35" w:rsidRDefault="00792982" w:rsidP="00792982">
      <w:pPr>
        <w:pStyle w:val="SingleTxtGR"/>
        <w:keepNext/>
        <w:tabs>
          <w:tab w:val="clear" w:pos="1701"/>
        </w:tabs>
        <w:ind w:left="2268" w:hanging="1134"/>
      </w:pPr>
      <w:r w:rsidRPr="00BD0D35">
        <w:t>6.3.2</w:t>
      </w:r>
      <w:r w:rsidRPr="00BD0D35">
        <w:tab/>
        <w:t>Испытание газопровода на изгиб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 испытывают в соответствии с нижеследующей процедурой и критериями приемлемости.</w:t>
      </w:r>
    </w:p>
    <w:p w:rsidR="00792982" w:rsidRPr="00BD0D35" w:rsidRDefault="009D0C51" w:rsidP="009D0C51">
      <w:pPr>
        <w:pStyle w:val="SingleTxtGR"/>
        <w:ind w:left="2835" w:hanging="1701"/>
        <w:rPr>
          <w:rFonts w:eastAsia="MS Mincho"/>
          <w:bCs/>
          <w:lang w:eastAsia="ja-JP"/>
        </w:rPr>
      </w:pPr>
      <w:r>
        <w:tab/>
      </w:r>
      <w:r>
        <w:tab/>
      </w:r>
      <w:r w:rsidR="00792982" w:rsidRPr="00BD0D35">
        <w:t xml:space="preserve">a) </w:t>
      </w:r>
      <w:r w:rsidR="00792982" w:rsidRPr="00BD0D35">
        <w:tab/>
        <w:t>Выбирают сердечник в зависимости от значения внешнего диаметра исходя из приведенной ниже таблицы: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792982" w:rsidRPr="00BD0D35" w:rsidTr="00792982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D0D35">
              <w:rPr>
                <w:i/>
                <w:sz w:val="16"/>
              </w:rPr>
              <w:t>Внешний диаметр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D0D35">
              <w:rPr>
                <w:i/>
                <w:sz w:val="16"/>
              </w:rPr>
              <w:t>Диаметр сердечника</w:t>
            </w:r>
          </w:p>
        </w:tc>
      </w:tr>
      <w:tr w:rsidR="00792982" w:rsidRPr="00BD0D35" w:rsidTr="00792982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after="120"/>
              <w:jc w:val="center"/>
              <w:rPr>
                <w:bCs/>
              </w:rPr>
            </w:pPr>
            <w:r w:rsidRPr="00BD0D35">
              <w:rPr>
                <w:bCs/>
              </w:rPr>
              <w:t>≤8 мм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after="120"/>
              <w:jc w:val="center"/>
              <w:rPr>
                <w:bCs/>
              </w:rPr>
            </w:pPr>
            <w:r w:rsidRPr="00BD0D35">
              <w:rPr>
                <w:bCs/>
              </w:rPr>
              <w:t>в 3 раза больше внешнего диаметра газопровода</w:t>
            </w:r>
          </w:p>
        </w:tc>
      </w:tr>
      <w:tr w:rsidR="00792982" w:rsidRPr="00BD0D35" w:rsidTr="00792982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&gt;</w:t>
            </w:r>
            <w:r w:rsidRPr="00BD0D35">
              <w:rPr>
                <w:bCs/>
              </w:rPr>
              <w:t>8 мм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982" w:rsidRPr="00BD0D35" w:rsidRDefault="00792982" w:rsidP="00792982">
            <w:pPr>
              <w:spacing w:after="120"/>
              <w:jc w:val="center"/>
              <w:rPr>
                <w:bCs/>
              </w:rPr>
            </w:pPr>
            <w:r w:rsidRPr="00BD0D35">
              <w:rPr>
                <w:bCs/>
              </w:rPr>
              <w:t>в 5 раз больше внешнего диаметра газопровода</w:t>
            </w:r>
          </w:p>
        </w:tc>
      </w:tr>
    </w:tbl>
    <w:p w:rsidR="00792982" w:rsidRPr="00BD0D35" w:rsidRDefault="009D0C51" w:rsidP="00E31FDF">
      <w:pPr>
        <w:pStyle w:val="SingleTxtGR"/>
        <w:spacing w:before="120"/>
        <w:ind w:left="2835" w:hanging="1701"/>
        <w:rPr>
          <w:rFonts w:eastAsia="MS Mincho"/>
          <w:bCs/>
          <w:lang w:eastAsia="ja-JP"/>
        </w:rPr>
      </w:pPr>
      <w:r>
        <w:tab/>
      </w:r>
      <w:r>
        <w:tab/>
      </w:r>
      <w:r w:rsidR="00792982" w:rsidRPr="00BD0D35">
        <w:t xml:space="preserve">b) </w:t>
      </w:r>
      <w:r w:rsidR="00792982" w:rsidRPr="00BD0D35">
        <w:tab/>
        <w:t>Газопровод изгибают один раз вокруг сердечника таким образом, чтобы он образовал U-образную форму</w:t>
      </w:r>
      <w:r w:rsidR="00792982" w:rsidRPr="00BD0D35">
        <w:rPr>
          <w:rFonts w:eastAsia="MS Mincho"/>
          <w:bCs/>
          <w:lang w:eastAsia="ja-JP"/>
        </w:rPr>
        <w:t>.</w:t>
      </w:r>
    </w:p>
    <w:p w:rsidR="00792982" w:rsidRPr="00BD0D35" w:rsidRDefault="00792982" w:rsidP="009D0C51">
      <w:pPr>
        <w:pStyle w:val="SingleTxtGR"/>
        <w:ind w:left="2835" w:hanging="1701"/>
      </w:pPr>
      <w:r w:rsidRPr="00BD0D35">
        <w:rPr>
          <w:rFonts w:eastAsia="MS Mincho"/>
          <w:bCs/>
          <w:lang w:eastAsia="ja-JP"/>
        </w:rPr>
        <w:tab/>
      </w:r>
      <w:r w:rsidR="009D0C51">
        <w:rPr>
          <w:rFonts w:eastAsia="MS Mincho"/>
          <w:bCs/>
          <w:lang w:eastAsia="ja-JP"/>
        </w:rPr>
        <w:tab/>
      </w:r>
      <w:r w:rsidRPr="00BD0D35">
        <w:t xml:space="preserve">c) </w:t>
      </w:r>
      <w:r w:rsidRPr="00BD0D35">
        <w:tab/>
        <w:t>Концы газопровода замыкают, после чего газопровод подвергают испытанию на избыточное давление в соответствии с положениями пункта 4 приложения 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По завершении испытания на избыточное давление газопровод испытывают на утечку в соответствии с положениями пунктов</w:t>
      </w:r>
      <w:r w:rsidRPr="00BD0D35">
        <w:rPr>
          <w:lang w:val="en-US"/>
        </w:rPr>
        <w:t> </w:t>
      </w:r>
      <w:r w:rsidRPr="00BD0D35">
        <w:t>5, 6 и 7 приложения 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6.3.3</w:t>
      </w:r>
      <w:r w:rsidRPr="00BD0D35">
        <w:tab/>
        <w:t xml:space="preserve">Сопротивление избыточному крутящему моменту </w:t>
      </w:r>
    </w:p>
    <w:p w:rsidR="00792982" w:rsidRPr="00BD0D35" w:rsidRDefault="00792982" w:rsidP="00792982">
      <w:pPr>
        <w:keepNext/>
        <w:keepLines/>
        <w:spacing w:after="120"/>
        <w:ind w:left="2268" w:right="1134"/>
        <w:jc w:val="both"/>
      </w:pPr>
      <w:r w:rsidRPr="00BD0D35">
        <w:tab/>
        <w:t>Соединительная муфта, непосредственно предназначенная для резьбового крепления к арматуре, должна выдерживать без деформации, разрушения или утечки усилие крутящего момента, равное 150% от номинального значения установки, указанного изготовителем, в ходе нижеследующей процедуры испытания:</w:t>
      </w:r>
    </w:p>
    <w:p w:rsidR="00792982" w:rsidRPr="00BD0D35" w:rsidRDefault="009D0C51" w:rsidP="009D0C51">
      <w:pPr>
        <w:pStyle w:val="SingleTxtGR"/>
        <w:ind w:left="2835" w:hanging="1701"/>
      </w:pPr>
      <w:r>
        <w:tab/>
      </w:r>
      <w:r>
        <w:tab/>
      </w:r>
      <w:r w:rsidR="00792982" w:rsidRPr="00BD0D35">
        <w:t xml:space="preserve">a) </w:t>
      </w:r>
      <w:r w:rsidR="00792982" w:rsidRPr="00BD0D35">
        <w:tab/>
        <w:t>Испытывают неиспользованный элемент, прилагая крутящий момент в месте примыкания к арматуре.</w:t>
      </w:r>
    </w:p>
    <w:p w:rsidR="00792982" w:rsidRPr="009D0C51" w:rsidRDefault="009D0C51" w:rsidP="009D0C51">
      <w:pPr>
        <w:pStyle w:val="SingleTxtGR"/>
        <w:tabs>
          <w:tab w:val="clear" w:pos="1701"/>
        </w:tabs>
        <w:ind w:left="2835" w:hanging="1701"/>
      </w:pPr>
      <w:r>
        <w:tab/>
      </w:r>
      <w:r w:rsidR="00792982" w:rsidRPr="00BD0D35">
        <w:t xml:space="preserve">b) </w:t>
      </w:r>
      <w:r w:rsidR="00792982" w:rsidRPr="00BD0D35">
        <w:tab/>
        <w:t>В случае элемента с резьбовым соединением или резьбовыми соединениями крутящее усилие прилагают в течение 15 минут, после чего прекращают прилагать это крутящее усилие, отсоединяют элемент и изучают его на предмет деформирования и разрушения.</w:t>
      </w:r>
    </w:p>
    <w:p w:rsidR="00792982" w:rsidRPr="00BD0D35" w:rsidRDefault="00792982" w:rsidP="009D0C51">
      <w:pPr>
        <w:pStyle w:val="SingleTxtGR"/>
        <w:tabs>
          <w:tab w:val="clear" w:pos="1701"/>
        </w:tabs>
        <w:ind w:left="2835" w:hanging="1701"/>
      </w:pPr>
      <w:r w:rsidRPr="00BD0D35">
        <w:tab/>
        <w:t xml:space="preserve">c) </w:t>
      </w:r>
      <w:r w:rsidRPr="00BD0D35">
        <w:tab/>
        <w:t>Проводят испытание на утечку согласно положениям пунктов 5, 6 и 7 приложения 16.</w:t>
      </w:r>
    </w:p>
    <w:p w:rsidR="00792982" w:rsidRPr="009D0C51" w:rsidRDefault="009D0C51" w:rsidP="009D0C51">
      <w:pPr>
        <w:pStyle w:val="SingleTxtGR"/>
        <w:tabs>
          <w:tab w:val="clear" w:pos="1701"/>
        </w:tabs>
        <w:ind w:left="2835" w:hanging="1701"/>
      </w:pPr>
      <w:r>
        <w:tab/>
      </w:r>
      <w:r w:rsidR="00792982" w:rsidRPr="00BD0D35">
        <w:t xml:space="preserve">d) </w:t>
      </w:r>
      <w:r w:rsidR="00792982" w:rsidRPr="00BD0D35">
        <w:tab/>
        <w:t>Проводят испытание на избыточное давление в соответствии с положениями пункта 4 приложения 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6.3.4</w:t>
      </w:r>
      <w:r w:rsidRPr="00BD0D35">
        <w:tab/>
        <w:t>Испытание на виброустойчивость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 и его соединительную(ые) муфту(ы) подвергают вибрации в соответствии с испытательной процедурой A, описанной в пункте 10.5.4 приложения 16.</w:t>
      </w:r>
    </w:p>
    <w:p w:rsidR="00792982" w:rsidRPr="00BD0D35" w:rsidRDefault="00792982" w:rsidP="00E61C08">
      <w:pPr>
        <w:pStyle w:val="SingleTxtGR"/>
        <w:tabs>
          <w:tab w:val="clear" w:pos="1701"/>
        </w:tabs>
        <w:ind w:left="2268" w:hanging="1134"/>
        <w:rPr>
          <w:rFonts w:eastAsia="MS Mincho"/>
          <w:bCs/>
          <w:lang w:eastAsia="ja-JP"/>
        </w:rPr>
      </w:pPr>
      <w:r w:rsidRPr="00BD0D35">
        <w:lastRenderedPageBreak/>
        <w:tab/>
        <w:t>После этого испытания газопровод и его соединительная(ые) муфта(ы) должны соответствовать требованиям испытания на утечку, предусмотренным в пунктах 5, 6 и 7 приложения 16, а также требованиям испытания на устойчивость к избыточному давлению, предусмотренным в пункте 4 приложения 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6.3.5</w:t>
      </w:r>
      <w:r w:rsidRPr="00BD0D35">
        <w:tab/>
        <w:t>Испытание на отрыв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Газопровод и его соединительную(ые) муфту(ы) испытывают в соответствии с нижеследующими процедурами и критериями приемлемости.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Образец, подвергаемый испытанию, закрепляют на соответствующей испытательной арматуре, после чего прилагают статическую растягивающую нагрузку вдоль оси газопровода с м</w:t>
      </w:r>
      <w:r>
        <w:t>аксимальным значением 250 Н/мин</w:t>
      </w:r>
      <w:r w:rsidRPr="00BD0D35">
        <w:t xml:space="preserve"> до тех пор, пока газопровод не оторвется от соединительных(ой) муфт(ы).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Значение силы (F) в ньютонах, которая необходима для отрыва газопровода от соединительных(ой) муфт(ы), рассчитывают следующим образом: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F = (π∙d</w:t>
      </w:r>
      <w:r w:rsidRPr="00BD0D35">
        <w:rPr>
          <w:vertAlign w:val="superscript"/>
        </w:rPr>
        <w:t>2</w:t>
      </w:r>
      <w:r w:rsidRPr="00BD0D35">
        <w:t>∙P)/10,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где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d – внутренний диаметр в мм;</w:t>
      </w:r>
    </w:p>
    <w:p w:rsidR="00792982" w:rsidRPr="00BD0D35" w:rsidRDefault="00792982" w:rsidP="00792982">
      <w:pPr>
        <w:spacing w:after="120"/>
        <w:ind w:left="2268" w:right="1133"/>
        <w:jc w:val="both"/>
        <w:rPr>
          <w:rFonts w:eastAsia="MS Mincho"/>
          <w:bCs/>
          <w:lang w:eastAsia="ja-JP"/>
        </w:rPr>
      </w:pPr>
      <w:r w:rsidRPr="00BD0D35">
        <w:tab/>
        <w:t>P – максимальное эксплуатационное давление в барах.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6.3.6</w:t>
      </w:r>
      <w:r w:rsidRPr="00BD0D35">
        <w:tab/>
        <w:t>Совместимость материалов с латунью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Все газопроводы и их соединительные муфты, имеющие латунные элементы, подвергают испытанию на совместимость материалов с латунью в соответствии с пунктом 12.2 приложения</w:t>
      </w:r>
      <w:r w:rsidRPr="00BD0D35">
        <w:rPr>
          <w:lang w:val="en-US"/>
        </w:rPr>
        <w:t> </w:t>
      </w:r>
      <w:r w:rsidRPr="00BD0D35">
        <w:t>16.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После этого испытания газопровод и соединительная(ые) муфта(ы) должны удовлетворять требованиям испытания на утечку, предусмотренным в пунктах 5, 6 и 7 приложения 16, а также требованиям испытания на устойчивость к избыточному давлению, предусмотренным в пункте 4 приложения 16»</w:t>
      </w:r>
      <w:r>
        <w:t>.</w:t>
      </w:r>
    </w:p>
    <w:p w:rsidR="00792982" w:rsidRPr="00BD0D35" w:rsidRDefault="00792982" w:rsidP="00E61C08">
      <w:pPr>
        <w:pStyle w:val="SingleTxtGR"/>
      </w:pPr>
      <w:r w:rsidRPr="00BD0D35">
        <w:rPr>
          <w:i/>
        </w:rPr>
        <w:t xml:space="preserve">Приложение 15 (прежнее), </w:t>
      </w:r>
      <w:r w:rsidRPr="00BD0D35">
        <w:t>изменить нумерацию на 16 и включить новые пункты 9.7 и 9.7.1 следующего содержания: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«9.7</w:t>
      </w:r>
      <w:r w:rsidRPr="00BD0D35">
        <w:tab/>
        <w:t>Испытание на износоустойчивость для обратных клапанов в сообщающихся системах СНГ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9.7.1</w:t>
      </w:r>
      <w:r w:rsidRPr="00BD0D35">
        <w:tab/>
        <w:t>Запорные клапаны должны выдерживать 20 000 циклов функционирования и воздействие вибрации в течение 24 часов при испытании в соответствии со следующей процедурой: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 xml:space="preserve">a) </w:t>
      </w:r>
      <w:r w:rsidRPr="00BD0D35">
        <w:tab/>
        <w:t>клапан подсоединяется к испытательному приспособлению, а к входному отверстию клапана подают давление в 3 000 кПа или ЭД в соответствии с классификационным давлением для данного клапана, и затем давление стравливается в пневмосистеме на выходном отверстии. Перед началом следующего цикла давление на выходном отверстии уменьша</w:t>
      </w:r>
      <w:r w:rsidR="00E31FDF">
        <w:t>ется до следующего значения: от </w:t>
      </w:r>
      <w:r w:rsidRPr="00BD0D35">
        <w:t>0 до максимум 0,5 указанного выше значения перед следующим циклом;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 xml:space="preserve"> </w:t>
      </w:r>
      <w:r w:rsidRPr="00BD0D35">
        <w:tab/>
        <w:t xml:space="preserve">b) </w:t>
      </w:r>
      <w:r w:rsidRPr="00BD0D35">
        <w:tab/>
        <w:t>после 20 000 циклов функционирования клапан подвергается воздействию вибрации в течение 24 часов при расходе, вызывающем наибольшее биение.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 xml:space="preserve"> </w:t>
      </w:r>
      <w:r w:rsidRPr="00BD0D35">
        <w:tab/>
        <w:t>После этого испытания обратный клапан должен выдерживать испытание на герметичность, предписываемое в пунктах 5 и 8 выше.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lastRenderedPageBreak/>
        <w:t xml:space="preserve"> </w:t>
      </w:r>
      <w:r w:rsidRPr="00BD0D35">
        <w:tab/>
        <w:t xml:space="preserve">Несрабатывание в любом виде в рамках этой процедуры означает несрабатывание обратного клапана. 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 xml:space="preserve"> </w:t>
      </w:r>
      <w:r w:rsidRPr="00BD0D35">
        <w:tab/>
        <w:t>Все части должны оставаться в неизменном положении и должны исправно функционировать после испытания.</w:t>
      </w:r>
    </w:p>
    <w:p w:rsidR="00792982" w:rsidRPr="00BD0D35" w:rsidRDefault="00E61C08" w:rsidP="00E61C08">
      <w:pPr>
        <w:pStyle w:val="SingleTxtGR"/>
        <w:tabs>
          <w:tab w:val="clear" w:pos="1701"/>
        </w:tabs>
        <w:ind w:left="2268" w:hanging="1134"/>
      </w:pPr>
      <w:r>
        <w:tab/>
      </w:r>
      <w:r w:rsidR="00792982" w:rsidRPr="00BD0D35">
        <w:t>После этого испытания контрольный клапан должен выдерживать испытание на устойчивость к избыточному давлению в соответствии с пунктом 4»</w:t>
      </w:r>
      <w:r w:rsidR="00792982">
        <w:t>.</w:t>
      </w:r>
    </w:p>
    <w:p w:rsidR="00792982" w:rsidRPr="00BD0D35" w:rsidRDefault="00792982" w:rsidP="00E61C08">
      <w:pPr>
        <w:pStyle w:val="SingleTxtGR"/>
        <w:rPr>
          <w:rFonts w:eastAsia="MS Mincho"/>
          <w:lang w:eastAsia="ja-JP"/>
        </w:rPr>
      </w:pPr>
      <w:r w:rsidRPr="00BD0D35">
        <w:rPr>
          <w:rFonts w:eastAsia="MS Mincho"/>
          <w:i/>
          <w:lang w:eastAsia="ja-JP"/>
        </w:rPr>
        <w:t>Приложение 16 (прежнее),</w:t>
      </w:r>
      <w:r w:rsidRPr="00BD0D35">
        <w:rPr>
          <w:rFonts w:eastAsia="MS Mincho"/>
          <w:lang w:eastAsia="ja-JP"/>
        </w:rPr>
        <w:t xml:space="preserve"> изменить нумерацию на 17.</w:t>
      </w:r>
    </w:p>
    <w:p w:rsidR="00792982" w:rsidRPr="00BD0D35" w:rsidRDefault="00792982" w:rsidP="00E61C08">
      <w:pPr>
        <w:pStyle w:val="SingleTxtGR"/>
        <w:rPr>
          <w:rFonts w:eastAsia="MS Mincho"/>
          <w:bCs/>
          <w:lang w:eastAsia="ja-JP"/>
        </w:rPr>
      </w:pPr>
      <w:r w:rsidRPr="00BD0D35">
        <w:rPr>
          <w:rFonts w:eastAsia="MS Mincho"/>
          <w:bCs/>
          <w:i/>
          <w:lang w:eastAsia="ja-JP"/>
        </w:rPr>
        <w:t>Приложение 17 (прежнее),</w:t>
      </w:r>
      <w:r w:rsidRPr="00BD0D35">
        <w:rPr>
          <w:rFonts w:eastAsia="MS Mincho"/>
          <w:bCs/>
          <w:lang w:eastAsia="ja-JP"/>
        </w:rPr>
        <w:t xml:space="preserve"> изменить нумерацию на 18.</w:t>
      </w:r>
    </w:p>
    <w:p w:rsidR="00792982" w:rsidRPr="00BD0D35" w:rsidRDefault="00792982" w:rsidP="00E61C08">
      <w:pPr>
        <w:pStyle w:val="SingleTxtGR"/>
        <w:rPr>
          <w:i/>
        </w:rPr>
      </w:pPr>
      <w:r w:rsidRPr="00BD0D35">
        <w:rPr>
          <w:i/>
        </w:rPr>
        <w:t>Включить новое приложение 19</w:t>
      </w:r>
      <w:r w:rsidRPr="00BD0D35">
        <w:t xml:space="preserve"> следующего содержания:</w:t>
      </w:r>
    </w:p>
    <w:p w:rsidR="00792982" w:rsidRPr="00BD0D35" w:rsidRDefault="00792982" w:rsidP="00E61C08">
      <w:pPr>
        <w:pStyle w:val="HChGR"/>
      </w:pPr>
      <w:r w:rsidRPr="00E61C08">
        <w:rPr>
          <w:b w:val="0"/>
          <w:sz w:val="20"/>
        </w:rPr>
        <w:t>«</w:t>
      </w:r>
      <w:r w:rsidRPr="00BD0D35">
        <w:t>Приложение 19</w:t>
      </w:r>
    </w:p>
    <w:p w:rsidR="00792982" w:rsidRPr="00BD0D35" w:rsidRDefault="00792982" w:rsidP="00792982">
      <w:pPr>
        <w:pStyle w:val="HChGR"/>
      </w:pPr>
      <w:r w:rsidRPr="00BD0D35">
        <w:tab/>
      </w:r>
      <w:r w:rsidRPr="00BD0D35">
        <w:tab/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1.</w:t>
      </w:r>
      <w:r w:rsidRPr="00BD0D35">
        <w:rPr>
          <w:bCs/>
        </w:rPr>
        <w:tab/>
        <w:t>Требования в отношении металлических и неметаллических элементов оборудования и частей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>1.1</w:t>
      </w:r>
      <w:r w:rsidRPr="00BD0D35">
        <w:rPr>
          <w:bCs/>
        </w:rPr>
        <w:tab/>
        <w:t>Неметаллические элементы оборудования или части, которые могут вступать в контакт с бензиновым топливом, не претерпевают чрезмерного изменения объема или уменьшения массы.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  <w:rPr>
          <w:bCs/>
        </w:rPr>
      </w:pPr>
      <w:r w:rsidRPr="00BD0D35">
        <w:rPr>
          <w:bCs/>
        </w:rPr>
        <w:tab/>
        <w:t>Стойкость к воздействию бензинового</w:t>
      </w:r>
      <w:r>
        <w:rPr>
          <w:bCs/>
        </w:rPr>
        <w:t xml:space="preserve"> топлива согласно стандарту ISO </w:t>
      </w:r>
      <w:r w:rsidRPr="00BD0D35">
        <w:rPr>
          <w:bCs/>
        </w:rPr>
        <w:t>1817 с соблюдением следующих условий: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BD0D35">
        <w:rPr>
          <w:bCs/>
        </w:rPr>
        <w:tab/>
        <w:t>a)</w:t>
      </w:r>
      <w:r w:rsidRPr="00BD0D35">
        <w:rPr>
          <w:bCs/>
        </w:rPr>
        <w:tab/>
        <w:t>среда: бензиновое топливо (E</w:t>
      </w:r>
      <w:r>
        <w:rPr>
          <w:bCs/>
        </w:rPr>
        <w:t>10), соответствующее приложению </w:t>
      </w:r>
      <w:r w:rsidRPr="00BD0D35">
        <w:rPr>
          <w:bCs/>
        </w:rPr>
        <w:t>10 к Правилам № 83 ООН;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rPr>
          <w:b/>
          <w:bCs/>
        </w:rPr>
        <w:tab/>
      </w:r>
      <w:r w:rsidRPr="00BD0D35">
        <w:t>b)</w:t>
      </w:r>
      <w:r w:rsidRPr="00BD0D35">
        <w:tab/>
        <w:t>температура: 23 °С (допустимое отклонение согласно стандарту ISO 1817);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BD0D35">
        <w:tab/>
        <w:t>c)</w:t>
      </w:r>
      <w:r w:rsidRPr="00BD0D35">
        <w:tab/>
        <w:t>период погружения: 72 часа.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1.1.1</w:t>
      </w:r>
      <w:r w:rsidRPr="00BD0D35">
        <w:tab/>
        <w:t>Требования в отношении неметаллических элементов оборудования и частей: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максимальное изменение объема: 20%;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после выдерживания на воздухе при</w:t>
      </w:r>
      <w:r>
        <w:t xml:space="preserve"> температуре 40 °С в течение 48 </w:t>
      </w:r>
      <w:r w:rsidRPr="00BD0D35">
        <w:t>часов масса не должна уменьшаться по сравнению с первоначальным значением более чем на 5%.</w:t>
      </w:r>
    </w:p>
    <w:p w:rsidR="00770692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1.</w:t>
      </w:r>
      <w:r w:rsidRPr="009D7BD5">
        <w:t>2</w:t>
      </w:r>
      <w:r w:rsidRPr="00BD0D35">
        <w:tab/>
        <w:t>Металлические элементы оборудования или части, которые могут вступать в контакт с бензиновым топливом, должны быть абсолютно стойкими к действию бензина. Металлические части должны иметь надежную антикоррозийную защиту (например, покрытие, обработка поверхности, структура материалов) и отвечать требованиям пункта 12 приложения 16»</w:t>
      </w:r>
      <w:r>
        <w:t>.</w:t>
      </w:r>
    </w:p>
    <w:p w:rsidR="00770692" w:rsidRDefault="00792982" w:rsidP="00770692">
      <w:pPr>
        <w:pStyle w:val="SingleTxtGR"/>
        <w:tabs>
          <w:tab w:val="clear" w:pos="1701"/>
        </w:tabs>
        <w:spacing w:after="80"/>
        <w:ind w:left="2268" w:hanging="1134"/>
      </w:pPr>
      <w:r w:rsidRPr="00BD0D35">
        <w:rPr>
          <w:i/>
          <w:iCs/>
        </w:rPr>
        <w:t>Включить новое приложение</w:t>
      </w:r>
      <w:r w:rsidRPr="00BD0D35">
        <w:t xml:space="preserve"> </w:t>
      </w:r>
      <w:r w:rsidRPr="00BD0D35">
        <w:rPr>
          <w:i/>
        </w:rPr>
        <w:t>20</w:t>
      </w:r>
      <w:r w:rsidRPr="00BD0D35">
        <w:t xml:space="preserve"> следующего содержания:</w:t>
      </w:r>
    </w:p>
    <w:p w:rsidR="00792982" w:rsidRPr="00770692" w:rsidRDefault="00792982" w:rsidP="00770692">
      <w:pPr>
        <w:pStyle w:val="HChGR"/>
        <w:pageBreakBefore/>
      </w:pPr>
      <w:r w:rsidRPr="00BD0D35">
        <w:rPr>
          <w:b w:val="0"/>
          <w:sz w:val="20"/>
        </w:rPr>
        <w:lastRenderedPageBreak/>
        <w:t>«</w:t>
      </w:r>
      <w:r w:rsidRPr="00770692">
        <w:t>Приложение 20</w:t>
      </w:r>
    </w:p>
    <w:p w:rsidR="00792982" w:rsidRPr="00770692" w:rsidRDefault="00792982" w:rsidP="00770692">
      <w:pPr>
        <w:pStyle w:val="HChGR"/>
      </w:pPr>
      <w:r w:rsidRPr="00770692">
        <w:tab/>
      </w:r>
      <w:r w:rsidRPr="00770692">
        <w:tab/>
        <w:t>Положения о сообщающихся системах СНГ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1.</w:t>
      </w:r>
      <w:r w:rsidRPr="00BD0D35">
        <w:tab/>
        <w:t>Документация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1.1</w:t>
      </w:r>
      <w:r w:rsidRPr="00BD0D35">
        <w:tab/>
        <w:t>Органу по официальному утверждению типа и технической службе представляют следующую документацию: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перечень всех частей специального оборудования, упомянутого в пункте 2.2 настоящих Правил, включая документацию об официальном утверждении, которые входят в комбинацию элементов согласно пункту 2.23 настоящих Правил, если они имеются в системе;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b)</w:t>
      </w:r>
      <w:r w:rsidRPr="00BD0D35">
        <w:tab/>
        <w:t>описание средств, используемых для обеспечения соответствия требованиям, указанным в пункте 17.13.2.3 настоящих Правил, включая все оборудование, контролируемые параметры, соответствующие факторы, критерии и меры;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c)</w:t>
      </w:r>
      <w:r w:rsidRPr="00BD0D35">
        <w:tab/>
        <w:t>развернутые блок-схемы, иллюстрирующие стратегии, используемые для целей выполнения требований, указанных в пункте 17.13.2.3 настоящих Правил.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2.</w:t>
      </w:r>
      <w:r w:rsidRPr="00BD0D35">
        <w:tab/>
        <w:t>Процедуры испытания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>2.1</w:t>
      </w:r>
      <w:r w:rsidRPr="00BD0D35">
        <w:tab/>
        <w:t>В целях проверки соответствия требованиям пункта 17.13.2.3 настоящих Правил транспортное средство испытывают нижеследующим образом.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Процедура испытания: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a)</w:t>
      </w:r>
      <w:r w:rsidRPr="00BD0D35">
        <w:tab/>
        <w:t>установить оборудование СНГ на транспортное средство;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b)</w:t>
      </w:r>
      <w:r w:rsidRPr="00BD0D35">
        <w:tab/>
        <w:t>заполнить бак СНГ топливом в объеме не менее 10 литров;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c)</w:t>
      </w:r>
      <w:r w:rsidRPr="00BD0D35">
        <w:tab/>
        <w:t>перевести систему переключения видов топлива в режим работы на СНГ;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d)</w:t>
      </w:r>
      <w:r w:rsidRPr="00BD0D35">
        <w:tab/>
        <w:t>двигатель продолжает работать на самых малых оборотах холостого хода;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e)</w:t>
      </w:r>
      <w:r w:rsidRPr="00BD0D35">
        <w:tab/>
        <w:t>произвести переключение с режима работы на СНГ на режим работы на бензине и обратно;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835" w:hanging="1701"/>
      </w:pPr>
      <w:r w:rsidRPr="00BD0D35">
        <w:tab/>
        <w:t>f)</w:t>
      </w:r>
      <w:r w:rsidRPr="00BD0D35">
        <w:tab/>
        <w:t xml:space="preserve">повторять операцию е) до тех пор, пока отключение режима работы на бензине не станет постоянным. 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Толкование результатов испытания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Для толкования результатов испытания используют следующие критерии:</w:t>
      </w:r>
    </w:p>
    <w:p w:rsidR="00792982" w:rsidRPr="00300147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</w:r>
      <w:r w:rsidRPr="00300147">
        <w:t>Nsw &lt; 0,16 * Vin / Vsw,</w:t>
      </w:r>
    </w:p>
    <w:p w:rsidR="00792982" w:rsidRPr="00BD0D35" w:rsidRDefault="00792982" w:rsidP="00792982">
      <w:pPr>
        <w:pStyle w:val="SingleTxtGR"/>
        <w:tabs>
          <w:tab w:val="clear" w:pos="1701"/>
        </w:tabs>
        <w:ind w:left="2268" w:hanging="1134"/>
      </w:pPr>
      <w:r w:rsidRPr="00BD0D35">
        <w:tab/>
        <w:t>где:</w:t>
      </w:r>
    </w:p>
    <w:p w:rsidR="00792982" w:rsidRPr="00300147" w:rsidRDefault="00792982" w:rsidP="00792982">
      <w:pPr>
        <w:pStyle w:val="SingleTxtGR"/>
        <w:tabs>
          <w:tab w:val="clear" w:pos="1701"/>
        </w:tabs>
        <w:ind w:left="3402" w:hanging="2268"/>
      </w:pPr>
      <w:r w:rsidRPr="00BD0D35">
        <w:tab/>
      </w:r>
      <w:r w:rsidRPr="00300147">
        <w:t>Nsw</w:t>
      </w:r>
      <w:r w:rsidRPr="00300147">
        <w:tab/>
        <w:t>–</w:t>
      </w:r>
      <w:r w:rsidRPr="00300147">
        <w:tab/>
        <w:t>число операций переключения с режима работы на СНГ на режим работы на бензине и обратно, пока отключение режима работы на бензине не станет постоянным,</w:t>
      </w:r>
    </w:p>
    <w:p w:rsidR="00792982" w:rsidRDefault="00792982" w:rsidP="00792982">
      <w:pPr>
        <w:pStyle w:val="SingleTxtGR"/>
        <w:tabs>
          <w:tab w:val="clear" w:pos="1701"/>
        </w:tabs>
        <w:ind w:left="3402" w:hanging="2268"/>
      </w:pPr>
      <w:r w:rsidRPr="00300147">
        <w:tab/>
        <w:t>Vsw</w:t>
      </w:r>
      <w:r w:rsidRPr="00BD0D35">
        <w:t xml:space="preserve"> </w:t>
      </w:r>
      <w:r w:rsidRPr="00BD0D35">
        <w:tab/>
        <w:t>–</w:t>
      </w:r>
      <w:r w:rsidRPr="00BD0D35">
        <w:tab/>
        <w:t>объем бензина, поступающего в бак СНГ при каждой операции переключения, измеренный согласно пункту 6.1 приложения 14 к настоящим Правилам,</w:t>
      </w:r>
      <w:r>
        <w:t xml:space="preserve"> </w:t>
      </w:r>
    </w:p>
    <w:p w:rsidR="00792982" w:rsidRDefault="00792982" w:rsidP="00770692">
      <w:pPr>
        <w:pStyle w:val="SingleTxtGR"/>
        <w:tabs>
          <w:tab w:val="clear" w:pos="1701"/>
        </w:tabs>
        <w:spacing w:after="80" w:line="140" w:lineRule="atLeast"/>
        <w:ind w:left="3402" w:hanging="2268"/>
      </w:pPr>
      <w:r w:rsidRPr="00BD0D35">
        <w:tab/>
        <w:t xml:space="preserve">Vin </w:t>
      </w:r>
      <w:r w:rsidRPr="00BD0D35">
        <w:tab/>
        <w:t>–</w:t>
      </w:r>
      <w:r w:rsidRPr="00BD0D35">
        <w:tab/>
        <w:t>первоначальный объ</w:t>
      </w:r>
      <w:r>
        <w:t>ем СНГ в соответствии с пунктом 2.1 </w:t>
      </w:r>
      <w:r w:rsidRPr="00BD0D35">
        <w:t>b) настоящего приложения выше»</w:t>
      </w:r>
      <w:r>
        <w:t>.</w:t>
      </w:r>
    </w:p>
    <w:p w:rsidR="00770692" w:rsidRPr="00770692" w:rsidRDefault="00770692" w:rsidP="007706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0692" w:rsidRPr="00770692" w:rsidSect="00A80B8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82" w:rsidRPr="00A312BC" w:rsidRDefault="00792982" w:rsidP="00A312BC"/>
  </w:endnote>
  <w:endnote w:type="continuationSeparator" w:id="0">
    <w:p w:rsidR="00792982" w:rsidRPr="00A312BC" w:rsidRDefault="007929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82" w:rsidRPr="00A80B87" w:rsidRDefault="00792982">
    <w:pPr>
      <w:pStyle w:val="Footer"/>
    </w:pPr>
    <w:r w:rsidRPr="00A80B87">
      <w:rPr>
        <w:b/>
        <w:sz w:val="18"/>
      </w:rPr>
      <w:fldChar w:fldCharType="begin"/>
    </w:r>
    <w:r w:rsidRPr="00A80B87">
      <w:rPr>
        <w:b/>
        <w:sz w:val="18"/>
      </w:rPr>
      <w:instrText xml:space="preserve"> PAGE  \* MERGEFORMAT </w:instrText>
    </w:r>
    <w:r w:rsidRPr="00A80B87">
      <w:rPr>
        <w:b/>
        <w:sz w:val="18"/>
      </w:rPr>
      <w:fldChar w:fldCharType="separate"/>
    </w:r>
    <w:r w:rsidR="005C540C">
      <w:rPr>
        <w:b/>
        <w:noProof/>
        <w:sz w:val="18"/>
      </w:rPr>
      <w:t>16</w:t>
    </w:r>
    <w:r w:rsidRPr="00A80B87">
      <w:rPr>
        <w:b/>
        <w:sz w:val="18"/>
      </w:rPr>
      <w:fldChar w:fldCharType="end"/>
    </w:r>
    <w:r>
      <w:rPr>
        <w:b/>
        <w:sz w:val="18"/>
      </w:rPr>
      <w:tab/>
    </w:r>
    <w:r>
      <w:t>GE.18-18562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82" w:rsidRPr="00A80B87" w:rsidRDefault="00792982" w:rsidP="00A80B8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GE.18-18562</w:t>
    </w:r>
    <w:r>
      <w:tab/>
    </w:r>
    <w:r w:rsidRPr="00A80B87">
      <w:rPr>
        <w:b/>
        <w:sz w:val="18"/>
      </w:rPr>
      <w:fldChar w:fldCharType="begin"/>
    </w:r>
    <w:r w:rsidRPr="00A80B87">
      <w:rPr>
        <w:b/>
        <w:sz w:val="18"/>
      </w:rPr>
      <w:instrText xml:space="preserve"> PAGE  \* MERGEFORMAT </w:instrText>
    </w:r>
    <w:r w:rsidRPr="00A80B87">
      <w:rPr>
        <w:b/>
        <w:sz w:val="18"/>
      </w:rPr>
      <w:fldChar w:fldCharType="separate"/>
    </w:r>
    <w:r w:rsidR="005C540C">
      <w:rPr>
        <w:b/>
        <w:noProof/>
        <w:sz w:val="18"/>
      </w:rPr>
      <w:t>17</w:t>
    </w:r>
    <w:r w:rsidRPr="00A80B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82" w:rsidRPr="00A80B87" w:rsidRDefault="00792982" w:rsidP="00A80B8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18-18562  (R)</w:t>
    </w:r>
    <w:r>
      <w:rPr>
        <w:lang w:val="en-US"/>
      </w:rPr>
      <w:t xml:space="preserve">  171218  181218</w:t>
    </w:r>
    <w:r>
      <w:br/>
    </w:r>
    <w:r w:rsidRPr="00A80B87">
      <w:rPr>
        <w:rFonts w:ascii="C39T30Lfz" w:hAnsi="C39T30Lfz"/>
        <w:kern w:val="14"/>
        <w:sz w:val="56"/>
      </w:rPr>
      <w:t></w:t>
    </w:r>
    <w:r w:rsidRPr="00A80B87">
      <w:rPr>
        <w:rFonts w:ascii="C39T30Lfz" w:hAnsi="C39T30Lfz"/>
        <w:kern w:val="14"/>
        <w:sz w:val="56"/>
      </w:rPr>
      <w:t></w:t>
    </w:r>
    <w:r w:rsidRPr="00A80B87">
      <w:rPr>
        <w:rFonts w:ascii="C39T30Lfz" w:hAnsi="C39T30Lfz"/>
        <w:kern w:val="14"/>
        <w:sz w:val="56"/>
      </w:rPr>
      <w:t></w:t>
    </w:r>
    <w:r w:rsidRPr="00A80B87">
      <w:rPr>
        <w:rFonts w:ascii="C39T30Lfz" w:hAnsi="C39T30Lfz"/>
        <w:kern w:val="14"/>
        <w:sz w:val="56"/>
      </w:rPr>
      <w:t></w:t>
    </w:r>
    <w:r w:rsidRPr="00A80B87">
      <w:rPr>
        <w:rFonts w:ascii="C39T30Lfz" w:hAnsi="C39T30Lfz"/>
        <w:kern w:val="14"/>
        <w:sz w:val="56"/>
      </w:rPr>
      <w:t></w:t>
    </w:r>
    <w:r w:rsidRPr="00A80B87">
      <w:rPr>
        <w:rFonts w:ascii="C39T30Lfz" w:hAnsi="C39T30Lfz"/>
        <w:kern w:val="14"/>
        <w:sz w:val="56"/>
      </w:rPr>
      <w:t></w:t>
    </w:r>
    <w:r w:rsidRPr="00A80B87">
      <w:rPr>
        <w:rFonts w:ascii="C39T30Lfz" w:hAnsi="C39T30Lfz"/>
        <w:kern w:val="14"/>
        <w:sz w:val="56"/>
      </w:rPr>
      <w:t></w:t>
    </w:r>
    <w:r w:rsidRPr="00A80B87">
      <w:rPr>
        <w:rFonts w:ascii="C39T30Lfz" w:hAnsi="C39T30Lfz"/>
        <w:kern w:val="14"/>
        <w:sz w:val="56"/>
      </w:rPr>
      <w:t></w:t>
    </w:r>
    <w:r w:rsidRPr="00A80B87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6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82" w:rsidRPr="001075E9" w:rsidRDefault="007929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982" w:rsidRDefault="007929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2982" w:rsidRPr="005A14A9" w:rsidRDefault="00792982" w:rsidP="00A80B87">
      <w:pPr>
        <w:pStyle w:val="FootnoteText"/>
      </w:pPr>
      <w:r>
        <w:tab/>
      </w:r>
      <w:r w:rsidRPr="001C3156">
        <w:rPr>
          <w:rStyle w:val="FootnoteReference"/>
          <w:sz w:val="20"/>
          <w:vertAlign w:val="baseline"/>
        </w:rPr>
        <w:t>*</w:t>
      </w:r>
      <w:r w:rsidRPr="00436758">
        <w:t xml:space="preserve"> </w:t>
      </w:r>
      <w:r>
        <w:tab/>
      </w:r>
      <w:r w:rsidRPr="005A14A9">
        <w:t>Прежние названия Соглашения:</w:t>
      </w:r>
    </w:p>
    <w:p w:rsidR="00792982" w:rsidRPr="001335EC" w:rsidRDefault="00792982" w:rsidP="00A80B87">
      <w:pPr>
        <w:pStyle w:val="FootnoteText"/>
        <w:rPr>
          <w:sz w:val="20"/>
        </w:rPr>
      </w:pPr>
      <w:bookmarkStart w:id="1" w:name="footnoteBookmark_10"/>
      <w:r w:rsidRPr="005A14A9">
        <w:tab/>
      </w:r>
      <w:r w:rsidRPr="005A14A9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bookmarkEnd w:id="1"/>
      <w:r>
        <w:t>;</w:t>
      </w:r>
    </w:p>
    <w:p w:rsidR="00792982" w:rsidRPr="007E1458" w:rsidRDefault="00792982" w:rsidP="00A80B87">
      <w:pPr>
        <w:pStyle w:val="FootnoteText"/>
        <w:rPr>
          <w:sz w:val="20"/>
        </w:rPr>
      </w:pPr>
      <w:bookmarkStart w:id="2" w:name="footnoteBookmark_11"/>
      <w:r w:rsidRPr="005A14A9">
        <w:tab/>
      </w:r>
      <w:r w:rsidRPr="005A14A9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октября 1995 года (п</w:t>
      </w:r>
      <w:r w:rsidRPr="005A14A9">
        <w:t>ересмотр 2).</w:t>
      </w:r>
      <w:bookmarkEnd w:id="2"/>
    </w:p>
  </w:footnote>
  <w:footnote w:id="2">
    <w:p w:rsidR="00792982" w:rsidRDefault="00792982" w:rsidP="00792982">
      <w:pPr>
        <w:pStyle w:val="FootnoteText"/>
        <w:rPr>
          <w:rFonts w:eastAsia="MS Mincho"/>
          <w:spacing w:val="-2"/>
          <w:szCs w:val="18"/>
          <w:lang w:eastAsia="ja-JP"/>
        </w:rPr>
      </w:pPr>
      <w:r w:rsidRPr="00C05C8F">
        <w:rPr>
          <w:szCs w:val="18"/>
        </w:rPr>
        <w:tab/>
      </w:r>
      <w:r w:rsidRPr="00300147">
        <w:rPr>
          <w:rStyle w:val="FootnoteReference"/>
          <w:szCs w:val="18"/>
          <w:vertAlign w:val="baseline"/>
        </w:rPr>
        <w:t>**</w:t>
      </w:r>
      <w:r w:rsidRPr="00300147">
        <w:rPr>
          <w:rStyle w:val="FootnoteReference"/>
          <w:szCs w:val="18"/>
          <w:vertAlign w:val="baseline"/>
        </w:rPr>
        <w:tab/>
      </w:r>
      <w:r w:rsidRPr="00957F79">
        <w:rPr>
          <w:rFonts w:eastAsia="MS Mincho"/>
          <w:spacing w:val="-2"/>
          <w:szCs w:val="18"/>
          <w:lang w:eastAsia="ja-JP"/>
        </w:rPr>
        <w:t>Только для неметаллических деталей.</w:t>
      </w:r>
    </w:p>
    <w:p w:rsidR="00792982" w:rsidRDefault="00792982" w:rsidP="00792982">
      <w:pPr>
        <w:pStyle w:val="FootnoteText"/>
        <w:rPr>
          <w:rFonts w:eastAsia="MS Mincho"/>
          <w:spacing w:val="-2"/>
          <w:szCs w:val="18"/>
          <w:lang w:eastAsia="ja-JP"/>
        </w:rPr>
      </w:pPr>
      <w:r>
        <w:rPr>
          <w:rFonts w:eastAsia="MS Mincho"/>
          <w:spacing w:val="-2"/>
          <w:szCs w:val="18"/>
          <w:lang w:eastAsia="ja-JP"/>
        </w:rPr>
        <w:tab/>
      </w:r>
      <w:r w:rsidRPr="00957F79">
        <w:rPr>
          <w:rFonts w:eastAsia="MS Mincho"/>
          <w:spacing w:val="-2"/>
          <w:szCs w:val="18"/>
          <w:vertAlign w:val="superscript"/>
          <w:lang w:eastAsia="ja-JP"/>
        </w:rPr>
        <w:t>1</w:t>
      </w:r>
      <w:r>
        <w:rPr>
          <w:rFonts w:eastAsia="MS Mincho"/>
          <w:spacing w:val="-2"/>
          <w:szCs w:val="18"/>
          <w:lang w:eastAsia="ja-JP"/>
        </w:rPr>
        <w:tab/>
      </w:r>
      <w:r w:rsidRPr="00962D29">
        <w:rPr>
          <w:rFonts w:eastAsia="MS Mincho"/>
          <w:spacing w:val="-2"/>
          <w:szCs w:val="18"/>
          <w:lang w:eastAsia="ja-JP"/>
        </w:rPr>
        <w:t>Только для металлических деталей.</w:t>
      </w:r>
    </w:p>
    <w:p w:rsidR="00792982" w:rsidRPr="00C05C8F" w:rsidRDefault="00792982" w:rsidP="00792982">
      <w:pPr>
        <w:pStyle w:val="FootnoteText"/>
        <w:rPr>
          <w:szCs w:val="18"/>
        </w:rPr>
      </w:pPr>
      <w:r>
        <w:rPr>
          <w:rFonts w:eastAsia="MS Mincho"/>
          <w:spacing w:val="-2"/>
          <w:szCs w:val="18"/>
          <w:lang w:eastAsia="ja-JP"/>
        </w:rPr>
        <w:tab/>
      </w:r>
      <w:r w:rsidRPr="00514DA3">
        <w:rPr>
          <w:rFonts w:eastAsia="MS Mincho"/>
          <w:spacing w:val="-2"/>
          <w:szCs w:val="16"/>
          <w:vertAlign w:val="superscript"/>
          <w:lang w:eastAsia="ja-JP"/>
        </w:rPr>
        <w:t>2</w:t>
      </w:r>
      <w:r>
        <w:rPr>
          <w:rFonts w:eastAsia="MS Mincho"/>
          <w:spacing w:val="-2"/>
          <w:szCs w:val="16"/>
          <w:vertAlign w:val="superscript"/>
          <w:lang w:eastAsia="ja-JP"/>
        </w:rPr>
        <w:tab/>
      </w:r>
      <w:r w:rsidRPr="00514DA3">
        <w:rPr>
          <w:rFonts w:eastAsia="MS Mincho"/>
          <w:spacing w:val="-2"/>
          <w:szCs w:val="16"/>
          <w:lang w:eastAsia="ja-JP"/>
        </w:rPr>
        <w:t>Только</w:t>
      </w:r>
      <w:r w:rsidRPr="002A55E1">
        <w:rPr>
          <w:rFonts w:eastAsia="MS Mincho"/>
          <w:spacing w:val="-2"/>
          <w:szCs w:val="16"/>
          <w:lang w:eastAsia="ja-JP"/>
        </w:rPr>
        <w:t xml:space="preserve"> </w:t>
      </w:r>
      <w:r w:rsidRPr="00514DA3">
        <w:rPr>
          <w:rFonts w:eastAsia="MS Mincho"/>
          <w:spacing w:val="-2"/>
          <w:szCs w:val="16"/>
          <w:lang w:eastAsia="ja-JP"/>
        </w:rPr>
        <w:t>для</w:t>
      </w:r>
      <w:r w:rsidRPr="002A55E1">
        <w:rPr>
          <w:rFonts w:eastAsia="MS Mincho"/>
          <w:spacing w:val="-2"/>
          <w:szCs w:val="16"/>
          <w:lang w:eastAsia="ja-JP"/>
        </w:rPr>
        <w:t xml:space="preserve"> </w:t>
      </w:r>
      <w:r w:rsidRPr="00514DA3">
        <w:rPr>
          <w:rFonts w:eastAsia="MS Mincho"/>
          <w:spacing w:val="-2"/>
          <w:szCs w:val="16"/>
          <w:lang w:eastAsia="ja-JP"/>
        </w:rPr>
        <w:t>металлических</w:t>
      </w:r>
      <w:r w:rsidRPr="002A55E1">
        <w:rPr>
          <w:rFonts w:eastAsia="MS Mincho"/>
          <w:spacing w:val="-2"/>
          <w:szCs w:val="16"/>
          <w:lang w:eastAsia="ja-JP"/>
        </w:rPr>
        <w:t xml:space="preserve"> </w:t>
      </w:r>
      <w:r w:rsidRPr="00514DA3">
        <w:rPr>
          <w:rFonts w:eastAsia="MS Mincho"/>
          <w:spacing w:val="-2"/>
          <w:szCs w:val="16"/>
          <w:lang w:eastAsia="ja-JP"/>
        </w:rPr>
        <w:t>деталей</w:t>
      </w:r>
      <w:r>
        <w:rPr>
          <w:rFonts w:eastAsia="MS Mincho"/>
          <w:spacing w:val="-2"/>
          <w:szCs w:val="16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82" w:rsidRPr="00A80B87" w:rsidRDefault="005C540C">
    <w:pPr>
      <w:pStyle w:val="Header"/>
    </w:pPr>
    <w:fldSimple w:instr=" TITLE  \* MERGEFORMAT ">
      <w:r w:rsidR="00DC791C">
        <w:t>E/ECE/324/Rev.1/Add.66/Rev.4/Amend.1</w:t>
      </w:r>
    </w:fldSimple>
    <w:r w:rsidR="00792982">
      <w:br/>
    </w:r>
    <w:fldSimple w:instr=" KEYWORDS  \* MERGEFORMAT ">
      <w:r w:rsidR="00DC791C">
        <w:t>E/ECE/TRANS/505/Rev.1/Add.66/Rev.4/Amend.1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82" w:rsidRPr="00A80B87" w:rsidRDefault="005C540C" w:rsidP="00A80B87">
    <w:pPr>
      <w:pStyle w:val="Header"/>
      <w:jc w:val="right"/>
    </w:pPr>
    <w:fldSimple w:instr=" TITLE  \* MERGEFORMAT ">
      <w:r w:rsidR="00DC791C">
        <w:t>E/ECE/324/Rev.1/Add.66/Rev.4/Amend.1</w:t>
      </w:r>
    </w:fldSimple>
    <w:r w:rsidR="00792982">
      <w:br/>
    </w:r>
    <w:fldSimple w:instr=" KEYWORDS  \* MERGEFORMAT ">
      <w:r w:rsidR="00DC791C">
        <w:t>E/ECE/TRANS/505/Rev.1/Add.66/Rev.4/Amend.1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8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44D62"/>
    <w:rsid w:val="00452493"/>
    <w:rsid w:val="004541F0"/>
    <w:rsid w:val="00454E07"/>
    <w:rsid w:val="00471B10"/>
    <w:rsid w:val="00472C5C"/>
    <w:rsid w:val="00491047"/>
    <w:rsid w:val="004D541E"/>
    <w:rsid w:val="0050108D"/>
    <w:rsid w:val="00513081"/>
    <w:rsid w:val="00517901"/>
    <w:rsid w:val="00526669"/>
    <w:rsid w:val="00526683"/>
    <w:rsid w:val="005709E0"/>
    <w:rsid w:val="00572E19"/>
    <w:rsid w:val="005961C8"/>
    <w:rsid w:val="005B268D"/>
    <w:rsid w:val="005C540C"/>
    <w:rsid w:val="005D0CF0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0692"/>
    <w:rsid w:val="00792982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2F86"/>
    <w:rsid w:val="00943923"/>
    <w:rsid w:val="00951972"/>
    <w:rsid w:val="009608F3"/>
    <w:rsid w:val="009A24AC"/>
    <w:rsid w:val="009D084C"/>
    <w:rsid w:val="009D0C51"/>
    <w:rsid w:val="009D13EF"/>
    <w:rsid w:val="009F307A"/>
    <w:rsid w:val="00A04E47"/>
    <w:rsid w:val="00A312BC"/>
    <w:rsid w:val="00A80B87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67277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C791C"/>
    <w:rsid w:val="00DF71B9"/>
    <w:rsid w:val="00E16204"/>
    <w:rsid w:val="00E30FCB"/>
    <w:rsid w:val="00E31FDF"/>
    <w:rsid w:val="00E61C08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A19E6"/>
    <w:rsid w:val="00FD2EF7"/>
    <w:rsid w:val="00FE43F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B16D7B-411D-470E-AD01-F869936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,_GR,Footnote Text Cha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5_G_6 Char,_GR Char,Footnote Text Cha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rsid w:val="00A80B87"/>
    <w:rPr>
      <w:lang w:val="ru-RU" w:eastAsia="en-US"/>
    </w:rPr>
  </w:style>
  <w:style w:type="paragraph" w:customStyle="1" w:styleId="Para">
    <w:name w:val="Para"/>
    <w:basedOn w:val="Normal"/>
    <w:qFormat/>
    <w:rsid w:val="0079298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5237</Words>
  <Characters>29854</Characters>
  <Application>Microsoft Office Word</Application>
  <DocSecurity>0</DocSecurity>
  <Lines>248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E/ECE/324/Rev.1/Add.66/Rev.4/Amend.1</vt:lpstr>
      <vt:lpstr>E/ECE/324/Rev.1/Add.66/Rev.4/Amend.1</vt:lpstr>
      <vt:lpstr>A/</vt:lpstr>
    </vt:vector>
  </TitlesOfParts>
  <Company>DCM</Company>
  <LinksUpToDate>false</LinksUpToDate>
  <CharactersWithSpaces>35021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E/ECE/324/Rev.1/Add.66/Rev.4/Amend.1</dc:title>
  <dc:creator>Marina KOROTKOVA</dc:creator>
  <cp:keywords>E/ECE/TRANS/505/Rev.1/Add.66/Rev.4/Amend.1</cp:keywords>
  <cp:lastModifiedBy>Marie-Claude Collet</cp:lastModifiedBy>
  <cp:revision>3</cp:revision>
  <cp:lastPrinted>2019-01-11T15:28:00Z</cp:lastPrinted>
  <dcterms:created xsi:type="dcterms:W3CDTF">2019-01-11T15:27:00Z</dcterms:created>
  <dcterms:modified xsi:type="dcterms:W3CDTF">2019-01-11T15:28:00Z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