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E3DC9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EE2" w:rsidRPr="00147EE2" w:rsidRDefault="00147EE2" w:rsidP="00147EE2">
            <w:pPr>
              <w:jc w:val="right"/>
              <w:rPr>
                <w:lang w:val="en-US"/>
              </w:rPr>
            </w:pPr>
            <w:r w:rsidRPr="00147EE2">
              <w:rPr>
                <w:sz w:val="40"/>
                <w:lang w:val="en-US"/>
              </w:rPr>
              <w:t>E</w:t>
            </w:r>
            <w:r w:rsidRPr="00147EE2">
              <w:rPr>
                <w:lang w:val="en-US"/>
              </w:rPr>
              <w:t>/ECE/324/Rev.1/Add.66/Rev.4/Amend.1−</w:t>
            </w:r>
            <w:r w:rsidRPr="00147EE2">
              <w:rPr>
                <w:sz w:val="40"/>
                <w:lang w:val="en-US"/>
              </w:rPr>
              <w:t>E</w:t>
            </w:r>
            <w:r w:rsidRPr="00147EE2">
              <w:rPr>
                <w:lang w:val="en-US"/>
              </w:rPr>
              <w:t>/ECE/TRANS/505/Rev.1/Add.66/Rev.4/Amend.1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47EE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47EE2" w:rsidP="00A27C92">
            <w:pPr>
              <w:spacing w:before="480" w:line="240" w:lineRule="exact"/>
            </w:pPr>
            <w:r>
              <w:t>5 novembre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370416">
      <w:pPr>
        <w:pStyle w:val="H1G"/>
        <w:spacing w:before="200"/>
      </w:pPr>
      <w:r>
        <w:tab/>
      </w:r>
      <w:r>
        <w:tab/>
      </w:r>
      <w:r w:rsidR="00421A10" w:rsidRPr="00583D68">
        <w:t xml:space="preserve">Concernant l’adoption </w:t>
      </w:r>
      <w:r w:rsidR="00397D77" w:rsidRPr="00397D77">
        <w:rPr>
          <w:lang w:val="fr-FR"/>
        </w:rPr>
        <w:t xml:space="preserve">de Règlements techniques harmonisés </w:t>
      </w:r>
      <w:r w:rsidR="00397D77">
        <w:rPr>
          <w:lang w:val="fr-FR"/>
        </w:rPr>
        <w:br/>
      </w:r>
      <w:r w:rsidR="00397D77" w:rsidRPr="00397D77">
        <w:rPr>
          <w:lang w:val="fr-FR"/>
        </w:rPr>
        <w:t xml:space="preserve">de l’ONU applicables aux véhicules à roues et aux équipements </w:t>
      </w:r>
      <w:r w:rsidR="00397D77">
        <w:rPr>
          <w:lang w:val="fr-FR"/>
        </w:rPr>
        <w:br/>
      </w:r>
      <w:r w:rsidR="00397D77" w:rsidRPr="00397D77">
        <w:rPr>
          <w:lang w:val="fr-FR"/>
        </w:rPr>
        <w:t xml:space="preserve">et pièces susceptibles d’être montés ou utilisés sur les véhicules </w:t>
      </w:r>
      <w:r w:rsidR="00397D77">
        <w:rPr>
          <w:lang w:val="fr-FR"/>
        </w:rPr>
        <w:br/>
      </w:r>
      <w:r w:rsidR="00397D77" w:rsidRPr="00397D77">
        <w:rPr>
          <w:lang w:val="fr-FR"/>
        </w:rPr>
        <w:t xml:space="preserve">à roues et les conditions de reconnaissance réciproque </w:t>
      </w:r>
      <w:r w:rsidR="00397D77">
        <w:rPr>
          <w:lang w:val="fr-FR"/>
        </w:rPr>
        <w:br/>
      </w:r>
      <w:r w:rsidR="00397D77" w:rsidRPr="00397D77">
        <w:rPr>
          <w:lang w:val="fr-FR"/>
        </w:rPr>
        <w:t>des homologations délivrées conformément à ces Règlements</w:t>
      </w:r>
      <w:r w:rsidR="00442E31" w:rsidRPr="00397D7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370416">
      <w:pPr>
        <w:pStyle w:val="SingleTxtG"/>
        <w:spacing w:after="60"/>
        <w:jc w:val="left"/>
        <w:rPr>
          <w:b/>
          <w:sz w:val="24"/>
          <w:szCs w:val="24"/>
        </w:rPr>
      </w:pPr>
      <w:r w:rsidRPr="006549FF">
        <w:t xml:space="preserve">(Révision </w:t>
      </w:r>
      <w:r w:rsidR="000A4A72" w:rsidRPr="00B52F31">
        <w:rPr>
          <w:lang w:val="fr-FR"/>
        </w:rPr>
        <w:t xml:space="preserve">3, y compris les amendements entrés en vigueur le 14 </w:t>
      </w:r>
      <w:r w:rsidR="000A4A72">
        <w:rPr>
          <w:lang w:val="fr-FR"/>
        </w:rPr>
        <w:t xml:space="preserve">septembre </w:t>
      </w:r>
      <w:r w:rsidR="000A4A72" w:rsidRPr="00B52F31">
        <w:rPr>
          <w:lang w:val="fr-FR"/>
        </w:rPr>
        <w:t>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370416">
      <w:pPr>
        <w:pStyle w:val="HChG"/>
        <w:spacing w:before="240" w:after="120"/>
      </w:pPr>
      <w:r>
        <w:tab/>
      </w:r>
      <w:r>
        <w:tab/>
      </w:r>
      <w:r w:rsidR="00421A10" w:rsidRPr="006549FF">
        <w:t xml:space="preserve">Additif </w:t>
      </w:r>
      <w:r w:rsidR="000A4A72">
        <w:t>66 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A4A72">
        <w:t>67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EA6EFF" w:rsidRPr="00B52F31">
        <w:t xml:space="preserve">4 </w:t>
      </w:r>
      <w:r w:rsidR="00EA6EFF">
        <w:t>−</w:t>
      </w:r>
      <w:r w:rsidR="00EA6EFF" w:rsidRPr="00B52F31">
        <w:t xml:space="preserve"> Amend</w:t>
      </w:r>
      <w:r w:rsidR="00EA6EFF">
        <w:t>e</w:t>
      </w:r>
      <w:r w:rsidR="00EA6EFF" w:rsidRPr="00B52F31">
        <w:t>ment 1</w:t>
      </w:r>
    </w:p>
    <w:p w:rsidR="00370416" w:rsidRPr="00283477" w:rsidRDefault="00370416" w:rsidP="00370416">
      <w:pPr>
        <w:pStyle w:val="SingleTxtG"/>
        <w:spacing w:after="240"/>
        <w:rPr>
          <w:spacing w:val="-2"/>
          <w:lang w:val="fr-FR"/>
        </w:rPr>
      </w:pPr>
      <w:r w:rsidRPr="00283477">
        <w:rPr>
          <w:spacing w:val="-2"/>
          <w:lang w:val="fr-FR"/>
        </w:rPr>
        <w:t>Complément 15 à la série 01 d</w:t>
      </w:r>
      <w:r>
        <w:rPr>
          <w:spacing w:val="-2"/>
          <w:lang w:val="fr-FR"/>
        </w:rPr>
        <w:t>’</w:t>
      </w:r>
      <w:r w:rsidRPr="00283477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283477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d’entrée en vigueur </w:t>
      </w:r>
      <w:r w:rsidRPr="00283477">
        <w:rPr>
          <w:spacing w:val="-2"/>
          <w:lang w:val="fr-FR"/>
        </w:rPr>
        <w:t xml:space="preserve">: 16 </w:t>
      </w:r>
      <w:r>
        <w:rPr>
          <w:spacing w:val="-2"/>
          <w:lang w:val="fr-FR"/>
        </w:rPr>
        <w:t xml:space="preserve">octobre </w:t>
      </w:r>
      <w:r w:rsidRPr="00283477">
        <w:rPr>
          <w:spacing w:val="-2"/>
          <w:lang w:val="fr-FR"/>
        </w:rPr>
        <w:t>2018</w:t>
      </w:r>
    </w:p>
    <w:p w:rsidR="00421A10" w:rsidRPr="0029791D" w:rsidRDefault="00370416" w:rsidP="00370416">
      <w:pPr>
        <w:pStyle w:val="SingleTxtG"/>
      </w:pPr>
      <w:r w:rsidRPr="00586A3B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586A3B">
        <w:rPr>
          <w:spacing w:val="-4"/>
          <w:lang w:eastAsia="en-GB"/>
        </w:rPr>
        <w:t>information</w:t>
      </w:r>
      <w:r w:rsidRPr="00B52F31">
        <w:rPr>
          <w:spacing w:val="-4"/>
          <w:lang w:eastAsia="en-GB"/>
        </w:rPr>
        <w:t xml:space="preserve">. </w:t>
      </w:r>
      <w:r w:rsidRPr="00586A3B">
        <w:rPr>
          <w:spacing w:val="-4"/>
          <w:lang w:eastAsia="en-GB"/>
        </w:rPr>
        <w:t xml:space="preserve">Le texte authentique, juridiquement contraignant, est celui du document </w:t>
      </w:r>
      <w:r w:rsidRPr="00B52F31">
        <w:rPr>
          <w:spacing w:val="-6"/>
          <w:lang w:eastAsia="en-GB"/>
        </w:rPr>
        <w:t>ECE/TRANS/WP.29/2018/18.</w:t>
      </w:r>
    </w:p>
    <w:p w:rsidR="00421A10" w:rsidRDefault="0029791D" w:rsidP="00370416">
      <w:pPr>
        <w:pStyle w:val="H1G"/>
        <w:spacing w:before="200" w:after="0"/>
      </w:pPr>
      <w:r>
        <w:tab/>
      </w:r>
      <w:r>
        <w:tab/>
      </w:r>
      <w:r w:rsidR="00421A10" w:rsidRPr="007619D3">
        <w:t xml:space="preserve">Prescriptions uniformes relatives </w:t>
      </w:r>
      <w:r w:rsidR="00370416" w:rsidRPr="00376859">
        <w:rPr>
          <w:lang w:val="fr-FR"/>
        </w:rPr>
        <w:t>à l</w:t>
      </w:r>
      <w:r w:rsidR="00370416">
        <w:rPr>
          <w:lang w:val="fr-FR"/>
        </w:rPr>
        <w:t>’</w:t>
      </w:r>
      <w:r w:rsidR="00370416" w:rsidRPr="00376859">
        <w:rPr>
          <w:lang w:val="fr-FR"/>
        </w:rPr>
        <w:t>homologation :</w:t>
      </w:r>
    </w:p>
    <w:p w:rsidR="00147EE2" w:rsidRDefault="00370416" w:rsidP="00370416">
      <w:pPr>
        <w:pStyle w:val="H1G"/>
        <w:spacing w:before="0" w:after="0"/>
        <w:ind w:left="1701" w:hanging="567"/>
      </w:pPr>
      <w:r w:rsidRPr="00376859">
        <w:rPr>
          <w:lang w:val="fr-FR"/>
        </w:rPr>
        <w:t>I.</w:t>
      </w:r>
      <w:r w:rsidRPr="00376859">
        <w:rPr>
          <w:lang w:val="fr-FR"/>
        </w:rPr>
        <w:tab/>
        <w:t>Des équipements spéciaux pour l</w:t>
      </w:r>
      <w:r>
        <w:rPr>
          <w:lang w:val="fr-FR"/>
        </w:rPr>
        <w:t>’</w:t>
      </w:r>
      <w:r w:rsidRPr="00376859">
        <w:rPr>
          <w:lang w:val="fr-FR"/>
        </w:rPr>
        <w:t>alimentation du moteur aux gaz de pétrole liquéfiés sur les véhicules des catégories M et N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DD" w:rsidRPr="0029791D" w:rsidRDefault="002700DD" w:rsidP="002875EA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2700DD" w:rsidRDefault="002700DD" w:rsidP="002875E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0DD" w:rsidRDefault="002700DD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2700DD" w:rsidRPr="0029791D" w:rsidRDefault="002700DD" w:rsidP="002875EA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2700DD" w:rsidRDefault="002700DD" w:rsidP="002875E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00DD" w:rsidRDefault="002700DD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875EA" w:rsidRDefault="00370416" w:rsidP="00370416">
      <w:pPr>
        <w:pStyle w:val="H1G"/>
        <w:spacing w:before="0"/>
        <w:ind w:left="1701" w:hanging="567"/>
        <w:rPr>
          <w:lang w:val="fr-FR"/>
        </w:rPr>
      </w:pPr>
      <w:r w:rsidRPr="00376859">
        <w:rPr>
          <w:lang w:val="fr-FR"/>
        </w:rPr>
        <w:t>II.</w:t>
      </w:r>
      <w:r w:rsidRPr="00376859">
        <w:rPr>
          <w:lang w:val="fr-FR"/>
        </w:rPr>
        <w:tab/>
        <w:t>Des véhicules des catégories M et N munis d</w:t>
      </w:r>
      <w:r>
        <w:rPr>
          <w:lang w:val="fr-FR"/>
        </w:rPr>
        <w:t>’</w:t>
      </w:r>
      <w:r w:rsidRPr="00376859">
        <w:rPr>
          <w:lang w:val="fr-FR"/>
        </w:rPr>
        <w:t>un équipement spécial pour l</w:t>
      </w:r>
      <w:r>
        <w:rPr>
          <w:lang w:val="fr-FR"/>
        </w:rPr>
        <w:t>’</w:t>
      </w:r>
      <w:r w:rsidRPr="00376859">
        <w:rPr>
          <w:lang w:val="fr-FR"/>
        </w:rPr>
        <w:t xml:space="preserve">alimentation du moteur aux gaz de pétrole </w:t>
      </w:r>
      <w:r>
        <w:rPr>
          <w:lang w:val="fr-FR"/>
        </w:rPr>
        <w:br/>
      </w:r>
      <w:r w:rsidRPr="00376859">
        <w:rPr>
          <w:lang w:val="fr-FR"/>
        </w:rPr>
        <w:t>liqué</w:t>
      </w:r>
      <w:bookmarkStart w:id="0" w:name="_GoBack"/>
      <w:bookmarkEnd w:id="0"/>
      <w:r w:rsidRPr="00376859">
        <w:rPr>
          <w:lang w:val="fr-FR"/>
        </w:rPr>
        <w:t>fiés, en ce qui concerne l</w:t>
      </w:r>
      <w:r>
        <w:rPr>
          <w:lang w:val="fr-FR"/>
        </w:rPr>
        <w:t>’</w:t>
      </w:r>
      <w:r w:rsidRPr="00376859">
        <w:rPr>
          <w:lang w:val="fr-FR"/>
        </w:rPr>
        <w:t>installation de cet équipement</w:t>
      </w:r>
    </w:p>
    <w:p w:rsidR="002875EA" w:rsidRPr="00FF328B" w:rsidRDefault="002875EA" w:rsidP="002875EA">
      <w:pPr>
        <w:pStyle w:val="SingleTxtG"/>
      </w:pPr>
      <w:r>
        <w:rPr>
          <w:lang w:val="fr-FR"/>
        </w:rPr>
        <w:br w:type="page"/>
      </w:r>
      <w:bookmarkStart w:id="1" w:name="bookmark_22"/>
      <w:r w:rsidRPr="00432C03">
        <w:rPr>
          <w:i/>
        </w:rPr>
        <w:lastRenderedPageBreak/>
        <w:t>Table des matières, annexes</w:t>
      </w:r>
      <w:r w:rsidRPr="00FF328B">
        <w:t>, lire</w:t>
      </w:r>
      <w:bookmarkEnd w:id="1"/>
      <w:r>
        <w:t> :</w:t>
      </w:r>
    </w:p>
    <w:p w:rsidR="002875EA" w:rsidRPr="00FF328B" w:rsidRDefault="002875EA" w:rsidP="002875EA">
      <w:pPr>
        <w:pStyle w:val="SingleTxtG"/>
      </w:pPr>
      <w:bookmarkStart w:id="2" w:name="bookmark_23"/>
      <w:r w:rsidRPr="00FF328B">
        <w:t>«</w:t>
      </w:r>
      <w:r>
        <w:t> </w:t>
      </w:r>
      <w:r w:rsidRPr="00FF328B">
        <w:t>Annexes</w:t>
      </w:r>
      <w:bookmarkEnd w:id="2"/>
    </w:p>
    <w:p w:rsidR="002875EA" w:rsidRPr="00FF328B" w:rsidRDefault="002875EA" w:rsidP="002875EA">
      <w:pPr>
        <w:pStyle w:val="SingleTxtG"/>
      </w:pPr>
      <w:bookmarkStart w:id="3" w:name="bookmark_24"/>
      <w:r w:rsidRPr="00FF328B">
        <w:t>…</w:t>
      </w:r>
      <w:bookmarkEnd w:id="3"/>
    </w:p>
    <w:p w:rsidR="002875EA" w:rsidRPr="00FF328B" w:rsidRDefault="002875EA" w:rsidP="002875EA">
      <w:pPr>
        <w:pStyle w:val="SingleTxtG"/>
      </w:pPr>
      <w:bookmarkStart w:id="4" w:name="bookmark_25"/>
      <w:r w:rsidRPr="00FF328B">
        <w:t>14</w:t>
      </w:r>
      <w:r>
        <w:t>.</w:t>
      </w:r>
      <w:r w:rsidRPr="00FF328B">
        <w:tab/>
        <w:t>Dispositions relatives à l</w:t>
      </w:r>
      <w:r>
        <w:t>’</w:t>
      </w:r>
      <w:r w:rsidRPr="00FF328B">
        <w:t>homologation du module de commande électronique</w:t>
      </w:r>
      <w:bookmarkEnd w:id="4"/>
    </w:p>
    <w:p w:rsidR="002875EA" w:rsidRPr="00FF328B" w:rsidRDefault="002875EA" w:rsidP="002875EA">
      <w:pPr>
        <w:pStyle w:val="SingleTxtG"/>
        <w:ind w:left="1701" w:hanging="567"/>
      </w:pPr>
      <w:bookmarkStart w:id="5" w:name="bookmark_26"/>
      <w:r w:rsidRPr="00FF328B">
        <w:t>15</w:t>
      </w:r>
      <w:r>
        <w:t>.</w:t>
      </w:r>
      <w:r w:rsidRPr="00FF328B">
        <w:tab/>
        <w:t>Dispositions relatives à l</w:t>
      </w:r>
      <w:r>
        <w:t>’</w:t>
      </w:r>
      <w:r w:rsidRPr="00FF328B">
        <w:t>homologation des tuyaux à gaz autres que sans soudure, des tuyaux à gaz faits de matériaux autres que le cuivre, l</w:t>
      </w:r>
      <w:r>
        <w:t>’</w:t>
      </w:r>
      <w:r w:rsidRPr="00FF328B">
        <w:t>acier inoxydable et l</w:t>
      </w:r>
      <w:r>
        <w:t>’</w:t>
      </w:r>
      <w:r w:rsidRPr="00FF328B">
        <w:t>acier avec un revêtement résistant à la corrosion, ainsi que de leurs raccords</w:t>
      </w:r>
      <w:bookmarkEnd w:id="5"/>
    </w:p>
    <w:p w:rsidR="002875EA" w:rsidRPr="00FF328B" w:rsidRDefault="002875EA" w:rsidP="002875EA">
      <w:pPr>
        <w:pStyle w:val="SingleTxtG"/>
      </w:pPr>
      <w:bookmarkStart w:id="6" w:name="bookmark_27"/>
      <w:r w:rsidRPr="00FF328B">
        <w:t>16</w:t>
      </w:r>
      <w:r>
        <w:t>.</w:t>
      </w:r>
      <w:r w:rsidRPr="00FF328B">
        <w:tab/>
      </w:r>
      <w:bookmarkEnd w:id="6"/>
      <w:r w:rsidRPr="00FF328B">
        <w:t>Épreuves</w:t>
      </w:r>
    </w:p>
    <w:p w:rsidR="002875EA" w:rsidRPr="00FF328B" w:rsidRDefault="002875EA" w:rsidP="002875EA">
      <w:pPr>
        <w:pStyle w:val="SingleTxtG"/>
      </w:pPr>
      <w:bookmarkStart w:id="7" w:name="bookmark_28"/>
      <w:r w:rsidRPr="00FF328B">
        <w:t>17</w:t>
      </w:r>
      <w:r>
        <w:t>.</w:t>
      </w:r>
      <w:r w:rsidRPr="00FF328B">
        <w:tab/>
        <w:t>Prescriptions relatives à la marque GPL pour les véhicules des catégories M</w:t>
      </w:r>
      <w:r w:rsidRPr="00000D81">
        <w:rPr>
          <w:vertAlign w:val="subscript"/>
        </w:rPr>
        <w:t>2</w:t>
      </w:r>
      <w:r w:rsidRPr="00FF328B">
        <w:t xml:space="preserve"> et M</w:t>
      </w:r>
      <w:r w:rsidRPr="00000D81">
        <w:rPr>
          <w:vertAlign w:val="subscript"/>
        </w:rPr>
        <w:t>3</w:t>
      </w:r>
      <w:bookmarkEnd w:id="7"/>
    </w:p>
    <w:p w:rsidR="002875EA" w:rsidRPr="00FF328B" w:rsidRDefault="002875EA" w:rsidP="002875EA">
      <w:pPr>
        <w:pStyle w:val="SingleTxtG"/>
      </w:pPr>
      <w:bookmarkStart w:id="8" w:name="bookmark_29"/>
      <w:r w:rsidRPr="00FF328B">
        <w:t>18</w:t>
      </w:r>
      <w:r>
        <w:t>.</w:t>
      </w:r>
      <w:r w:rsidRPr="00FF328B">
        <w:tab/>
        <w:t>Prescriptions relatives à l</w:t>
      </w:r>
      <w:r>
        <w:t>’</w:t>
      </w:r>
      <w:r w:rsidRPr="00FF328B">
        <w:t>étiquette signalant le raccord d</w:t>
      </w:r>
      <w:r>
        <w:t>’</w:t>
      </w:r>
      <w:r w:rsidRPr="00FF328B">
        <w:t>alimentation de secours</w:t>
      </w:r>
      <w:bookmarkEnd w:id="8"/>
    </w:p>
    <w:p w:rsidR="002875EA" w:rsidRPr="00FF328B" w:rsidRDefault="002875EA" w:rsidP="002875EA">
      <w:pPr>
        <w:pStyle w:val="SingleTxtG"/>
        <w:ind w:left="1701" w:hanging="567"/>
      </w:pPr>
      <w:bookmarkStart w:id="9" w:name="bookmark_30"/>
      <w:r w:rsidRPr="00FF328B">
        <w:t>19</w:t>
      </w:r>
      <w:r>
        <w:t>.</w:t>
      </w:r>
      <w:r w:rsidRPr="00FF328B">
        <w:tab/>
        <w:t>Dispositions relatives à la compatibilité des organes et parties métalliques et non métalliques avec l</w:t>
      </w:r>
      <w:r>
        <w:t>’</w:t>
      </w:r>
      <w:r w:rsidRPr="00FF328B">
        <w:t>essence</w:t>
      </w:r>
      <w:bookmarkEnd w:id="9"/>
    </w:p>
    <w:p w:rsidR="002875EA" w:rsidRPr="00FF328B" w:rsidRDefault="002875EA" w:rsidP="002875EA">
      <w:pPr>
        <w:pStyle w:val="SingleTxtG"/>
        <w:keepNext/>
        <w:keepLines/>
      </w:pPr>
      <w:bookmarkStart w:id="10" w:name="bookmark_31"/>
      <w:r w:rsidRPr="00FF328B">
        <w:t>20</w:t>
      </w:r>
      <w:r>
        <w:t>.</w:t>
      </w:r>
      <w:r w:rsidRPr="00FF328B">
        <w:tab/>
        <w:t>Dispositions relatives aux équipements GPL interconnectés</w:t>
      </w:r>
      <w:bookmarkEnd w:id="10"/>
      <w:r>
        <w:t> »</w:t>
      </w:r>
      <w:r w:rsidR="00DC7D30">
        <w:t>.</w:t>
      </w:r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spacing w:val="-2"/>
        </w:rPr>
      </w:pPr>
      <w:bookmarkStart w:id="11" w:name="bookmark_32"/>
      <w:r w:rsidRPr="00432C03">
        <w:rPr>
          <w:i/>
        </w:rPr>
        <w:t>Paragraphe 2.2</w:t>
      </w:r>
      <w:r w:rsidRPr="00FF328B">
        <w:t>, lire</w:t>
      </w:r>
      <w:bookmarkEnd w:id="11"/>
      <w:r>
        <w:t> :</w:t>
      </w:r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spacing w:val="-2"/>
        </w:rPr>
      </w:pPr>
      <w:bookmarkStart w:id="12" w:name="bookmark_33"/>
      <w:r w:rsidRPr="00FF328B">
        <w:t>«</w:t>
      </w:r>
      <w:r>
        <w:t> 2.2</w:t>
      </w:r>
      <w:r>
        <w:tab/>
        <w:t xml:space="preserve">Par </w:t>
      </w:r>
      <w:r w:rsidRPr="00432C03">
        <w:t>“</w:t>
      </w:r>
      <w:r w:rsidRPr="00432C03">
        <w:rPr>
          <w:i/>
        </w:rPr>
        <w:t>équipement spécial GPL</w:t>
      </w:r>
      <w:bookmarkEnd w:id="12"/>
      <w:r w:rsidRPr="00432C03">
        <w:t>”</w:t>
      </w:r>
      <w:r>
        <w:t> :</w:t>
      </w:r>
    </w:p>
    <w:p w:rsidR="002875EA" w:rsidRPr="00FF328B" w:rsidRDefault="002875EA" w:rsidP="002875EA">
      <w:pPr>
        <w:pStyle w:val="SingleTxtG"/>
        <w:ind w:left="2268" w:hanging="567"/>
      </w:pPr>
      <w:bookmarkStart w:id="13" w:name="bookmark_34"/>
      <w:r w:rsidRPr="00FF328B">
        <w:t>a)</w:t>
      </w:r>
      <w:r w:rsidRPr="00FF328B">
        <w:tab/>
        <w:t>Le réservoir</w:t>
      </w:r>
      <w:bookmarkEnd w:id="13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14" w:name="bookmark_35"/>
      <w:r w:rsidRPr="00FF328B">
        <w:t>b)</w:t>
      </w:r>
      <w:r w:rsidRPr="00FF328B">
        <w:tab/>
        <w:t>Les accessoires fixés au réservoir</w:t>
      </w:r>
      <w:bookmarkEnd w:id="14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15" w:name="bookmark_36"/>
      <w:r>
        <w:t>c)</w:t>
      </w:r>
      <w:r w:rsidRPr="00FF328B">
        <w:tab/>
        <w:t>Le vaporiseur/détendeur</w:t>
      </w:r>
      <w:bookmarkEnd w:id="15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16" w:name="bookmark_37"/>
      <w:r>
        <w:t>d)</w:t>
      </w:r>
      <w:r w:rsidRPr="00FF328B">
        <w:tab/>
        <w:t>La vanne d</w:t>
      </w:r>
      <w:r>
        <w:t>’</w:t>
      </w:r>
      <w:r w:rsidRPr="00FF328B">
        <w:t>arrêt</w:t>
      </w:r>
      <w:bookmarkEnd w:id="16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17" w:name="bookmark_38"/>
      <w:r>
        <w:t>e)</w:t>
      </w:r>
      <w:r w:rsidRPr="00FF328B">
        <w:tab/>
        <w:t>Le dispositif injecteur de gaz, ou l</w:t>
      </w:r>
      <w:r>
        <w:t>’</w:t>
      </w:r>
      <w:r w:rsidRPr="00FF328B">
        <w:t>injecteur, ou le mélangeur de gaz</w:t>
      </w:r>
      <w:bookmarkEnd w:id="17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18" w:name="bookmark_39"/>
      <w:r>
        <w:t>f)</w:t>
      </w:r>
      <w:r w:rsidRPr="00FF328B">
        <w:tab/>
        <w:t>Le doseur de gaz, qui peut être un organe distinct, ou être combiné avec le dispositif d</w:t>
      </w:r>
      <w:r>
        <w:t>’</w:t>
      </w:r>
      <w:r w:rsidRPr="00FF328B">
        <w:t>injection de gaz</w:t>
      </w:r>
      <w:bookmarkEnd w:id="18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19" w:name="bookmark_40"/>
      <w:r>
        <w:t>g)</w:t>
      </w:r>
      <w:r w:rsidRPr="00FF328B">
        <w:tab/>
        <w:t>Les flexibles</w:t>
      </w:r>
      <w:bookmarkEnd w:id="19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0" w:name="bookmark_41"/>
      <w:r>
        <w:t>h)</w:t>
      </w:r>
      <w:r w:rsidRPr="00FF328B">
        <w:tab/>
        <w:t>L</w:t>
      </w:r>
      <w:r>
        <w:t>’</w:t>
      </w:r>
      <w:r w:rsidRPr="00FF328B">
        <w:t>embout de remplissage</w:t>
      </w:r>
      <w:bookmarkEnd w:id="20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1" w:name="bookmark_42"/>
      <w:r>
        <w:t>i)</w:t>
      </w:r>
      <w:r w:rsidRPr="00FF328B">
        <w:tab/>
        <w:t>La soupape antiretour</w:t>
      </w:r>
      <w:bookmarkEnd w:id="21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2" w:name="bookmark_43"/>
      <w:r>
        <w:t>j)</w:t>
      </w:r>
      <w:r w:rsidRPr="00FF328B">
        <w:tab/>
        <w:t>La soupape de surpression sur la tuyauterie de gaz</w:t>
      </w:r>
      <w:bookmarkEnd w:id="22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3" w:name="bookmark_44"/>
      <w:r>
        <w:t>k)</w:t>
      </w:r>
      <w:r w:rsidRPr="00FF328B">
        <w:tab/>
        <w:t>Le filtre à GPL</w:t>
      </w:r>
      <w:bookmarkEnd w:id="23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4" w:name="bookmark_45"/>
      <w:r>
        <w:t>l)</w:t>
      </w:r>
      <w:r w:rsidRPr="00FF328B">
        <w:tab/>
        <w:t>Le capteur de pression ou de température</w:t>
      </w:r>
      <w:bookmarkEnd w:id="24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5" w:name="bookmark_46"/>
      <w:r>
        <w:t>m)</w:t>
      </w:r>
      <w:r w:rsidRPr="00FF328B">
        <w:tab/>
        <w:t>La pompe à GPL</w:t>
      </w:r>
      <w:bookmarkEnd w:id="25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6" w:name="bookmark_47"/>
      <w:r>
        <w:t>n)</w:t>
      </w:r>
      <w:r w:rsidRPr="00FF328B">
        <w:tab/>
        <w:t>Le raccord d</w:t>
      </w:r>
      <w:r>
        <w:t>’</w:t>
      </w:r>
      <w:r w:rsidRPr="00FF328B">
        <w:t>alimentation de secours</w:t>
      </w:r>
      <w:bookmarkEnd w:id="26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7" w:name="bookmark_48"/>
      <w:r>
        <w:t>o)</w:t>
      </w:r>
      <w:r w:rsidRPr="00FF328B">
        <w:tab/>
        <w:t>Le module de commande électronique</w:t>
      </w:r>
      <w:bookmarkEnd w:id="27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8" w:name="bookmark_49"/>
      <w:r>
        <w:t>p)</w:t>
      </w:r>
      <w:r>
        <w:tab/>
        <w:t>La rampe d’</w:t>
      </w:r>
      <w:r w:rsidRPr="00FF328B">
        <w:t>alimentation</w:t>
      </w:r>
      <w:bookmarkEnd w:id="28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29" w:name="bookmark_50"/>
      <w:r>
        <w:t>q)</w:t>
      </w:r>
      <w:r w:rsidRPr="00FF328B">
        <w:tab/>
        <w:t>Le dispositif de surpression</w:t>
      </w:r>
      <w:bookmarkEnd w:id="29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30" w:name="bookmark_51"/>
      <w:r>
        <w:t>r)</w:t>
      </w:r>
      <w:r w:rsidRPr="00FF328B">
        <w:tab/>
        <w:t xml:space="preserve">Le bloc </w:t>
      </w:r>
      <w:proofErr w:type="spellStart"/>
      <w:r w:rsidRPr="00FF328B">
        <w:t>multiorganes</w:t>
      </w:r>
      <w:proofErr w:type="spellEnd"/>
      <w:r w:rsidRPr="00FF328B">
        <w:t> </w:t>
      </w:r>
      <w:bookmarkEnd w:id="30"/>
      <w:r w:rsidRPr="00FF328B">
        <w:t>;</w:t>
      </w:r>
    </w:p>
    <w:p w:rsidR="002875EA" w:rsidRPr="00FF328B" w:rsidRDefault="002875EA" w:rsidP="002875EA">
      <w:pPr>
        <w:pStyle w:val="SingleTxtG"/>
        <w:ind w:left="2268" w:hanging="567"/>
      </w:pPr>
      <w:bookmarkStart w:id="31" w:name="bookmark_52"/>
      <w:r>
        <w:t>s)</w:t>
      </w:r>
      <w:r w:rsidRPr="00FF328B">
        <w:tab/>
        <w:t>Les tuyaux à gaz sans soudure et autres que sans soudure, et leurs raccords</w:t>
      </w:r>
      <w:bookmarkEnd w:id="31"/>
      <w:r>
        <w:t> ;</w:t>
      </w:r>
    </w:p>
    <w:p w:rsidR="002875EA" w:rsidRPr="00FF328B" w:rsidRDefault="002875EA" w:rsidP="002875EA">
      <w:pPr>
        <w:pStyle w:val="SingleTxtG"/>
        <w:ind w:left="2268" w:hanging="567"/>
      </w:pPr>
      <w:bookmarkStart w:id="32" w:name="bookmark_53"/>
      <w:r>
        <w:t>t)</w:t>
      </w:r>
      <w:r w:rsidRPr="00FF328B">
        <w:tab/>
        <w:t>Les tuyaux à gaz faits de matériaux autres que le cuivre, l</w:t>
      </w:r>
      <w:r>
        <w:t>’</w:t>
      </w:r>
      <w:r w:rsidRPr="00FF328B">
        <w:t>acier inoxydable et l</w:t>
      </w:r>
      <w:r>
        <w:t>’</w:t>
      </w:r>
      <w:r w:rsidRPr="00FF328B">
        <w:t>acier avec un revêtement résistant à la corrosion, ainsi que leurs raccords</w:t>
      </w:r>
      <w:bookmarkEnd w:id="32"/>
      <w:r>
        <w:t>. </w:t>
      </w:r>
      <w:r w:rsidRPr="00FF328B">
        <w:t>»</w:t>
      </w:r>
      <w:r w:rsidR="002700DD">
        <w:t>.</w:t>
      </w:r>
    </w:p>
    <w:p w:rsidR="002875EA" w:rsidRPr="00FF328B" w:rsidRDefault="002875EA" w:rsidP="002875EA">
      <w:pPr>
        <w:pStyle w:val="SingleTxtG"/>
        <w:keepNext/>
        <w:keepLines/>
      </w:pPr>
      <w:bookmarkStart w:id="33" w:name="bookmark_54"/>
      <w:r w:rsidRPr="00432C03">
        <w:rPr>
          <w:i/>
        </w:rPr>
        <w:t>Ajouter les nouveaux paragraphes 2.21 à 2.24</w:t>
      </w:r>
      <w:r w:rsidRPr="00FF328B">
        <w:t>, libellés comme suit</w:t>
      </w:r>
      <w:r>
        <w:t> </w:t>
      </w:r>
      <w:bookmarkEnd w:id="33"/>
      <w:r>
        <w:t>:</w:t>
      </w:r>
    </w:p>
    <w:p w:rsidR="002875EA" w:rsidRPr="00FF328B" w:rsidRDefault="002875EA" w:rsidP="002875EA">
      <w:pPr>
        <w:pStyle w:val="SingleTxtG"/>
        <w:ind w:left="2268" w:hanging="1134"/>
      </w:pPr>
      <w:bookmarkStart w:id="34" w:name="bookmark_55"/>
      <w:r w:rsidRPr="00FF328B">
        <w:t>«</w:t>
      </w:r>
      <w:r>
        <w:t> </w:t>
      </w:r>
      <w:r w:rsidRPr="00FF328B">
        <w:t>2.21</w:t>
      </w:r>
      <w:r w:rsidRPr="00FF328B">
        <w:tab/>
        <w:t xml:space="preserve">Par </w:t>
      </w:r>
      <w:r w:rsidRPr="00432C03">
        <w:t>“</w:t>
      </w:r>
      <w:r w:rsidRPr="00FF328B">
        <w:rPr>
          <w:i/>
          <w:iCs/>
        </w:rPr>
        <w:t>équipement GPL</w:t>
      </w:r>
      <w:r w:rsidRPr="00432C03">
        <w:t>”</w:t>
      </w:r>
      <w:r w:rsidRPr="00FF328B">
        <w:t>, un ensemble d</w:t>
      </w:r>
      <w:r>
        <w:t>’</w:t>
      </w:r>
      <w:r w:rsidRPr="00FF328B">
        <w:t>éléments GPL spécifiques conçu pour être installé sur un véhicule pour constituer un tout intégré et fonctionnel destiné à permettre la propulsion au moyen du GPL</w:t>
      </w:r>
      <w:bookmarkEnd w:id="34"/>
      <w:r>
        <w:t> ;</w:t>
      </w:r>
    </w:p>
    <w:p w:rsidR="002875EA" w:rsidRPr="00FF328B" w:rsidRDefault="002875EA" w:rsidP="002875EA">
      <w:pPr>
        <w:pStyle w:val="SingleTxtG"/>
        <w:ind w:left="2268" w:hanging="1134"/>
      </w:pPr>
      <w:bookmarkStart w:id="35" w:name="bookmark_56"/>
      <w:r w:rsidRPr="00FF328B">
        <w:lastRenderedPageBreak/>
        <w:t>2.22</w:t>
      </w:r>
      <w:r w:rsidRPr="00FF328B">
        <w:tab/>
        <w:t xml:space="preserve">Par </w:t>
      </w:r>
      <w:r w:rsidRPr="00432C03">
        <w:t>“</w:t>
      </w:r>
      <w:r w:rsidRPr="00FF328B">
        <w:rPr>
          <w:i/>
          <w:iCs/>
        </w:rPr>
        <w:t>équipement GPL interconnecté</w:t>
      </w:r>
      <w:r w:rsidRPr="00432C03">
        <w:t>”</w:t>
      </w:r>
      <w:r w:rsidRPr="00FF328B">
        <w:t>, un équipement GPL ayant des interconnexions hydrauliques avec le système d</w:t>
      </w:r>
      <w:r>
        <w:t>’</w:t>
      </w:r>
      <w:r w:rsidRPr="00FF328B">
        <w:t>alimentation en essence ou en gazole ;</w:t>
      </w:r>
      <w:bookmarkEnd w:id="35"/>
    </w:p>
    <w:p w:rsidR="002875EA" w:rsidRPr="00FF328B" w:rsidRDefault="002875EA" w:rsidP="002875EA">
      <w:pPr>
        <w:pStyle w:val="SingleTxtG"/>
        <w:ind w:left="2268" w:hanging="1134"/>
      </w:pPr>
      <w:bookmarkStart w:id="36" w:name="bookmark_57"/>
      <w:r w:rsidRPr="00FF328B">
        <w:t>2.23</w:t>
      </w:r>
      <w:r w:rsidRPr="00FF328B">
        <w:tab/>
        <w:t xml:space="preserve">Par </w:t>
      </w:r>
      <w:r w:rsidRPr="00432C03">
        <w:t>“</w:t>
      </w:r>
      <w:r w:rsidRPr="00FF328B">
        <w:rPr>
          <w:i/>
          <w:iCs/>
        </w:rPr>
        <w:t xml:space="preserve">bloc </w:t>
      </w:r>
      <w:proofErr w:type="spellStart"/>
      <w:r w:rsidRPr="00FF328B">
        <w:rPr>
          <w:i/>
          <w:iCs/>
        </w:rPr>
        <w:t>multiorganes</w:t>
      </w:r>
      <w:proofErr w:type="spellEnd"/>
      <w:r w:rsidRPr="00432C03">
        <w:t>”</w:t>
      </w:r>
      <w:r w:rsidRPr="00FF328B">
        <w:t>, une combinaison ou un assemblage des organes spéciaux susmentionnés.</w:t>
      </w:r>
      <w:bookmarkEnd w:id="36"/>
    </w:p>
    <w:p w:rsidR="002875EA" w:rsidRPr="00FF328B" w:rsidRDefault="002875EA" w:rsidP="002875EA">
      <w:pPr>
        <w:pStyle w:val="SingleTxtG"/>
        <w:ind w:left="2268" w:hanging="1134"/>
      </w:pPr>
      <w:bookmarkStart w:id="37" w:name="bookmark_58"/>
      <w:r w:rsidRPr="00FF328B">
        <w:t>2.24</w:t>
      </w:r>
      <w:r w:rsidRPr="00FF328B">
        <w:tab/>
        <w:t xml:space="preserve">Par </w:t>
      </w:r>
      <w:r w:rsidRPr="00432C03">
        <w:t>“</w:t>
      </w:r>
      <w:r w:rsidRPr="00FF328B">
        <w:rPr>
          <w:i/>
          <w:iCs/>
        </w:rPr>
        <w:t>tuyauterie à gaz</w:t>
      </w:r>
      <w:r w:rsidRPr="00432C03">
        <w:t>”</w:t>
      </w:r>
      <w:r w:rsidRPr="00FF328B">
        <w:t>, une tubulure fabriquée dans un matériau métallique par laquelle s</w:t>
      </w:r>
      <w:r>
        <w:t>’</w:t>
      </w:r>
      <w:r w:rsidRPr="00FF328B">
        <w:t>écoule le GPL, conçue pour ne pas fléchir dans des conditions normales de fonctionnement.</w:t>
      </w:r>
      <w:bookmarkEnd w:id="37"/>
      <w:r>
        <w:t> »</w:t>
      </w:r>
      <w:r w:rsidR="002700DD">
        <w:t>.</w:t>
      </w:r>
    </w:p>
    <w:p w:rsidR="002875EA" w:rsidRPr="00FF328B" w:rsidRDefault="002875EA" w:rsidP="002875EA">
      <w:pPr>
        <w:pStyle w:val="SingleTxtG"/>
        <w:keepNext/>
        <w:keepLines/>
      </w:pPr>
      <w:bookmarkStart w:id="38" w:name="bookmark_59"/>
      <w:r>
        <w:rPr>
          <w:i/>
          <w:iCs/>
        </w:rPr>
        <w:t>Paragraphe </w:t>
      </w:r>
      <w:r w:rsidRPr="00FF328B">
        <w:rPr>
          <w:i/>
          <w:iCs/>
        </w:rPr>
        <w:t>4.2</w:t>
      </w:r>
      <w:r w:rsidRPr="00FF328B">
        <w:t>,</w:t>
      </w:r>
      <w:r>
        <w:t xml:space="preserve"> </w:t>
      </w:r>
      <w:r w:rsidRPr="00FF328B">
        <w:t>lire</w:t>
      </w:r>
      <w:bookmarkEnd w:id="38"/>
      <w:r>
        <w:t> :</w:t>
      </w:r>
    </w:p>
    <w:p w:rsidR="002875EA" w:rsidRPr="00FF328B" w:rsidRDefault="002875EA" w:rsidP="002875EA">
      <w:pPr>
        <w:pStyle w:val="SingleTxtG"/>
        <w:ind w:left="2268" w:hanging="1134"/>
      </w:pPr>
      <w:bookmarkStart w:id="39" w:name="bookmark_60"/>
      <w:r w:rsidRPr="00FF328B">
        <w:t>«</w:t>
      </w:r>
      <w:r>
        <w:t> </w:t>
      </w:r>
      <w:r w:rsidRPr="00FF328B">
        <w:t>4.2</w:t>
      </w:r>
      <w:r w:rsidRPr="00FF328B">
        <w:tab/>
        <w:t>Chaque élément de l</w:t>
      </w:r>
      <w:r>
        <w:t>’</w:t>
      </w:r>
      <w:r w:rsidRPr="00FF328B">
        <w:t>équipement doit comporter</w:t>
      </w:r>
      <w:r>
        <w:t> </w:t>
      </w:r>
      <w:r w:rsidRPr="00FF328B">
        <w:t>... les schémas mentionnés au paragraphe 3.2.2 ci-dessus. Dans le cas où l</w:t>
      </w:r>
      <w:r>
        <w:t>’</w:t>
      </w:r>
      <w:r w:rsidRPr="00FF328B">
        <w:t>emplacement prévu pour la (les) marque(s) d</w:t>
      </w:r>
      <w:r>
        <w:t>’</w:t>
      </w:r>
      <w:r w:rsidRPr="00FF328B">
        <w:t>homologation est restreint, il convient de fournir d</w:t>
      </w:r>
      <w:r>
        <w:t>’</w:t>
      </w:r>
      <w:r w:rsidRPr="00FF328B">
        <w:t>autres moyens d</w:t>
      </w:r>
      <w:r>
        <w:t>’</w:t>
      </w:r>
      <w:r w:rsidRPr="00FF328B">
        <w:t>identification permettant d</w:t>
      </w:r>
      <w:r>
        <w:t>’</w:t>
      </w:r>
      <w:r w:rsidRPr="00FF328B">
        <w:t>établir un lien avec la marque d</w:t>
      </w:r>
      <w:r>
        <w:t>’</w:t>
      </w:r>
      <w:r w:rsidRPr="00FF328B">
        <w:t>homologation.</w:t>
      </w:r>
      <w:bookmarkEnd w:id="39"/>
      <w:r>
        <w:t> »</w:t>
      </w:r>
      <w:r w:rsidR="002700DD">
        <w:t>.</w:t>
      </w:r>
    </w:p>
    <w:p w:rsidR="002875EA" w:rsidRPr="00FF328B" w:rsidRDefault="002875EA" w:rsidP="002875EA">
      <w:pPr>
        <w:pStyle w:val="SingleTxtG"/>
        <w:keepNext/>
        <w:keepLines/>
      </w:pPr>
      <w:bookmarkStart w:id="40" w:name="bookmark_61"/>
      <w:r w:rsidRPr="00FF328B">
        <w:rPr>
          <w:i/>
          <w:iCs/>
          <w:szCs w:val="24"/>
        </w:rPr>
        <w:t>Paragraphes 6.4 à 6.14</w:t>
      </w:r>
      <w:r w:rsidRPr="00FF328B">
        <w:rPr>
          <w:szCs w:val="24"/>
        </w:rPr>
        <w:t>,</w:t>
      </w:r>
      <w:r>
        <w:rPr>
          <w:szCs w:val="24"/>
        </w:rPr>
        <w:t xml:space="preserve"> </w:t>
      </w:r>
      <w:r w:rsidRPr="00FF328B">
        <w:rPr>
          <w:szCs w:val="24"/>
        </w:rPr>
        <w:t>lire (ajouter les nouveaux paragraphes 6.15 et 6.16)</w:t>
      </w:r>
      <w:bookmarkEnd w:id="40"/>
      <w:r>
        <w:rPr>
          <w:szCs w:val="24"/>
        </w:rPr>
        <w:t> </w:t>
      </w:r>
      <w:r>
        <w:t>:</w:t>
      </w:r>
    </w:p>
    <w:p w:rsidR="002875EA" w:rsidRPr="00FF328B" w:rsidRDefault="002875EA" w:rsidP="002875EA">
      <w:pPr>
        <w:pStyle w:val="SingleTxtG"/>
        <w:ind w:left="2268" w:hanging="1134"/>
      </w:pPr>
      <w:bookmarkStart w:id="41" w:name="bookmark_62"/>
      <w:r w:rsidRPr="00FF328B">
        <w:t>«</w:t>
      </w:r>
      <w:r>
        <w:t> 6.4-</w:t>
      </w:r>
      <w:r w:rsidRPr="00FF328B">
        <w:t>6.16</w:t>
      </w:r>
      <w:r w:rsidRPr="00FF328B">
        <w:tab/>
        <w:t>Prescriptions relatives aux autres organes</w:t>
      </w:r>
      <w:bookmarkEnd w:id="41"/>
    </w:p>
    <w:p w:rsidR="002875EA" w:rsidRPr="00FF328B" w:rsidRDefault="002875EA" w:rsidP="002875EA">
      <w:pPr>
        <w:widowControl w:val="0"/>
        <w:suppressAutoHyphens w:val="0"/>
        <w:ind w:left="2268" w:right="1134"/>
        <w:jc w:val="both"/>
      </w:pPr>
      <w:bookmarkStart w:id="42" w:name="bookmark_63"/>
      <w:r w:rsidRPr="00FF328B">
        <w:t>Les autres organes doivent</w:t>
      </w:r>
      <w:r>
        <w:t xml:space="preserve"> être couverts … dans le tableau </w:t>
      </w:r>
      <w:r w:rsidRPr="00FF328B">
        <w:t>1 ci-dessous.</w:t>
      </w:r>
      <w:bookmarkEnd w:id="42"/>
    </w:p>
    <w:p w:rsidR="002875EA" w:rsidRPr="00FF328B" w:rsidRDefault="002875EA" w:rsidP="002875EA">
      <w:pPr>
        <w:pStyle w:val="H23G"/>
      </w:pPr>
      <w:bookmarkStart w:id="43" w:name="bookmark_64"/>
      <w:r>
        <w:tab/>
      </w:r>
      <w:r>
        <w:tab/>
        <w:t>Tableau </w:t>
      </w:r>
      <w:r w:rsidRPr="00FF328B">
        <w:t>1</w:t>
      </w:r>
      <w:bookmarkEnd w:id="43"/>
    </w:p>
    <w:tbl>
      <w:tblPr>
        <w:tblW w:w="7373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4590"/>
        <w:gridCol w:w="1391"/>
      </w:tblGrid>
      <w:tr w:rsidR="002875EA" w:rsidRPr="00432C03" w:rsidTr="002875EA">
        <w:trPr>
          <w:cantSplit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75EA" w:rsidRPr="00432C03" w:rsidRDefault="002875EA" w:rsidP="002875EA">
            <w:pPr>
              <w:spacing w:before="60" w:after="60" w:line="200" w:lineRule="exact"/>
              <w:ind w:left="57" w:right="57"/>
              <w:rPr>
                <w:i/>
                <w:sz w:val="16"/>
                <w:szCs w:val="16"/>
              </w:rPr>
            </w:pPr>
            <w:bookmarkStart w:id="44" w:name="bookmark_65"/>
            <w:r w:rsidRPr="00432C03">
              <w:rPr>
                <w:i/>
                <w:iCs/>
                <w:sz w:val="16"/>
                <w:szCs w:val="16"/>
              </w:rPr>
              <w:t>Paragraphe</w:t>
            </w:r>
            <w:bookmarkEnd w:id="44"/>
          </w:p>
        </w:tc>
        <w:tc>
          <w:tcPr>
            <w:tcW w:w="46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75EA" w:rsidRPr="00432C03" w:rsidRDefault="002875EA" w:rsidP="002875EA">
            <w:pPr>
              <w:spacing w:before="60" w:after="60" w:line="200" w:lineRule="exact"/>
              <w:ind w:left="57" w:right="57"/>
              <w:rPr>
                <w:i/>
                <w:sz w:val="16"/>
                <w:szCs w:val="16"/>
              </w:rPr>
            </w:pPr>
            <w:bookmarkStart w:id="45" w:name="bookmark_66"/>
            <w:r w:rsidRPr="00432C03">
              <w:rPr>
                <w:i/>
                <w:iCs/>
                <w:sz w:val="16"/>
                <w:szCs w:val="16"/>
              </w:rPr>
              <w:t>Organe</w:t>
            </w:r>
            <w:bookmarkEnd w:id="45"/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75EA" w:rsidRPr="00432C03" w:rsidRDefault="002875EA" w:rsidP="002875EA">
            <w:pPr>
              <w:spacing w:before="60" w:after="60" w:line="200" w:lineRule="exact"/>
              <w:ind w:left="57" w:right="57"/>
              <w:rPr>
                <w:i/>
                <w:sz w:val="16"/>
                <w:szCs w:val="16"/>
              </w:rPr>
            </w:pPr>
            <w:bookmarkStart w:id="46" w:name="bookmark_67"/>
            <w:r w:rsidRPr="00432C03">
              <w:rPr>
                <w:i/>
                <w:iCs/>
                <w:sz w:val="16"/>
                <w:szCs w:val="16"/>
              </w:rPr>
              <w:t>Annexe</w:t>
            </w:r>
            <w:bookmarkEnd w:id="46"/>
          </w:p>
        </w:tc>
      </w:tr>
      <w:tr w:rsidR="002875EA" w:rsidRPr="0089379E" w:rsidTr="002875EA">
        <w:trPr>
          <w:cantSplit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47" w:name="bookmark_68"/>
            <w:r w:rsidRPr="0089379E">
              <w:rPr>
                <w:sz w:val="18"/>
                <w:szCs w:val="18"/>
              </w:rPr>
              <w:t>6.4</w:t>
            </w:r>
            <w:bookmarkEnd w:id="47"/>
          </w:p>
        </w:tc>
        <w:tc>
          <w:tcPr>
            <w:tcW w:w="467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48" w:name="bookmark_69"/>
            <w:r w:rsidRPr="0089379E">
              <w:rPr>
                <w:sz w:val="18"/>
                <w:szCs w:val="18"/>
              </w:rPr>
              <w:t>Pompe à GPL</w:t>
            </w:r>
            <w:bookmarkEnd w:id="48"/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49" w:name="bookmark_70"/>
            <w:r w:rsidRPr="0089379E">
              <w:rPr>
                <w:sz w:val="18"/>
                <w:szCs w:val="18"/>
              </w:rPr>
              <w:t>4</w:t>
            </w:r>
            <w:bookmarkEnd w:id="49"/>
          </w:p>
        </w:tc>
      </w:tr>
      <w:tr w:rsidR="002875EA" w:rsidRPr="0089379E" w:rsidTr="002875EA">
        <w:trPr>
          <w:cantSplit/>
        </w:trPr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0" w:name="bookmark_71"/>
            <w:r w:rsidRPr="0089379E">
              <w:rPr>
                <w:sz w:val="18"/>
                <w:szCs w:val="18"/>
              </w:rPr>
              <w:t>6.5</w:t>
            </w:r>
            <w:bookmarkEnd w:id="50"/>
          </w:p>
        </w:tc>
        <w:tc>
          <w:tcPr>
            <w:tcW w:w="4679" w:type="dxa"/>
            <w:tcBorders>
              <w:top w:val="single" w:sz="2" w:space="0" w:color="auto"/>
            </w:tcBorders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1" w:name="bookmark_72"/>
            <w:r w:rsidRPr="0089379E">
              <w:rPr>
                <w:sz w:val="18"/>
                <w:szCs w:val="18"/>
              </w:rPr>
              <w:t>Vaporiseur</w:t>
            </w:r>
            <w:r w:rsidRPr="0089379E">
              <w:rPr>
                <w:sz w:val="18"/>
                <w:szCs w:val="18"/>
                <w:vertAlign w:val="superscript"/>
              </w:rPr>
              <w:t>1</w:t>
            </w:r>
            <w:bookmarkEnd w:id="51"/>
          </w:p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2" w:name="bookmark_73"/>
            <w:r w:rsidRPr="0089379E">
              <w:rPr>
                <w:sz w:val="18"/>
                <w:szCs w:val="18"/>
              </w:rPr>
              <w:t>Détendeur</w:t>
            </w:r>
            <w:r w:rsidRPr="0089379E">
              <w:rPr>
                <w:sz w:val="18"/>
                <w:szCs w:val="18"/>
                <w:vertAlign w:val="superscript"/>
              </w:rPr>
              <w:t>1</w:t>
            </w:r>
            <w:bookmarkEnd w:id="52"/>
          </w:p>
        </w:tc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3" w:name="bookmark_74"/>
            <w:r w:rsidRPr="0089379E">
              <w:rPr>
                <w:sz w:val="18"/>
                <w:szCs w:val="18"/>
              </w:rPr>
              <w:t>6</w:t>
            </w:r>
            <w:bookmarkEnd w:id="53"/>
          </w:p>
        </w:tc>
      </w:tr>
      <w:tr w:rsidR="002875EA" w:rsidRPr="0089379E" w:rsidTr="002875EA">
        <w:trPr>
          <w:cantSplit/>
        </w:trPr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4" w:name="bookmark_75"/>
            <w:r w:rsidRPr="0089379E">
              <w:rPr>
                <w:sz w:val="18"/>
                <w:szCs w:val="18"/>
              </w:rPr>
              <w:t>…</w:t>
            </w:r>
            <w:bookmarkEnd w:id="54"/>
          </w:p>
        </w:tc>
        <w:tc>
          <w:tcPr>
            <w:tcW w:w="4679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5" w:name="bookmark_76"/>
            <w:r w:rsidRPr="0089379E">
              <w:rPr>
                <w:sz w:val="18"/>
                <w:szCs w:val="18"/>
              </w:rPr>
              <w:t>…</w:t>
            </w:r>
            <w:bookmarkEnd w:id="55"/>
          </w:p>
        </w:tc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6" w:name="bookmark_77"/>
            <w:r w:rsidRPr="0089379E">
              <w:rPr>
                <w:sz w:val="18"/>
                <w:szCs w:val="18"/>
              </w:rPr>
              <w:t>…</w:t>
            </w:r>
            <w:bookmarkEnd w:id="56"/>
          </w:p>
        </w:tc>
      </w:tr>
      <w:tr w:rsidR="002875EA" w:rsidRPr="0089379E" w:rsidTr="002875EA">
        <w:trPr>
          <w:cantSplit/>
        </w:trPr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7" w:name="bookmark_78"/>
            <w:r w:rsidRPr="0089379E">
              <w:rPr>
                <w:sz w:val="18"/>
                <w:szCs w:val="18"/>
              </w:rPr>
              <w:t>6.9</w:t>
            </w:r>
            <w:bookmarkEnd w:id="57"/>
          </w:p>
        </w:tc>
        <w:tc>
          <w:tcPr>
            <w:tcW w:w="4679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8" w:name="bookmark_79"/>
            <w:r w:rsidRPr="0089379E">
              <w:rPr>
                <w:sz w:val="18"/>
                <w:szCs w:val="18"/>
              </w:rPr>
              <w:t>Dispositifs d</w:t>
            </w:r>
            <w:r>
              <w:rPr>
                <w:sz w:val="18"/>
                <w:szCs w:val="18"/>
              </w:rPr>
              <w:t>’</w:t>
            </w:r>
            <w:r w:rsidRPr="0089379E">
              <w:rPr>
                <w:sz w:val="18"/>
                <w:szCs w:val="18"/>
              </w:rPr>
              <w:t>injection de gaz/Mélangeur de gaz</w:t>
            </w:r>
            <w:r w:rsidRPr="0089379E">
              <w:rPr>
                <w:sz w:val="18"/>
                <w:szCs w:val="18"/>
                <w:vertAlign w:val="superscript"/>
              </w:rPr>
              <w:t>3</w:t>
            </w:r>
            <w:bookmarkEnd w:id="58"/>
          </w:p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59" w:name="bookmark_80"/>
            <w:proofErr w:type="gramStart"/>
            <w:r w:rsidRPr="0089379E">
              <w:rPr>
                <w:sz w:val="18"/>
                <w:szCs w:val="18"/>
              </w:rPr>
              <w:t>ou</w:t>
            </w:r>
            <w:bookmarkEnd w:id="59"/>
            <w:proofErr w:type="gramEnd"/>
          </w:p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0" w:name="bookmark_81"/>
            <w:r w:rsidRPr="0089379E">
              <w:rPr>
                <w:sz w:val="18"/>
                <w:szCs w:val="18"/>
              </w:rPr>
              <w:t>Injecteurs</w:t>
            </w:r>
            <w:bookmarkEnd w:id="60"/>
          </w:p>
        </w:tc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1" w:name="bookmark_82"/>
            <w:r w:rsidRPr="0089379E">
              <w:rPr>
                <w:sz w:val="18"/>
                <w:szCs w:val="18"/>
              </w:rPr>
              <w:t>11</w:t>
            </w:r>
            <w:bookmarkEnd w:id="61"/>
          </w:p>
        </w:tc>
      </w:tr>
      <w:tr w:rsidR="002875EA" w:rsidRPr="0089379E" w:rsidTr="002875EA">
        <w:trPr>
          <w:cantSplit/>
        </w:trPr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2" w:name="bookmark_83"/>
            <w:r w:rsidRPr="0089379E">
              <w:rPr>
                <w:sz w:val="18"/>
                <w:szCs w:val="18"/>
              </w:rPr>
              <w:t>6.10</w:t>
            </w:r>
            <w:bookmarkEnd w:id="62"/>
          </w:p>
        </w:tc>
        <w:tc>
          <w:tcPr>
            <w:tcW w:w="4679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3" w:name="bookmark_84"/>
            <w:r w:rsidRPr="0089379E">
              <w:rPr>
                <w:sz w:val="18"/>
                <w:szCs w:val="18"/>
              </w:rPr>
              <w:t>Doseurs de gaz</w:t>
            </w:r>
            <w:r w:rsidRPr="0089379E">
              <w:rPr>
                <w:sz w:val="18"/>
                <w:szCs w:val="18"/>
                <w:vertAlign w:val="superscript"/>
              </w:rPr>
              <w:t>2</w:t>
            </w:r>
            <w:bookmarkEnd w:id="63"/>
          </w:p>
        </w:tc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4" w:name="bookmark_85"/>
            <w:r w:rsidRPr="0089379E">
              <w:rPr>
                <w:sz w:val="18"/>
                <w:szCs w:val="18"/>
              </w:rPr>
              <w:t>12</w:t>
            </w:r>
            <w:bookmarkEnd w:id="64"/>
          </w:p>
        </w:tc>
      </w:tr>
      <w:tr w:rsidR="002875EA" w:rsidRPr="0089379E" w:rsidTr="002875EA">
        <w:trPr>
          <w:cantSplit/>
        </w:trPr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5" w:name="bookmark_86"/>
            <w:r w:rsidRPr="0089379E">
              <w:rPr>
                <w:sz w:val="18"/>
                <w:szCs w:val="18"/>
              </w:rPr>
              <w:t>…</w:t>
            </w:r>
            <w:bookmarkEnd w:id="65"/>
          </w:p>
        </w:tc>
        <w:tc>
          <w:tcPr>
            <w:tcW w:w="4679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6" w:name="bookmark_87"/>
            <w:r w:rsidRPr="0089379E">
              <w:rPr>
                <w:sz w:val="18"/>
                <w:szCs w:val="18"/>
              </w:rPr>
              <w:t>…</w:t>
            </w:r>
            <w:bookmarkEnd w:id="66"/>
          </w:p>
        </w:tc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7" w:name="bookmark_88"/>
            <w:r w:rsidRPr="0089379E">
              <w:rPr>
                <w:sz w:val="18"/>
                <w:szCs w:val="18"/>
              </w:rPr>
              <w:t>…</w:t>
            </w:r>
            <w:bookmarkEnd w:id="67"/>
          </w:p>
        </w:tc>
      </w:tr>
      <w:tr w:rsidR="002875EA" w:rsidRPr="0089379E" w:rsidTr="002875EA">
        <w:trPr>
          <w:cantSplit/>
        </w:trPr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8" w:name="bookmark_89"/>
            <w:r w:rsidRPr="0089379E">
              <w:rPr>
                <w:sz w:val="18"/>
                <w:szCs w:val="18"/>
              </w:rPr>
              <w:t>6.14</w:t>
            </w:r>
            <w:bookmarkEnd w:id="68"/>
          </w:p>
        </w:tc>
        <w:tc>
          <w:tcPr>
            <w:tcW w:w="4679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69" w:name="bookmark_90"/>
            <w:r w:rsidRPr="0089379E">
              <w:rPr>
                <w:sz w:val="18"/>
                <w:szCs w:val="18"/>
              </w:rPr>
              <w:t>Dispositif de surpression</w:t>
            </w:r>
            <w:bookmarkEnd w:id="69"/>
          </w:p>
        </w:tc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70" w:name="bookmark_91"/>
            <w:r w:rsidRPr="0089379E">
              <w:rPr>
                <w:sz w:val="18"/>
                <w:szCs w:val="18"/>
              </w:rPr>
              <w:t>3</w:t>
            </w:r>
            <w:bookmarkEnd w:id="70"/>
          </w:p>
        </w:tc>
      </w:tr>
      <w:tr w:rsidR="002875EA" w:rsidRPr="0089379E" w:rsidTr="002875EA">
        <w:trPr>
          <w:cantSplit/>
        </w:trPr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71" w:name="bookmark_92"/>
            <w:r w:rsidRPr="0089379E">
              <w:rPr>
                <w:sz w:val="18"/>
                <w:szCs w:val="18"/>
              </w:rPr>
              <w:t>6.15</w:t>
            </w:r>
            <w:bookmarkEnd w:id="71"/>
          </w:p>
        </w:tc>
        <w:tc>
          <w:tcPr>
            <w:tcW w:w="4679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72" w:name="bookmark_93"/>
            <w:r w:rsidRPr="0089379E">
              <w:rPr>
                <w:sz w:val="18"/>
                <w:szCs w:val="18"/>
              </w:rPr>
              <w:t>Tuyaux à gaz autres que sans soudure, tuyaux faits de matériaux autres que le cuivre, l</w:t>
            </w:r>
            <w:r>
              <w:rPr>
                <w:sz w:val="18"/>
                <w:szCs w:val="18"/>
              </w:rPr>
              <w:t>’</w:t>
            </w:r>
            <w:r w:rsidRPr="0089379E">
              <w:rPr>
                <w:sz w:val="18"/>
                <w:szCs w:val="18"/>
              </w:rPr>
              <w:t>acier inoxydable et l</w:t>
            </w:r>
            <w:r>
              <w:rPr>
                <w:sz w:val="18"/>
                <w:szCs w:val="18"/>
              </w:rPr>
              <w:t>’</w:t>
            </w:r>
            <w:r w:rsidRPr="0089379E">
              <w:rPr>
                <w:sz w:val="18"/>
                <w:szCs w:val="18"/>
              </w:rPr>
              <w:t>acier avec un revêtement résistant à la corrosion, ainsi que leurs raccords</w:t>
            </w:r>
            <w:bookmarkEnd w:id="72"/>
          </w:p>
        </w:tc>
        <w:tc>
          <w:tcPr>
            <w:tcW w:w="1418" w:type="dxa"/>
            <w:shd w:val="clear" w:color="auto" w:fill="auto"/>
          </w:tcPr>
          <w:p w:rsidR="002875EA" w:rsidRPr="0089379E" w:rsidRDefault="002875EA" w:rsidP="002875EA">
            <w:pPr>
              <w:spacing w:before="60" w:after="60"/>
              <w:ind w:left="57" w:right="57"/>
              <w:rPr>
                <w:sz w:val="18"/>
                <w:szCs w:val="18"/>
              </w:rPr>
            </w:pPr>
            <w:bookmarkStart w:id="73" w:name="bookmark_94"/>
            <w:r w:rsidRPr="0089379E">
              <w:rPr>
                <w:sz w:val="18"/>
                <w:szCs w:val="18"/>
              </w:rPr>
              <w:t>15</w:t>
            </w:r>
            <w:bookmarkEnd w:id="73"/>
          </w:p>
        </w:tc>
      </w:tr>
      <w:tr w:rsidR="002875EA" w:rsidRPr="0089379E" w:rsidTr="002875EA">
        <w:trPr>
          <w:cantSplit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2875EA" w:rsidRPr="0089379E" w:rsidRDefault="002875EA" w:rsidP="002875EA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bookmarkStart w:id="74" w:name="bookmark_95"/>
            <w:r w:rsidRPr="0089379E">
              <w:rPr>
                <w:sz w:val="18"/>
                <w:szCs w:val="18"/>
              </w:rPr>
              <w:t>6.16</w:t>
            </w:r>
            <w:bookmarkEnd w:id="74"/>
          </w:p>
        </w:tc>
        <w:tc>
          <w:tcPr>
            <w:tcW w:w="4679" w:type="dxa"/>
            <w:tcBorders>
              <w:bottom w:val="single" w:sz="12" w:space="0" w:color="auto"/>
            </w:tcBorders>
            <w:shd w:val="clear" w:color="auto" w:fill="auto"/>
          </w:tcPr>
          <w:p w:rsidR="002875EA" w:rsidRPr="0089379E" w:rsidRDefault="002875EA" w:rsidP="002875EA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bookmarkStart w:id="75" w:name="bookmark_96"/>
            <w:r w:rsidRPr="0089379E">
              <w:rPr>
                <w:sz w:val="18"/>
                <w:szCs w:val="18"/>
              </w:rPr>
              <w:t xml:space="preserve">Bloc </w:t>
            </w:r>
            <w:proofErr w:type="spellStart"/>
            <w:r w:rsidRPr="0089379E">
              <w:rPr>
                <w:sz w:val="18"/>
                <w:szCs w:val="18"/>
              </w:rPr>
              <w:t>multiorganes</w:t>
            </w:r>
            <w:bookmarkEnd w:id="75"/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2875EA" w:rsidRPr="0089379E" w:rsidRDefault="002875EA" w:rsidP="002875EA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bookmarkStart w:id="76" w:name="bookmark_97"/>
            <w:r w:rsidRPr="0089379E">
              <w:rPr>
                <w:sz w:val="18"/>
                <w:szCs w:val="18"/>
              </w:rPr>
              <w:t>Annexes applicables aux divers organes</w:t>
            </w:r>
            <w:bookmarkEnd w:id="76"/>
          </w:p>
        </w:tc>
      </w:tr>
    </w:tbl>
    <w:p w:rsidR="002875EA" w:rsidRPr="005B793E" w:rsidRDefault="002875EA" w:rsidP="002875EA">
      <w:pPr>
        <w:tabs>
          <w:tab w:val="left" w:pos="310"/>
        </w:tabs>
        <w:suppressAutoHyphens w:val="0"/>
        <w:spacing w:before="120"/>
        <w:ind w:left="1134" w:right="1134" w:firstLine="170"/>
        <w:rPr>
          <w:sz w:val="18"/>
          <w:szCs w:val="18"/>
        </w:rPr>
      </w:pPr>
      <w:bookmarkStart w:id="77" w:name="bookmark_98"/>
      <w:proofErr w:type="gramStart"/>
      <w:r w:rsidRPr="005B793E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 </w:t>
      </w:r>
      <w:r w:rsidRPr="005B793E">
        <w:rPr>
          <w:sz w:val="18"/>
          <w:szCs w:val="18"/>
        </w:rPr>
        <w:t>Combinés</w:t>
      </w:r>
      <w:proofErr w:type="gramEnd"/>
      <w:r w:rsidRPr="005B793E">
        <w:rPr>
          <w:sz w:val="18"/>
          <w:szCs w:val="18"/>
        </w:rPr>
        <w:t xml:space="preserve"> ou indépendants.</w:t>
      </w:r>
      <w:bookmarkEnd w:id="77"/>
    </w:p>
    <w:p w:rsidR="002875EA" w:rsidRPr="005B793E" w:rsidRDefault="002875EA" w:rsidP="002875EA">
      <w:pPr>
        <w:tabs>
          <w:tab w:val="left" w:pos="320"/>
        </w:tabs>
        <w:suppressAutoHyphens w:val="0"/>
        <w:ind w:left="1134" w:right="1134" w:firstLine="170"/>
        <w:rPr>
          <w:sz w:val="18"/>
          <w:szCs w:val="18"/>
        </w:rPr>
      </w:pPr>
      <w:bookmarkStart w:id="78" w:name="bookmark_99"/>
      <w:proofErr w:type="gramStart"/>
      <w:r w:rsidRPr="005B793E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</w:t>
      </w:r>
      <w:r w:rsidRPr="005B793E">
        <w:rPr>
          <w:sz w:val="18"/>
          <w:szCs w:val="18"/>
        </w:rPr>
        <w:t>Ne</w:t>
      </w:r>
      <w:proofErr w:type="gramEnd"/>
      <w:r w:rsidRPr="005B793E">
        <w:rPr>
          <w:sz w:val="18"/>
          <w:szCs w:val="18"/>
        </w:rPr>
        <w:t xml:space="preserve"> s</w:t>
      </w:r>
      <w:r>
        <w:rPr>
          <w:sz w:val="18"/>
          <w:szCs w:val="18"/>
        </w:rPr>
        <w:t>’</w:t>
      </w:r>
      <w:r w:rsidRPr="005B793E">
        <w:rPr>
          <w:sz w:val="18"/>
          <w:szCs w:val="18"/>
        </w:rPr>
        <w:t>applique que si l</w:t>
      </w:r>
      <w:r>
        <w:rPr>
          <w:sz w:val="18"/>
          <w:szCs w:val="18"/>
        </w:rPr>
        <w:t>’</w:t>
      </w:r>
      <w:r w:rsidRPr="005B793E">
        <w:rPr>
          <w:sz w:val="18"/>
          <w:szCs w:val="18"/>
        </w:rPr>
        <w:t>actionneur du doseur n</w:t>
      </w:r>
      <w:r>
        <w:rPr>
          <w:sz w:val="18"/>
          <w:szCs w:val="18"/>
        </w:rPr>
        <w:t>’</w:t>
      </w:r>
      <w:r w:rsidRPr="005B793E">
        <w:rPr>
          <w:sz w:val="18"/>
          <w:szCs w:val="18"/>
        </w:rPr>
        <w:t>est pas intégré au dispositif d</w:t>
      </w:r>
      <w:r>
        <w:rPr>
          <w:sz w:val="18"/>
          <w:szCs w:val="18"/>
        </w:rPr>
        <w:t>’</w:t>
      </w:r>
      <w:r w:rsidRPr="005B793E">
        <w:rPr>
          <w:sz w:val="18"/>
          <w:szCs w:val="18"/>
        </w:rPr>
        <w:t>injection de gaz.</w:t>
      </w:r>
      <w:bookmarkEnd w:id="78"/>
    </w:p>
    <w:p w:rsidR="002875EA" w:rsidRPr="00CF0578" w:rsidRDefault="002875EA" w:rsidP="00CF0578">
      <w:pPr>
        <w:pStyle w:val="SingleTxtG"/>
        <w:spacing w:after="240"/>
        <w:ind w:firstLine="170"/>
        <w:rPr>
          <w:sz w:val="18"/>
          <w:szCs w:val="18"/>
        </w:rPr>
      </w:pPr>
      <w:bookmarkStart w:id="79" w:name="bookmark_100"/>
      <w:proofErr w:type="gramStart"/>
      <w:r w:rsidRPr="005B793E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 </w:t>
      </w:r>
      <w:r w:rsidRPr="005B793E">
        <w:rPr>
          <w:sz w:val="18"/>
          <w:szCs w:val="18"/>
        </w:rPr>
        <w:t>Ne</w:t>
      </w:r>
      <w:proofErr w:type="gramEnd"/>
      <w:r w:rsidRPr="005B793E">
        <w:rPr>
          <w:sz w:val="18"/>
          <w:szCs w:val="18"/>
        </w:rPr>
        <w:t xml:space="preserve"> s</w:t>
      </w:r>
      <w:r>
        <w:rPr>
          <w:sz w:val="18"/>
          <w:szCs w:val="18"/>
        </w:rPr>
        <w:t>’</w:t>
      </w:r>
      <w:r w:rsidRPr="005B793E">
        <w:rPr>
          <w:sz w:val="18"/>
          <w:szCs w:val="18"/>
        </w:rPr>
        <w:t xml:space="preserve">applique que si la pression de fonctionnement du mélangeur de gaz </w:t>
      </w:r>
      <w:r>
        <w:rPr>
          <w:sz w:val="18"/>
          <w:szCs w:val="18"/>
        </w:rPr>
        <w:t>est supérieure à 20 kPa (classe </w:t>
      </w:r>
      <w:r w:rsidRPr="005B793E">
        <w:rPr>
          <w:sz w:val="18"/>
          <w:szCs w:val="18"/>
        </w:rPr>
        <w:t>2).</w:t>
      </w:r>
      <w:bookmarkEnd w:id="79"/>
      <w:r w:rsidR="00CF0578">
        <w:rPr>
          <w:sz w:val="18"/>
          <w:szCs w:val="18"/>
        </w:rPr>
        <w:t> </w:t>
      </w:r>
      <w:r>
        <w:rPr>
          <w:iCs/>
        </w:rPr>
        <w:t>»</w:t>
      </w:r>
      <w:r w:rsidRPr="00FF328B">
        <w:rPr>
          <w:iCs/>
        </w:rPr>
        <w:t>.</w:t>
      </w:r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szCs w:val="24"/>
        </w:rPr>
      </w:pPr>
      <w:bookmarkStart w:id="80" w:name="bookmark_101"/>
      <w:r w:rsidRPr="00FF328B">
        <w:rPr>
          <w:i/>
          <w:szCs w:val="24"/>
        </w:rPr>
        <w:t>Les paragraphes</w:t>
      </w:r>
      <w:r>
        <w:rPr>
          <w:szCs w:val="24"/>
        </w:rPr>
        <w:t> </w:t>
      </w:r>
      <w:r w:rsidRPr="00FF328B">
        <w:rPr>
          <w:i/>
          <w:iCs/>
          <w:szCs w:val="24"/>
        </w:rPr>
        <w:t>6.15 à 6.15.3.2</w:t>
      </w:r>
      <w:r w:rsidRPr="00FF328B">
        <w:rPr>
          <w:szCs w:val="24"/>
        </w:rPr>
        <w:t xml:space="preserve"> deviennent les paragraphes 6.17 à 6.17.3.2.</w:t>
      </w:r>
      <w:bookmarkEnd w:id="80"/>
    </w:p>
    <w:p w:rsidR="002875EA" w:rsidRPr="00FF328B" w:rsidRDefault="002875EA" w:rsidP="002875EA">
      <w:pPr>
        <w:pStyle w:val="SingleTxtG"/>
        <w:keepNext/>
        <w:keepLines/>
        <w:ind w:left="2268" w:hanging="1134"/>
      </w:pPr>
      <w:bookmarkStart w:id="81" w:name="bookmark_102"/>
      <w:r w:rsidRPr="00FF328B">
        <w:rPr>
          <w:i/>
          <w:iCs/>
          <w:szCs w:val="24"/>
        </w:rPr>
        <w:t>Ajouter un nouveau paragraphe 6.17.3.3</w:t>
      </w:r>
      <w:r w:rsidRPr="00707673">
        <w:t>,</w:t>
      </w:r>
      <w:r w:rsidRPr="00FF328B">
        <w:rPr>
          <w:i/>
          <w:iCs/>
        </w:rPr>
        <w:t xml:space="preserve"> </w:t>
      </w:r>
      <w:r w:rsidRPr="00FF328B">
        <w:rPr>
          <w:iCs/>
        </w:rPr>
        <w:t xml:space="preserve">libellé </w:t>
      </w:r>
      <w:r w:rsidRPr="00FF328B">
        <w:t>comme suit</w:t>
      </w:r>
      <w:bookmarkEnd w:id="81"/>
      <w:r>
        <w:t> :</w:t>
      </w:r>
    </w:p>
    <w:p w:rsidR="002875EA" w:rsidRPr="00FF328B" w:rsidRDefault="002875EA" w:rsidP="002875EA">
      <w:pPr>
        <w:pStyle w:val="SingleTxtG"/>
        <w:ind w:left="2268" w:hanging="1134"/>
      </w:pPr>
      <w:bookmarkStart w:id="82" w:name="bookmark_103"/>
      <w:r w:rsidRPr="00FF328B">
        <w:t>«</w:t>
      </w:r>
      <w:r>
        <w:t> </w:t>
      </w:r>
      <w:r w:rsidRPr="00FF328B">
        <w:t>6.17.3</w:t>
      </w:r>
      <w:r>
        <w:t>.3</w:t>
      </w:r>
      <w:r>
        <w:tab/>
        <w:t>Sans préjudice du paragraphe </w:t>
      </w:r>
      <w:r w:rsidRPr="00FF328B">
        <w:t>1.7 de l</w:t>
      </w:r>
      <w:r>
        <w:t>’annexe </w:t>
      </w:r>
      <w:r w:rsidRPr="00FF328B">
        <w:t>7 du présent Règlement (phases d</w:t>
      </w:r>
      <w:r>
        <w:t>’</w:t>
      </w:r>
      <w:r w:rsidRPr="00FF328B">
        <w:t>arrêt commandées), une vanne d</w:t>
      </w:r>
      <w:r>
        <w:t>’</w:t>
      </w:r>
      <w:r w:rsidRPr="00FF328B">
        <w:t>arrêt télécommandée (lorsqu</w:t>
      </w:r>
      <w:r>
        <w:t>’</w:t>
      </w:r>
      <w:r w:rsidRPr="00FF328B">
        <w:t>elle est conçue pour être installée comme organe d</w:t>
      </w:r>
      <w:r>
        <w:t>’</w:t>
      </w:r>
      <w:r w:rsidRPr="00FF328B">
        <w:t>un équipement GPL interconnecté aux fins du paragraphe 17.13.2.2) doit être soumise, lors de l</w:t>
      </w:r>
      <w:r>
        <w:t>’</w:t>
      </w:r>
      <w:r w:rsidRPr="00FF328B">
        <w:t xml:space="preserve">homologation, à </w:t>
      </w:r>
      <w:r w:rsidRPr="00FF328B">
        <w:lastRenderedPageBreak/>
        <w:t>un essai d</w:t>
      </w:r>
      <w:r>
        <w:t>’</w:t>
      </w:r>
      <w:r w:rsidRPr="00FF328B">
        <w:t>endur</w:t>
      </w:r>
      <w:r>
        <w:t>ance conformément au paragraphe </w:t>
      </w:r>
      <w:r w:rsidRPr="00FF328B">
        <w:t>9 de l</w:t>
      </w:r>
      <w:r>
        <w:t>’annexe </w:t>
      </w:r>
      <w:r w:rsidRPr="00FF328B">
        <w:t>16, su</w:t>
      </w:r>
      <w:r>
        <w:t>r un nombre de cycles égal à 20 </w:t>
      </w:r>
      <w:r w:rsidRPr="00FF328B">
        <w:t>000.</w:t>
      </w:r>
      <w:bookmarkEnd w:id="82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bCs/>
        </w:rPr>
      </w:pPr>
      <w:bookmarkStart w:id="83" w:name="bookmark_104"/>
      <w:r>
        <w:tab/>
      </w:r>
      <w:r w:rsidRPr="00FF328B">
        <w:t>La vanne doit porter un marquage sur lequel les indications suivantes sont bien lisibles et indélébiles</w:t>
      </w:r>
      <w:bookmarkEnd w:id="83"/>
      <w:r>
        <w:t> :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84" w:name="bookmark_105"/>
      <w:r w:rsidRPr="00FF328B">
        <w:t>a)</w:t>
      </w:r>
      <w:r w:rsidRPr="00FF328B">
        <w:tab/>
        <w:t xml:space="preserve">La mention </w:t>
      </w:r>
      <w:r w:rsidRPr="00707673">
        <w:t>“</w:t>
      </w:r>
      <w:r w:rsidRPr="00FF328B">
        <w:t>ICS</w:t>
      </w:r>
      <w:r w:rsidRPr="00707673">
        <w:t>” </w:t>
      </w:r>
      <w:r w:rsidRPr="00FF328B">
        <w:t>; et</w:t>
      </w:r>
      <w:bookmarkEnd w:id="84"/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85" w:name="bookmark_106"/>
      <w:r w:rsidRPr="00FF328B">
        <w:t>b)</w:t>
      </w:r>
      <w:r w:rsidRPr="00FF328B">
        <w:tab/>
        <w:t>La marque d</w:t>
      </w:r>
      <w:r>
        <w:t>’</w:t>
      </w:r>
      <w:r w:rsidRPr="00FF328B">
        <w:t>homol</w:t>
      </w:r>
      <w:r>
        <w:t>ogation prescrite au paragraphe </w:t>
      </w:r>
      <w:r w:rsidRPr="00FF328B">
        <w:t>5.4 du présent Règlement.</w:t>
      </w:r>
      <w:bookmarkEnd w:id="85"/>
      <w:r>
        <w:t> »</w:t>
      </w:r>
      <w:r w:rsidR="00EF3B43">
        <w:t>.</w:t>
      </w:r>
    </w:p>
    <w:p w:rsidR="002875EA" w:rsidRPr="00FF328B" w:rsidRDefault="002875EA" w:rsidP="002875EA">
      <w:pPr>
        <w:pStyle w:val="SingleTxtG"/>
        <w:keepNext/>
        <w:ind w:left="2268" w:hanging="1134"/>
        <w:rPr>
          <w:i/>
        </w:rPr>
      </w:pPr>
      <w:bookmarkStart w:id="86" w:name="bookmark_107"/>
      <w:r>
        <w:rPr>
          <w:i/>
          <w:iCs/>
          <w:szCs w:val="24"/>
        </w:rPr>
        <w:t>Les paragraphes </w:t>
      </w:r>
      <w:r w:rsidRPr="00FF328B">
        <w:rPr>
          <w:i/>
          <w:iCs/>
          <w:szCs w:val="24"/>
        </w:rPr>
        <w:t>6.15.4 à 6.15.13.2.4</w:t>
      </w:r>
      <w:r w:rsidRPr="00FF328B">
        <w:rPr>
          <w:i/>
          <w:iCs/>
        </w:rPr>
        <w:t xml:space="preserve"> </w:t>
      </w:r>
      <w:r w:rsidRPr="00FF328B">
        <w:t>deviennent les paragraphes 6.17.4 à 6.17.13.2.4.</w:t>
      </w:r>
      <w:bookmarkEnd w:id="86"/>
    </w:p>
    <w:p w:rsidR="002875EA" w:rsidRPr="00FF328B" w:rsidRDefault="002875EA" w:rsidP="002875EA">
      <w:pPr>
        <w:pStyle w:val="SingleTxtG"/>
        <w:keepNext/>
        <w:ind w:left="2268" w:hanging="1134"/>
      </w:pPr>
      <w:bookmarkStart w:id="87" w:name="bookmark_108"/>
      <w:r w:rsidRPr="00FF328B">
        <w:rPr>
          <w:i/>
          <w:iCs/>
        </w:rPr>
        <w:t>Ajouter les nouveaux paragraphes 6.17.14 et 6.17.14.1</w:t>
      </w:r>
      <w:r w:rsidRPr="00FF328B">
        <w:t>, libellés comme suit</w:t>
      </w:r>
      <w:bookmarkEnd w:id="87"/>
      <w:r>
        <w:t> :</w:t>
      </w:r>
    </w:p>
    <w:p w:rsidR="002875EA" w:rsidRPr="00FF328B" w:rsidRDefault="002875EA" w:rsidP="002875EA">
      <w:pPr>
        <w:pStyle w:val="SingleTxtG"/>
        <w:keepNext/>
        <w:keepLines/>
        <w:ind w:left="2268" w:hanging="1134"/>
      </w:pPr>
      <w:bookmarkStart w:id="88" w:name="bookmark_109"/>
      <w:r w:rsidRPr="00FF328B">
        <w:t>«</w:t>
      </w:r>
      <w:r>
        <w:t> </w:t>
      </w:r>
      <w:r w:rsidRPr="00FF328B">
        <w:t>6.17.14</w:t>
      </w:r>
      <w:r w:rsidRPr="00FF328B">
        <w:tab/>
        <w:t xml:space="preserve">Dispositions applicables </w:t>
      </w:r>
      <w:proofErr w:type="gramStart"/>
      <w:r w:rsidRPr="00FF328B">
        <w:t>aux soupapes antiretour</w:t>
      </w:r>
      <w:bookmarkEnd w:id="88"/>
      <w:proofErr w:type="gramEnd"/>
    </w:p>
    <w:p w:rsidR="002875EA" w:rsidRPr="00FF328B" w:rsidRDefault="002875EA" w:rsidP="002875EA">
      <w:pPr>
        <w:pStyle w:val="SingleTxtG"/>
        <w:ind w:left="2268" w:hanging="1134"/>
      </w:pPr>
      <w:bookmarkStart w:id="89" w:name="bookmark_110"/>
      <w:r w:rsidRPr="00FF328B">
        <w:t>6.17.14.1</w:t>
      </w:r>
      <w:r w:rsidRPr="00FF328B">
        <w:tab/>
        <w:t>Lorsqu</w:t>
      </w:r>
      <w:r>
        <w:t>’</w:t>
      </w:r>
      <w:r w:rsidRPr="00FF328B">
        <w:t>une soupape antiretour est destinée à être installée comme organe d</w:t>
      </w:r>
      <w:r>
        <w:t>’</w:t>
      </w:r>
      <w:r w:rsidRPr="00FF328B">
        <w:t>un équipement GPL interconnecté aux fins des paragraphes 17.13.1.1, 17.13.1.2 ou 17.13.2.1, elle doit être soumise, lors de l</w:t>
      </w:r>
      <w:r>
        <w:t>’</w:t>
      </w:r>
      <w:r w:rsidRPr="00FF328B">
        <w:t>homologation, à un essai d</w:t>
      </w:r>
      <w:r>
        <w:t>’</w:t>
      </w:r>
      <w:r w:rsidRPr="00FF328B">
        <w:t>endur</w:t>
      </w:r>
      <w:r>
        <w:t>ance conformément au paragraphe </w:t>
      </w:r>
      <w:r w:rsidRPr="00FF328B">
        <w:t>9.7 de l</w:t>
      </w:r>
      <w:r>
        <w:t>’annexe </w:t>
      </w:r>
      <w:r w:rsidRPr="00FF328B">
        <w:t>16.</w:t>
      </w:r>
      <w:bookmarkEnd w:id="89"/>
    </w:p>
    <w:p w:rsidR="002875EA" w:rsidRPr="00FF328B" w:rsidRDefault="002875EA" w:rsidP="002875EA">
      <w:pPr>
        <w:pStyle w:val="SingleTxtG"/>
        <w:keepNext/>
        <w:keepLines/>
        <w:ind w:left="2268"/>
        <w:rPr>
          <w:bCs/>
        </w:rPr>
      </w:pPr>
      <w:bookmarkStart w:id="90" w:name="bookmark_111"/>
      <w:r w:rsidRPr="00FF328B">
        <w:t>La vanne doit porter un marquage sur lequel les indications suivantes sont bien lisibles et indélébiles</w:t>
      </w:r>
      <w:bookmarkEnd w:id="90"/>
      <w:r>
        <w:t> :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91" w:name="bookmark_112"/>
      <w:r>
        <w:t>a)</w:t>
      </w:r>
      <w:r>
        <w:tab/>
        <w:t xml:space="preserve">La mention </w:t>
      </w:r>
      <w:r w:rsidR="00EF3B43" w:rsidRPr="00EF3B43">
        <w:t>“</w:t>
      </w:r>
      <w:r w:rsidR="00EF3B43">
        <w:t>ICS</w:t>
      </w:r>
      <w:r w:rsidR="00EF3B43" w:rsidRPr="00EF3B43">
        <w:t>”</w:t>
      </w:r>
      <w:r>
        <w:t> </w:t>
      </w:r>
      <w:r w:rsidRPr="00FF328B">
        <w:t>; et</w:t>
      </w:r>
      <w:bookmarkEnd w:id="91"/>
    </w:p>
    <w:p w:rsidR="002875EA" w:rsidRPr="00FF328B" w:rsidRDefault="002875EA" w:rsidP="002875EA">
      <w:pPr>
        <w:pStyle w:val="SingleTxtG"/>
        <w:ind w:left="2835" w:hanging="567"/>
      </w:pPr>
      <w:bookmarkStart w:id="92" w:name="bookmark_113"/>
      <w:r w:rsidRPr="00FF328B">
        <w:t>b)</w:t>
      </w:r>
      <w:r w:rsidRPr="00FF328B">
        <w:tab/>
        <w:t>La marque d</w:t>
      </w:r>
      <w:r>
        <w:t>’</w:t>
      </w:r>
      <w:r w:rsidRPr="00FF328B">
        <w:t>homologa</w:t>
      </w:r>
      <w:r>
        <w:t>tion conformément au paragraphe </w:t>
      </w:r>
      <w:r w:rsidRPr="00FF328B">
        <w:t>5.4 du présent Règlement.</w:t>
      </w:r>
      <w:bookmarkEnd w:id="92"/>
      <w:r>
        <w:t> »</w:t>
      </w:r>
      <w:r w:rsidR="00EF3B43">
        <w:t>.</w:t>
      </w:r>
    </w:p>
    <w:p w:rsidR="002875EA" w:rsidRPr="00FF328B" w:rsidRDefault="002875EA" w:rsidP="002875EA">
      <w:pPr>
        <w:pStyle w:val="SingleTxtG"/>
        <w:keepNext/>
        <w:ind w:left="2268" w:hanging="1134"/>
        <w:rPr>
          <w:bCs/>
        </w:rPr>
      </w:pPr>
      <w:bookmarkStart w:id="93" w:name="bookmark_114"/>
      <w:r w:rsidRPr="00FF328B">
        <w:rPr>
          <w:i/>
          <w:iCs/>
        </w:rPr>
        <w:t>Ajouter un nouveau paragraphe 6.18</w:t>
      </w:r>
      <w:r w:rsidRPr="00FF328B">
        <w:t>, libellé comme suit</w:t>
      </w:r>
      <w:bookmarkEnd w:id="93"/>
      <w:r>
        <w:t> :</w:t>
      </w:r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94" w:name="bookmark_115"/>
      <w:r w:rsidRPr="00FF328B">
        <w:t>«</w:t>
      </w:r>
      <w:r>
        <w:t> </w:t>
      </w:r>
      <w:r w:rsidRPr="00FF328B">
        <w:t>6.18</w:t>
      </w:r>
      <w:r w:rsidRPr="00FF328B">
        <w:tab/>
        <w:t>Lorsqu</w:t>
      </w:r>
      <w:r>
        <w:t>’</w:t>
      </w:r>
      <w:r w:rsidRPr="00FF328B">
        <w:t>ils sont conçus pour être installés comme organes ou parties d</w:t>
      </w:r>
      <w:r>
        <w:t>’</w:t>
      </w:r>
      <w:r w:rsidRPr="00FF328B">
        <w:t>un équipement GPL interconnecté, les organes non métalliques, métalliques ou partiellement métalliques, y compris les flexibles et leurs éléments, ainsi que leurs parties non métalliques, métalliques ou partiellement métalliques susceptibles d</w:t>
      </w:r>
      <w:r>
        <w:t>’</w:t>
      </w:r>
      <w:r w:rsidRPr="00FF328B">
        <w:t>entrer en contact avec l</w:t>
      </w:r>
      <w:r>
        <w:t>’</w:t>
      </w:r>
      <w:r w:rsidRPr="00FF328B">
        <w:t>essence doivent satisfaire aux prescriptions énoncées dans l</w:t>
      </w:r>
      <w:r>
        <w:t>’annexe </w:t>
      </w:r>
      <w:r w:rsidRPr="00FF328B">
        <w:t>19 du présent Règlement.</w:t>
      </w:r>
      <w:bookmarkEnd w:id="94"/>
    </w:p>
    <w:p w:rsidR="002875EA" w:rsidRPr="00FF328B" w:rsidRDefault="002875EA" w:rsidP="002875EA">
      <w:pPr>
        <w:pStyle w:val="SingleTxtG"/>
        <w:ind w:left="2268" w:hanging="1134"/>
      </w:pPr>
      <w:bookmarkStart w:id="95" w:name="bookmark_116"/>
      <w:r>
        <w:tab/>
      </w:r>
      <w:r w:rsidRPr="00FF328B">
        <w:t>Les organes non métalliques, métalliques ou partiellement métalliques ou les organes contenant des parties non métalliques doivent porter une marque d</w:t>
      </w:r>
      <w:r>
        <w:t>’</w:t>
      </w:r>
      <w:r w:rsidRPr="00FF328B">
        <w:t>homologation conformément à l</w:t>
      </w:r>
      <w:r>
        <w:t>’appendice </w:t>
      </w:r>
      <w:r w:rsidRPr="00FF328B">
        <w:t>1 de l</w:t>
      </w:r>
      <w:r>
        <w:t>’annexe </w:t>
      </w:r>
      <w:r w:rsidRPr="00FF328B">
        <w:t>A.</w:t>
      </w:r>
      <w:bookmarkEnd w:id="95"/>
      <w:r>
        <w:t> »</w:t>
      </w:r>
      <w:r w:rsidR="00EF3B43">
        <w:t>.</w:t>
      </w:r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96" w:name="bookmark_117"/>
      <w:r w:rsidRPr="00FF328B">
        <w:rPr>
          <w:i/>
          <w:iCs/>
        </w:rPr>
        <w:t>Paragraphe 9.3</w:t>
      </w:r>
      <w:r>
        <w:t>, remplacer « annexes 8, 10 et 15 » par « annexes 8, 10 et 16 </w:t>
      </w:r>
      <w:r w:rsidRPr="00FF328B">
        <w:t>».</w:t>
      </w:r>
      <w:bookmarkEnd w:id="96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97" w:name="bookmark_118"/>
      <w:r w:rsidRPr="00FF328B">
        <w:rPr>
          <w:i/>
          <w:iCs/>
        </w:rPr>
        <w:t>Paragraphe 17.1.7.5</w:t>
      </w:r>
      <w:r>
        <w:t>, remplacer « annexe 17 » par « annexe 18 </w:t>
      </w:r>
      <w:r w:rsidRPr="00FF328B">
        <w:t>».</w:t>
      </w:r>
      <w:bookmarkEnd w:id="97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98" w:name="bookmark_119"/>
      <w:r w:rsidRPr="00FF328B">
        <w:rPr>
          <w:i/>
          <w:iCs/>
        </w:rPr>
        <w:t>Paragraphe 17.1.8.1</w:t>
      </w:r>
      <w:r w:rsidRPr="00FF328B">
        <w:t>, remplacer</w:t>
      </w:r>
      <w:r>
        <w:t xml:space="preserve"> « annexe 16 » par « annexe 17 </w:t>
      </w:r>
      <w:r w:rsidRPr="00FF328B">
        <w:t>».</w:t>
      </w:r>
      <w:bookmarkEnd w:id="98"/>
    </w:p>
    <w:p w:rsidR="002875EA" w:rsidRPr="00FF328B" w:rsidRDefault="002875EA" w:rsidP="002875EA">
      <w:pPr>
        <w:pStyle w:val="SingleTxtG"/>
        <w:keepNext/>
        <w:ind w:left="2268" w:hanging="1134"/>
        <w:rPr>
          <w:rFonts w:eastAsia="MS Mincho"/>
          <w:bCs/>
          <w:spacing w:val="-2"/>
        </w:rPr>
      </w:pPr>
      <w:bookmarkStart w:id="99" w:name="bookmark_120"/>
      <w:r w:rsidRPr="00FF328B">
        <w:rPr>
          <w:i/>
          <w:iCs/>
        </w:rPr>
        <w:t>Paragraphe 17.7.1</w:t>
      </w:r>
      <w:r w:rsidRPr="00FF328B">
        <w:t>,</w:t>
      </w:r>
      <w:r>
        <w:t xml:space="preserve"> </w:t>
      </w:r>
      <w:r w:rsidRPr="00FF328B">
        <w:t>lire</w:t>
      </w:r>
      <w:bookmarkEnd w:id="99"/>
      <w:r>
        <w:t> :</w:t>
      </w:r>
    </w:p>
    <w:p w:rsidR="002875EA" w:rsidRPr="00707673" w:rsidRDefault="002875EA" w:rsidP="002875EA">
      <w:pPr>
        <w:pStyle w:val="SingleTxtG"/>
        <w:ind w:left="2268" w:hanging="1134"/>
      </w:pPr>
      <w:bookmarkStart w:id="100" w:name="bookmark_121"/>
      <w:r w:rsidRPr="00FF328B">
        <w:t>«</w:t>
      </w:r>
      <w:r>
        <w:t> </w:t>
      </w:r>
      <w:r w:rsidRPr="00FF328B">
        <w:t>17.7.1</w:t>
      </w:r>
      <w:r w:rsidRPr="00FF328B">
        <w:tab/>
        <w:t>Tuyaux à gaz sans soudure en cuivre ou en acier inoxydable ou en acier avec un revêtement résistant à la corrosion.</w:t>
      </w:r>
      <w:bookmarkEnd w:id="100"/>
      <w:r>
        <w:t> »</w:t>
      </w:r>
      <w:r w:rsidR="00EF3B43">
        <w:t>.</w:t>
      </w:r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i/>
          <w:spacing w:val="-2"/>
        </w:rPr>
      </w:pPr>
      <w:bookmarkStart w:id="101" w:name="bookmark_122"/>
      <w:r w:rsidRPr="00FF328B">
        <w:rPr>
          <w:i/>
          <w:iCs/>
          <w:szCs w:val="24"/>
        </w:rPr>
        <w:t>Ajouter les nouveaux paragraphes 17.7.1.1 et 17.7.1.2</w:t>
      </w:r>
      <w:r w:rsidRPr="00FF328B">
        <w:rPr>
          <w:szCs w:val="24"/>
        </w:rPr>
        <w:t>,</w:t>
      </w:r>
      <w:r w:rsidRPr="00FF328B">
        <w:t xml:space="preserve"> libellés comme suit</w:t>
      </w:r>
      <w:bookmarkEnd w:id="101"/>
      <w:r>
        <w:t> :</w:t>
      </w:r>
    </w:p>
    <w:p w:rsidR="002875EA" w:rsidRPr="00707673" w:rsidRDefault="002875EA" w:rsidP="002875EA">
      <w:pPr>
        <w:pStyle w:val="SingleTxtG"/>
        <w:ind w:left="2268" w:hanging="1134"/>
      </w:pPr>
      <w:bookmarkStart w:id="102" w:name="bookmark_123"/>
      <w:r w:rsidRPr="00FF328B">
        <w:t>«</w:t>
      </w:r>
      <w:r>
        <w:t> </w:t>
      </w:r>
      <w:r w:rsidRPr="00FF328B">
        <w:t>17.7.1.1</w:t>
      </w:r>
      <w:r w:rsidRPr="00FF328B">
        <w:tab/>
        <w:t>S</w:t>
      </w:r>
      <w:r>
        <w:t>’</w:t>
      </w:r>
      <w:r w:rsidRPr="00FF328B">
        <w:t>il s</w:t>
      </w:r>
      <w:r>
        <w:t>’</w:t>
      </w:r>
      <w:r w:rsidRPr="00FF328B">
        <w:t>agit d</w:t>
      </w:r>
      <w:r>
        <w:t>’</w:t>
      </w:r>
      <w:r w:rsidRPr="00FF328B">
        <w:t>un tuyau en cuivre sans soudure, il doit être protégé par une gaine en caoutchouc ou en plastique.</w:t>
      </w:r>
      <w:bookmarkEnd w:id="102"/>
    </w:p>
    <w:p w:rsidR="002875EA" w:rsidRPr="00FF328B" w:rsidRDefault="002875EA" w:rsidP="002875EA">
      <w:pPr>
        <w:pStyle w:val="SingleTxtG"/>
        <w:ind w:left="2268" w:hanging="1134"/>
      </w:pPr>
      <w:bookmarkStart w:id="103" w:name="bookmark_124"/>
      <w:r w:rsidRPr="00FF328B">
        <w:t>17.7.1.2</w:t>
      </w:r>
      <w:r w:rsidRPr="00FF328B">
        <w:tab/>
        <w:t xml:space="preserve">Le diamètre extérieur des tuyaux à gaz en cuivre de la classe 1 </w:t>
      </w:r>
      <w:r>
        <w:t>ne doit pas être supérieur à 12 </w:t>
      </w:r>
      <w:r w:rsidRPr="00FF328B">
        <w:t>mm et l</w:t>
      </w:r>
      <w:r>
        <w:t>’</w:t>
      </w:r>
      <w:r w:rsidRPr="00FF328B">
        <w:t>épaisseur de leur paroi doit être d</w:t>
      </w:r>
      <w:r>
        <w:t>’</w:t>
      </w:r>
      <w:r w:rsidRPr="00FF328B">
        <w:t>au moins 0,8</w:t>
      </w:r>
      <w:r>
        <w:t> mm </w:t>
      </w:r>
      <w:r w:rsidRPr="00FF328B">
        <w:t>; le diamètre extérieur</w:t>
      </w:r>
      <w:r>
        <w:t xml:space="preserve"> des tuyaux à gaz de la classe </w:t>
      </w:r>
      <w:r w:rsidRPr="00FF328B">
        <w:t xml:space="preserve">1 en acier, inoxydable ou non, </w:t>
      </w:r>
      <w:r>
        <w:t>ne doit pas être supérieur à 25 </w:t>
      </w:r>
      <w:r w:rsidRPr="00FF328B">
        <w:t>mm et, pour les services gaziers, leur paroi doit avoir une épaisseur appropriée.</w:t>
      </w:r>
      <w:bookmarkEnd w:id="103"/>
      <w:r>
        <w:t> »</w:t>
      </w:r>
      <w:r w:rsidR="00EF3B43">
        <w:t>.</w:t>
      </w:r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i/>
          <w:spacing w:val="-2"/>
          <w:szCs w:val="24"/>
        </w:rPr>
      </w:pPr>
      <w:bookmarkStart w:id="104" w:name="bookmark_125"/>
      <w:r w:rsidRPr="00FF328B">
        <w:rPr>
          <w:i/>
          <w:iCs/>
          <w:szCs w:val="24"/>
        </w:rPr>
        <w:t>Paragraphe</w:t>
      </w:r>
      <w:r>
        <w:rPr>
          <w:i/>
          <w:iCs/>
          <w:szCs w:val="24"/>
        </w:rPr>
        <w:t> </w:t>
      </w:r>
      <w:r w:rsidRPr="00FF328B">
        <w:rPr>
          <w:i/>
          <w:iCs/>
          <w:szCs w:val="24"/>
        </w:rPr>
        <w:t>17.7.2</w:t>
      </w:r>
      <w:r w:rsidRPr="00707673">
        <w:t>,</w:t>
      </w:r>
      <w:r>
        <w:rPr>
          <w:i/>
          <w:iCs/>
          <w:szCs w:val="24"/>
        </w:rPr>
        <w:t xml:space="preserve"> </w:t>
      </w:r>
      <w:r w:rsidRPr="00FF328B">
        <w:rPr>
          <w:iCs/>
          <w:szCs w:val="24"/>
        </w:rPr>
        <w:t>lire</w:t>
      </w:r>
      <w:bookmarkEnd w:id="104"/>
      <w:r>
        <w:rPr>
          <w:iCs/>
          <w:szCs w:val="24"/>
        </w:rPr>
        <w:t> </w:t>
      </w:r>
      <w:r w:rsidRPr="00707673">
        <w:t>:</w:t>
      </w:r>
    </w:p>
    <w:p w:rsidR="002875EA" w:rsidRPr="00707673" w:rsidRDefault="002875EA" w:rsidP="002875EA">
      <w:pPr>
        <w:pStyle w:val="SingleTxtG"/>
        <w:ind w:left="2268" w:hanging="1134"/>
      </w:pPr>
      <w:bookmarkStart w:id="105" w:name="bookmark_126"/>
      <w:r w:rsidRPr="00FF328B">
        <w:t>«</w:t>
      </w:r>
      <w:r>
        <w:t> </w:t>
      </w:r>
      <w:r w:rsidRPr="00FF328B">
        <w:t>17.7.2</w:t>
      </w:r>
      <w:r w:rsidRPr="00FF328B">
        <w:tab/>
        <w:t>Les tuyaux à gaz sans soudure faits de matériaux autres que ceux qui sont énumérés au paragraphe 17.7.1 doivent satisfaire aux épreuves applicables conformément aux dispositions de l</w:t>
      </w:r>
      <w:r>
        <w:t>’</w:t>
      </w:r>
      <w:r w:rsidRPr="00FF328B">
        <w:t>annexe 15.</w:t>
      </w:r>
      <w:bookmarkEnd w:id="105"/>
      <w:r>
        <w:t> </w:t>
      </w:r>
      <w:r w:rsidRPr="00FF328B">
        <w:t>»</w:t>
      </w:r>
      <w:r w:rsidR="00EF3B43">
        <w:t>.</w:t>
      </w:r>
    </w:p>
    <w:p w:rsidR="002875EA" w:rsidRPr="00707673" w:rsidRDefault="002875EA" w:rsidP="002875EA">
      <w:pPr>
        <w:pStyle w:val="SingleTxtG"/>
        <w:keepNext/>
        <w:keepLines/>
        <w:ind w:left="2268" w:hanging="1134"/>
      </w:pPr>
      <w:bookmarkStart w:id="106" w:name="bookmark_127"/>
      <w:r w:rsidRPr="00FF328B">
        <w:rPr>
          <w:i/>
          <w:iCs/>
          <w:szCs w:val="24"/>
        </w:rPr>
        <w:lastRenderedPageBreak/>
        <w:t>Paragraphe 17.7.3</w:t>
      </w:r>
      <w:r w:rsidRPr="00707673">
        <w:t>,</w:t>
      </w:r>
      <w:r>
        <w:rPr>
          <w:i/>
          <w:iCs/>
          <w:szCs w:val="24"/>
        </w:rPr>
        <w:t xml:space="preserve"> </w:t>
      </w:r>
      <w:r w:rsidRPr="00FF328B">
        <w:rPr>
          <w:iCs/>
          <w:szCs w:val="24"/>
        </w:rPr>
        <w:t>lire</w:t>
      </w:r>
      <w:bookmarkEnd w:id="106"/>
      <w:r>
        <w:rPr>
          <w:iCs/>
          <w:szCs w:val="24"/>
        </w:rPr>
        <w:t> </w:t>
      </w:r>
      <w:r>
        <w:t>:</w:t>
      </w:r>
    </w:p>
    <w:p w:rsidR="002875EA" w:rsidRPr="00707673" w:rsidRDefault="002875EA" w:rsidP="002875EA">
      <w:pPr>
        <w:pStyle w:val="SingleTxtG"/>
        <w:ind w:left="2268" w:hanging="1134"/>
      </w:pPr>
      <w:bookmarkStart w:id="107" w:name="bookmark_128"/>
      <w:r w:rsidRPr="00FF328B">
        <w:t>«</w:t>
      </w:r>
      <w:r>
        <w:t> </w:t>
      </w:r>
      <w:r w:rsidRPr="00FF328B">
        <w:t>17.7.3</w:t>
      </w:r>
      <w:r w:rsidRPr="00FF328B">
        <w:tab/>
        <w:t>Les tuyaux à gaz autres que sans soudure doivent satisfaire aux épreuves applicables conformément aux dispositions de l</w:t>
      </w:r>
      <w:r>
        <w:t>’</w:t>
      </w:r>
      <w:r w:rsidRPr="00FF328B">
        <w:t>annexe 15.</w:t>
      </w:r>
      <w:bookmarkEnd w:id="107"/>
      <w:r>
        <w:t> »</w:t>
      </w:r>
      <w:r w:rsidR="00EF3B43">
        <w:t>.</w:t>
      </w:r>
    </w:p>
    <w:p w:rsidR="002875EA" w:rsidRPr="00707673" w:rsidRDefault="002875EA" w:rsidP="002875EA">
      <w:pPr>
        <w:pStyle w:val="SingleTxtG"/>
        <w:keepNext/>
        <w:keepLines/>
        <w:ind w:left="2268" w:hanging="1134"/>
      </w:pPr>
      <w:bookmarkStart w:id="108" w:name="bookmark_129"/>
      <w:r w:rsidRPr="00FF328B">
        <w:rPr>
          <w:i/>
          <w:iCs/>
          <w:szCs w:val="24"/>
        </w:rPr>
        <w:t>Paragraphe 17.7.4</w:t>
      </w:r>
      <w:r w:rsidRPr="00707673">
        <w:t>,</w:t>
      </w:r>
      <w:r>
        <w:rPr>
          <w:i/>
          <w:iCs/>
          <w:szCs w:val="24"/>
        </w:rPr>
        <w:t xml:space="preserve"> </w:t>
      </w:r>
      <w:r w:rsidRPr="00FF328B">
        <w:rPr>
          <w:iCs/>
          <w:szCs w:val="24"/>
        </w:rPr>
        <w:t>lire</w:t>
      </w:r>
      <w:bookmarkEnd w:id="108"/>
      <w:r>
        <w:rPr>
          <w:iCs/>
          <w:szCs w:val="24"/>
        </w:rPr>
        <w:t> </w:t>
      </w:r>
      <w:r>
        <w:t>:</w:t>
      </w:r>
    </w:p>
    <w:p w:rsidR="002875EA" w:rsidRPr="0031105C" w:rsidRDefault="002875EA" w:rsidP="002875EA">
      <w:pPr>
        <w:pStyle w:val="SingleTxtG"/>
        <w:ind w:left="2268" w:hanging="1134"/>
      </w:pPr>
      <w:bookmarkStart w:id="109" w:name="bookmark_130"/>
      <w:r w:rsidRPr="00FF328B">
        <w:t>«</w:t>
      </w:r>
      <w:r>
        <w:t> </w:t>
      </w:r>
      <w:r w:rsidRPr="00FF328B">
        <w:t>17.7.4</w:t>
      </w:r>
      <w:r w:rsidRPr="00FF328B">
        <w:tab/>
        <w:t>Les tuyaux</w:t>
      </w:r>
      <w:r>
        <w:t xml:space="preserve"> </w:t>
      </w:r>
      <w:r w:rsidRPr="00FF328B">
        <w:t>à gaz en matériau non métallique doivent satisfaire aux prescriptions du paragraphe 6.7 du présent Règlement.</w:t>
      </w:r>
      <w:bookmarkEnd w:id="109"/>
      <w:r>
        <w:t> »</w:t>
      </w:r>
      <w:r w:rsidR="00EF3B43">
        <w:t>.</w:t>
      </w:r>
    </w:p>
    <w:p w:rsidR="002875EA" w:rsidRPr="00FF328B" w:rsidRDefault="002875EA" w:rsidP="002875EA">
      <w:pPr>
        <w:pStyle w:val="SingleTxtG"/>
        <w:keepNext/>
        <w:keepLines/>
        <w:ind w:left="2268" w:hanging="1134"/>
      </w:pPr>
      <w:bookmarkStart w:id="110" w:name="bookmark_131"/>
      <w:r w:rsidRPr="00FF328B">
        <w:rPr>
          <w:i/>
          <w:iCs/>
        </w:rPr>
        <w:t>Ajouter de nouveaux paragraphes,</w:t>
      </w:r>
      <w:r w:rsidRPr="00FF328B">
        <w:t xml:space="preserve"> </w:t>
      </w:r>
      <w:r w:rsidRPr="00FF328B">
        <w:rPr>
          <w:i/>
        </w:rPr>
        <w:t>17.13 à 17.13.2.5</w:t>
      </w:r>
      <w:r w:rsidRPr="00FF328B">
        <w:t>, libellés comme suit</w:t>
      </w:r>
      <w:bookmarkEnd w:id="110"/>
      <w:r>
        <w:t> :</w:t>
      </w:r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bCs/>
        </w:rPr>
      </w:pPr>
      <w:bookmarkStart w:id="111" w:name="bookmark_132"/>
      <w:r w:rsidRPr="00FF328B">
        <w:t>«</w:t>
      </w:r>
      <w:r>
        <w:t> 17.13</w:t>
      </w:r>
      <w:r w:rsidRPr="00FF328B">
        <w:tab/>
        <w:t>Dispositions spécifiques applicables aux équipements GPL interconnectés</w:t>
      </w:r>
      <w:bookmarkEnd w:id="111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bCs/>
        </w:rPr>
      </w:pPr>
      <w:bookmarkStart w:id="112" w:name="bookmark_133"/>
      <w:r>
        <w:t>17.13.1</w:t>
      </w:r>
      <w:r w:rsidRPr="00FF328B">
        <w:tab/>
        <w:t>Équipement GPL pour véhicules à bicarburation simultanée (GPL-gazole)</w:t>
      </w:r>
      <w:bookmarkEnd w:id="112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13" w:name="bookmark_134"/>
      <w:r>
        <w:t>17.13.1.1</w:t>
      </w:r>
      <w:r w:rsidRPr="00FF328B">
        <w:tab/>
        <w:t>Des moyens doivent être prévus pour empêcher tout reflux de GPL dans le réservoir à gazole. L</w:t>
      </w:r>
      <w:r>
        <w:t>’</w:t>
      </w:r>
      <w:r w:rsidRPr="00FF328B">
        <w:t xml:space="preserve">installation de </w:t>
      </w:r>
      <w:proofErr w:type="gramStart"/>
      <w:r w:rsidRPr="00FF328B">
        <w:t>deux soupapes antiretour</w:t>
      </w:r>
      <w:proofErr w:type="gramEnd"/>
      <w:r w:rsidRPr="00FF328B">
        <w:t xml:space="preserve"> sur le circuit d</w:t>
      </w:r>
      <w:r>
        <w:t>’</w:t>
      </w:r>
      <w:r w:rsidRPr="00FF328B">
        <w:t xml:space="preserve">écoulement sera considérée comme remplissant cette condition si les soupapes satisfont </w:t>
      </w:r>
      <w:r>
        <w:t>aux prescriptions du paragraphe </w:t>
      </w:r>
      <w:r w:rsidRPr="00FF328B">
        <w:t>6.17.14.1.</w:t>
      </w:r>
      <w:bookmarkEnd w:id="113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14" w:name="bookmark_135"/>
      <w:r>
        <w:t>17.13.1.2</w:t>
      </w:r>
      <w:r w:rsidRPr="00FF328B">
        <w:tab/>
        <w:t>Des moyens doivent être prévus pour empêcher tout reflux de gazole dans le réservoir à GPL. L</w:t>
      </w:r>
      <w:r>
        <w:t>’</w:t>
      </w:r>
      <w:r w:rsidRPr="00FF328B">
        <w:t xml:space="preserve">installation de </w:t>
      </w:r>
      <w:proofErr w:type="gramStart"/>
      <w:r w:rsidRPr="00FF328B">
        <w:t>deux soupapes antiretour</w:t>
      </w:r>
      <w:proofErr w:type="gramEnd"/>
      <w:r w:rsidRPr="00FF328B">
        <w:t xml:space="preserve"> sur le circuit d</w:t>
      </w:r>
      <w:r>
        <w:t>’</w:t>
      </w:r>
      <w:r w:rsidRPr="00FF328B">
        <w:t>écoulement sera considérée comme remplissant cette condition si les soupapes satisfont aux prescriptions du paragraphe 6.17.14.1.</w:t>
      </w:r>
      <w:bookmarkEnd w:id="114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bCs/>
        </w:rPr>
      </w:pPr>
      <w:bookmarkStart w:id="115" w:name="bookmark_136"/>
      <w:r>
        <w:t>17.13.2</w:t>
      </w:r>
      <w:r w:rsidRPr="00FF328B">
        <w:tab/>
        <w:t>Équipement GPL pour véhicules à bicarburation alternée (GPL-essence)</w:t>
      </w:r>
      <w:bookmarkEnd w:id="115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16" w:name="bookmark_137"/>
      <w:r>
        <w:t>17.13.2.1</w:t>
      </w:r>
      <w:r w:rsidRPr="00FF328B">
        <w:tab/>
        <w:t>Des moyens doivent être prévus pour empêcher tout reflux de GPL dans le réservoir à essence. L</w:t>
      </w:r>
      <w:r>
        <w:t>’</w:t>
      </w:r>
      <w:r w:rsidRPr="00FF328B">
        <w:t xml:space="preserve">installation de </w:t>
      </w:r>
      <w:proofErr w:type="gramStart"/>
      <w:r w:rsidRPr="00FF328B">
        <w:t>deux soupapes antiretour</w:t>
      </w:r>
      <w:proofErr w:type="gramEnd"/>
      <w:r w:rsidRPr="00FF328B">
        <w:t xml:space="preserve"> sur le circuit d</w:t>
      </w:r>
      <w:r>
        <w:t>’</w:t>
      </w:r>
      <w:r w:rsidRPr="00FF328B">
        <w:t>écoulement sera considérée comme remplissant cette condition si les soupapes satisfont aux prescriptions du paragraphe 6.17.14.1.</w:t>
      </w:r>
      <w:bookmarkEnd w:id="116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17" w:name="bookmark_138"/>
      <w:r>
        <w:t>17.13.2.2</w:t>
      </w:r>
      <w:r w:rsidRPr="00FF328B">
        <w:tab/>
        <w:t>Pour que ces reflux d</w:t>
      </w:r>
      <w:r>
        <w:t>’</w:t>
      </w:r>
      <w:r w:rsidRPr="00FF328B">
        <w:t>essence dans le réservoir à GPL, se produisant durant les opérations de transition d</w:t>
      </w:r>
      <w:r>
        <w:t>’</w:t>
      </w:r>
      <w:r w:rsidRPr="00FF328B">
        <w:t>un carburant à l</w:t>
      </w:r>
      <w:r>
        <w:t>’</w:t>
      </w:r>
      <w:r w:rsidRPr="00FF328B">
        <w:t xml:space="preserve">autre, ne puissent causer un </w:t>
      </w:r>
      <w:proofErr w:type="spellStart"/>
      <w:r w:rsidRPr="00FF328B">
        <w:t>surremplissage</w:t>
      </w:r>
      <w:proofErr w:type="spellEnd"/>
      <w:r w:rsidRPr="00FF328B">
        <w:t xml:space="preserve"> du réservoir à GPL (c</w:t>
      </w:r>
      <w:r>
        <w:t>’</w:t>
      </w:r>
      <w:r w:rsidRPr="00FF328B">
        <w:t>est-</w:t>
      </w:r>
      <w:r>
        <w:t>à-dire à plus de 80 % de sa contenance, à savoir 80 % de carburant liquide et 20 </w:t>
      </w:r>
      <w:r w:rsidRPr="00FF328B">
        <w:t>% de carburant gazeux), l</w:t>
      </w:r>
      <w:r>
        <w:t>’</w:t>
      </w:r>
      <w:r w:rsidRPr="00FF328B">
        <w:t xml:space="preserve">équipement GPL doit inclure un module de commande électronique qui doit aussi satisfaire </w:t>
      </w:r>
      <w:r>
        <w:t>aux prescriptions du paragraphe </w:t>
      </w:r>
      <w:r w:rsidRPr="00FF328B">
        <w:t>6 de l</w:t>
      </w:r>
      <w:r>
        <w:t>’annexe </w:t>
      </w:r>
      <w:r w:rsidRPr="00FF328B">
        <w:t>14.</w:t>
      </w:r>
      <w:bookmarkEnd w:id="117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18" w:name="bookmark_139"/>
      <w:r>
        <w:tab/>
      </w:r>
      <w:r w:rsidRPr="00FF328B">
        <w:t>Une vanne d</w:t>
      </w:r>
      <w:r>
        <w:t>’</w:t>
      </w:r>
      <w:r w:rsidRPr="00FF328B">
        <w:t>arrêt télécommandée satisfaisant aux prescriptions du paragraphe 6.17.3.3 doit être installée sur le circuit d</w:t>
      </w:r>
      <w:r>
        <w:t>’</w:t>
      </w:r>
      <w:r w:rsidRPr="00FF328B">
        <w:t>écoulement.</w:t>
      </w:r>
      <w:bookmarkEnd w:id="118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19" w:name="bookmark_140"/>
      <w:r>
        <w:t>17.13.2.3</w:t>
      </w:r>
      <w:r w:rsidRPr="00FF328B">
        <w:tab/>
        <w:t>Des moyens doivent être prévus pour empêcher tout reflux d</w:t>
      </w:r>
      <w:r>
        <w:t>’</w:t>
      </w:r>
      <w:r w:rsidRPr="00FF328B">
        <w:t xml:space="preserve">essence dans le réservoir à GPL qui puisse causer un </w:t>
      </w:r>
      <w:proofErr w:type="spellStart"/>
      <w:r w:rsidRPr="00FF328B">
        <w:t>surremplissage</w:t>
      </w:r>
      <w:proofErr w:type="spellEnd"/>
      <w:r w:rsidRPr="00FF328B">
        <w:t xml:space="preserve">, avec un </w:t>
      </w:r>
      <w:r>
        <w:t>contenu en essence dépassant 16 </w:t>
      </w:r>
      <w:r w:rsidRPr="00FF328B">
        <w:t>% du volume réel contenu dans le réservoir à GPL.</w:t>
      </w:r>
      <w:bookmarkEnd w:id="119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20" w:name="bookmark_141"/>
      <w:r>
        <w:tab/>
      </w:r>
      <w:r w:rsidRPr="00FF328B">
        <w:t>L</w:t>
      </w:r>
      <w:r>
        <w:t>’</w:t>
      </w:r>
      <w:r w:rsidRPr="00FF328B">
        <w:t>application de cette mesure doit être démontrée conformément aux procédures prescrites dans l</w:t>
      </w:r>
      <w:r>
        <w:t>’annexe </w:t>
      </w:r>
      <w:r w:rsidRPr="00FF328B">
        <w:t>20.</w:t>
      </w:r>
      <w:bookmarkEnd w:id="120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21" w:name="bookmark_142"/>
      <w:r w:rsidRPr="00FF328B">
        <w:tab/>
        <w:t>La présente prescription doit être respectée même en cas de</w:t>
      </w:r>
      <w:r>
        <w:t xml:space="preserve"> </w:t>
      </w:r>
      <w:r w:rsidRPr="00FF328B">
        <w:t>défaillance,</w:t>
      </w:r>
      <w:r>
        <w:t xml:space="preserve"> </w:t>
      </w:r>
      <w:r w:rsidRPr="00FF328B">
        <w:t>signalée par un témoin de défaut de fonctionnement</w:t>
      </w:r>
      <w:r>
        <w:t xml:space="preserve"> </w:t>
      </w:r>
      <w:r w:rsidRPr="00FF328B">
        <w:t>appelant l</w:t>
      </w:r>
      <w:r>
        <w:t>’</w:t>
      </w:r>
      <w:r w:rsidRPr="00FF328B">
        <w:t>attention du conducteur,</w:t>
      </w:r>
      <w:r>
        <w:t xml:space="preserve"> </w:t>
      </w:r>
      <w:r w:rsidRPr="00FF328B">
        <w:t>voire par l</w:t>
      </w:r>
      <w:r>
        <w:t>’</w:t>
      </w:r>
      <w:r w:rsidRPr="00FF328B">
        <w:t>activation</w:t>
      </w:r>
      <w:r>
        <w:t xml:space="preserve"> </w:t>
      </w:r>
      <w:r w:rsidRPr="00FF328B">
        <w:t>du fonctionnement en mode dégradé.</w:t>
      </w:r>
      <w:bookmarkEnd w:id="121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22" w:name="bookmark_143"/>
      <w:r>
        <w:t>17.13.2.4</w:t>
      </w:r>
      <w:r w:rsidRPr="00FF328B">
        <w:tab/>
        <w:t>Les organes non métalliques, métalliques ou partiellement métalliques d</w:t>
      </w:r>
      <w:r>
        <w:t>’</w:t>
      </w:r>
      <w:r w:rsidRPr="00FF328B">
        <w:t>un équipement GPL, y compris les flexibles et leurs éléments, ainsi que leurs parties non métalliques, métalliques ou partiellement métalliques susceptibles d</w:t>
      </w:r>
      <w:r>
        <w:t>’</w:t>
      </w:r>
      <w:r w:rsidRPr="00FF328B">
        <w:t>entrer en contact avec l</w:t>
      </w:r>
      <w:r>
        <w:t>’</w:t>
      </w:r>
      <w:r w:rsidRPr="00FF328B">
        <w:t>essence doivent satisfaire aux presc</w:t>
      </w:r>
      <w:r>
        <w:t>riptions énoncées au paragraphe </w:t>
      </w:r>
      <w:r w:rsidRPr="00FF328B">
        <w:t>6.18.</w:t>
      </w:r>
      <w:bookmarkEnd w:id="122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123" w:name="bookmark_144"/>
      <w:r w:rsidRPr="00FF328B">
        <w:t>17.</w:t>
      </w:r>
      <w:r>
        <w:t>13.2.5</w:t>
      </w:r>
      <w:r w:rsidRPr="00FF328B">
        <w:tab/>
        <w:t>Le module de commande électronique satisfaisant aux prescriptions du paragraphe 17.13.2.2 doit être installé</w:t>
      </w:r>
      <w:bookmarkEnd w:id="123"/>
      <w:r>
        <w:t> :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124" w:name="bookmark_145"/>
      <w:r w:rsidRPr="00FF328B">
        <w:t>a)</w:t>
      </w:r>
      <w:r w:rsidRPr="00FF328B">
        <w:tab/>
        <w:t>Sur les véhicules avec un volume entré par reflu</w:t>
      </w:r>
      <w:r>
        <w:t>x égal ou inférieur à 0,4 litre </w:t>
      </w:r>
      <w:r w:rsidRPr="00FF328B">
        <w:t>; et</w:t>
      </w:r>
      <w:bookmarkEnd w:id="124"/>
    </w:p>
    <w:p w:rsidR="002875EA" w:rsidRPr="00FF328B" w:rsidRDefault="002875EA" w:rsidP="002875EA">
      <w:pPr>
        <w:tabs>
          <w:tab w:val="left" w:pos="2268"/>
          <w:tab w:val="left" w:pos="2835"/>
          <w:tab w:val="left" w:pos="8505"/>
        </w:tabs>
        <w:ind w:left="2835" w:right="1134" w:hanging="567"/>
        <w:jc w:val="both"/>
        <w:rPr>
          <w:bCs/>
        </w:rPr>
      </w:pPr>
      <w:bookmarkStart w:id="125" w:name="bookmark_146"/>
      <w:r w:rsidRPr="00FF328B">
        <w:t>b)</w:t>
      </w:r>
      <w:r w:rsidRPr="00FF328B">
        <w:tab/>
        <w:t>Sur les véhicules équipés d</w:t>
      </w:r>
      <w:r>
        <w:t>’</w:t>
      </w:r>
      <w:r w:rsidRPr="00FF328B">
        <w:t>un réservoir à GPL d</w:t>
      </w:r>
      <w:r>
        <w:t>’une capacité supérieure à 20 </w:t>
      </w:r>
      <w:r w:rsidRPr="00FF328B">
        <w:t>litres.</w:t>
      </w:r>
      <w:bookmarkEnd w:id="125"/>
      <w:r>
        <w:t> ».</w:t>
      </w:r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i/>
          <w:szCs w:val="24"/>
        </w:rPr>
      </w:pPr>
      <w:bookmarkStart w:id="126" w:name="bookmark_147"/>
      <w:r>
        <w:rPr>
          <w:i/>
          <w:iCs/>
          <w:szCs w:val="24"/>
        </w:rPr>
        <w:lastRenderedPageBreak/>
        <w:t>Annexe </w:t>
      </w:r>
      <w:r w:rsidRPr="00FF328B">
        <w:rPr>
          <w:i/>
          <w:iCs/>
          <w:szCs w:val="24"/>
        </w:rPr>
        <w:t>1</w:t>
      </w:r>
      <w:bookmarkEnd w:id="126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127" w:name="bookmark_148"/>
      <w:r w:rsidRPr="00FF328B">
        <w:rPr>
          <w:i/>
          <w:iCs/>
          <w:szCs w:val="24"/>
        </w:rPr>
        <w:t xml:space="preserve">Ajouter les nouveaux points </w:t>
      </w:r>
      <w:r w:rsidRPr="00FF328B">
        <w:rPr>
          <w:i/>
          <w:iCs/>
        </w:rPr>
        <w:t>1</w:t>
      </w:r>
      <w:r>
        <w:rPr>
          <w:i/>
          <w:iCs/>
        </w:rPr>
        <w:t>.2.4.5.19</w:t>
      </w:r>
      <w:r w:rsidRPr="00FF328B">
        <w:rPr>
          <w:i/>
          <w:iCs/>
        </w:rPr>
        <w:t xml:space="preserve"> à 1.2.4.5.19.3</w:t>
      </w:r>
      <w:r w:rsidRPr="00FF328B">
        <w:t>, libellés comme suit</w:t>
      </w:r>
      <w:bookmarkEnd w:id="127"/>
      <w:r>
        <w:t> :</w:t>
      </w:r>
    </w:p>
    <w:p w:rsidR="002875EA" w:rsidRPr="0031105C" w:rsidRDefault="002875EA" w:rsidP="002875EA">
      <w:pPr>
        <w:pStyle w:val="SingleTxtG"/>
      </w:pPr>
      <w:bookmarkStart w:id="128" w:name="bookmark_149"/>
      <w:r w:rsidRPr="00FF328B">
        <w:t>«</w:t>
      </w:r>
      <w:r>
        <w:t> </w:t>
      </w:r>
      <w:r w:rsidRPr="00FF328B">
        <w:t>1.2.4.5.19</w:t>
      </w:r>
      <w:r>
        <w:tab/>
      </w:r>
      <w:r w:rsidRPr="00FF328B">
        <w:t>Tuyaux à gaz autres que sans soudure et leurs raccords ;</w:t>
      </w:r>
      <w:bookmarkEnd w:id="128"/>
    </w:p>
    <w:p w:rsidR="002875EA" w:rsidRPr="0031105C" w:rsidRDefault="002875EA" w:rsidP="002875EA">
      <w:pPr>
        <w:pStyle w:val="SingleTxtG"/>
        <w:tabs>
          <w:tab w:val="left" w:pos="2268"/>
          <w:tab w:val="right" w:leader="dot" w:pos="8505"/>
        </w:tabs>
      </w:pPr>
      <w:bookmarkStart w:id="129" w:name="bookmark_150"/>
      <w:r>
        <w:t>1.2.4.5.19.1</w:t>
      </w:r>
      <w:r>
        <w:tab/>
      </w:r>
      <w:r w:rsidRPr="00FF328B">
        <w:t>Marque(s)</w:t>
      </w:r>
      <w:bookmarkEnd w:id="129"/>
      <w:r>
        <w:t xml:space="preserve"> : </w:t>
      </w:r>
      <w:r>
        <w:tab/>
      </w:r>
    </w:p>
    <w:p w:rsidR="002875EA" w:rsidRPr="0031105C" w:rsidRDefault="002875EA" w:rsidP="002875EA">
      <w:pPr>
        <w:pStyle w:val="SingleTxtG"/>
        <w:tabs>
          <w:tab w:val="left" w:pos="2268"/>
          <w:tab w:val="right" w:leader="dot" w:pos="8505"/>
        </w:tabs>
      </w:pPr>
      <w:bookmarkStart w:id="130" w:name="bookmark_151"/>
      <w:r>
        <w:t>1.2.4.5.19.2</w:t>
      </w:r>
      <w:r>
        <w:tab/>
        <w:t>Type(s) </w:t>
      </w:r>
      <w:r w:rsidRPr="00FF328B">
        <w:t xml:space="preserve">: </w:t>
      </w:r>
      <w:r w:rsidRPr="00FF328B">
        <w:tab/>
      </w:r>
      <w:bookmarkEnd w:id="130"/>
    </w:p>
    <w:p w:rsidR="002875EA" w:rsidRPr="0031105C" w:rsidRDefault="002875EA" w:rsidP="002875EA">
      <w:pPr>
        <w:pStyle w:val="SingleTxtG"/>
        <w:tabs>
          <w:tab w:val="left" w:pos="2268"/>
          <w:tab w:val="right" w:leader="dot" w:pos="8505"/>
        </w:tabs>
      </w:pPr>
      <w:bookmarkStart w:id="131" w:name="bookmark_152"/>
      <w:r w:rsidRPr="00FF328B">
        <w:t>1.2</w:t>
      </w:r>
      <w:r>
        <w:t>.4.5.19.3</w:t>
      </w:r>
      <w:r>
        <w:tab/>
        <w:t>Description et schémas </w:t>
      </w:r>
      <w:r w:rsidRPr="00FF328B">
        <w:t xml:space="preserve">: </w:t>
      </w:r>
      <w:r w:rsidRPr="00FF328B">
        <w:tab/>
      </w:r>
      <w:bookmarkEnd w:id="131"/>
      <w:r>
        <w:t> »</w:t>
      </w:r>
      <w:r w:rsidR="00EF3B43">
        <w:t>.</w:t>
      </w:r>
    </w:p>
    <w:p w:rsidR="002875EA" w:rsidRPr="0031105C" w:rsidRDefault="002875EA" w:rsidP="002875EA">
      <w:pPr>
        <w:pStyle w:val="SingleTxtG"/>
        <w:keepNext/>
        <w:keepLines/>
        <w:ind w:left="2268" w:hanging="1134"/>
      </w:pPr>
      <w:bookmarkStart w:id="132" w:name="bookmark_153"/>
      <w:r w:rsidRPr="0031105C">
        <w:rPr>
          <w:i/>
        </w:rPr>
        <w:t>Ajouter</w:t>
      </w:r>
      <w:r>
        <w:rPr>
          <w:i/>
        </w:rPr>
        <w:t xml:space="preserve"> les nouveaux points 1.2.4.5.20</w:t>
      </w:r>
      <w:r w:rsidRPr="0031105C">
        <w:rPr>
          <w:i/>
        </w:rPr>
        <w:t xml:space="preserve"> à 1.2.4.5.20.3</w:t>
      </w:r>
      <w:r w:rsidRPr="00FF328B">
        <w:t>, libellés comme suit</w:t>
      </w:r>
      <w:bookmarkEnd w:id="132"/>
      <w:r>
        <w:t> :</w:t>
      </w:r>
    </w:p>
    <w:p w:rsidR="002875EA" w:rsidRPr="0031105C" w:rsidRDefault="002875EA" w:rsidP="002875EA">
      <w:pPr>
        <w:pStyle w:val="SingleTxtG"/>
        <w:ind w:left="2268" w:hanging="1134"/>
      </w:pPr>
      <w:bookmarkStart w:id="133" w:name="bookmark_154"/>
      <w:r w:rsidRPr="00FF328B">
        <w:t>«</w:t>
      </w:r>
      <w:r>
        <w:t> </w:t>
      </w:r>
      <w:r w:rsidRPr="00FF328B">
        <w:t>1.2.4.5.20</w:t>
      </w:r>
      <w:r w:rsidRPr="00FF328B">
        <w:tab/>
        <w:t>Les tuyaux à gaz sans soudure faits de matériaux autres que le cuivre, l</w:t>
      </w:r>
      <w:r>
        <w:t>’</w:t>
      </w:r>
      <w:r w:rsidRPr="00FF328B">
        <w:t>acier inoxydable et l</w:t>
      </w:r>
      <w:r>
        <w:t>’</w:t>
      </w:r>
      <w:r w:rsidRPr="00FF328B">
        <w:t>acier avec un revêtement résistant à la corrosion, ainsi que leurs raccords.</w:t>
      </w:r>
      <w:bookmarkEnd w:id="133"/>
    </w:p>
    <w:p w:rsidR="002875EA" w:rsidRPr="0031105C" w:rsidRDefault="002875EA" w:rsidP="002875EA">
      <w:pPr>
        <w:pStyle w:val="SingleTxtG"/>
        <w:tabs>
          <w:tab w:val="left" w:pos="2268"/>
          <w:tab w:val="right" w:leader="dot" w:pos="8505"/>
        </w:tabs>
      </w:pPr>
      <w:bookmarkStart w:id="134" w:name="bookmark_155"/>
      <w:r>
        <w:t>1.2.4.5.20.1</w:t>
      </w:r>
      <w:r>
        <w:tab/>
        <w:t>Marque(s) </w:t>
      </w:r>
      <w:r w:rsidRPr="00FF328B">
        <w:t xml:space="preserve">: </w:t>
      </w:r>
      <w:r w:rsidRPr="00FF328B">
        <w:tab/>
      </w:r>
      <w:bookmarkEnd w:id="134"/>
    </w:p>
    <w:p w:rsidR="002875EA" w:rsidRPr="0031105C" w:rsidRDefault="002875EA" w:rsidP="002875EA">
      <w:pPr>
        <w:pStyle w:val="SingleTxtG"/>
        <w:tabs>
          <w:tab w:val="left" w:pos="2268"/>
          <w:tab w:val="right" w:leader="dot" w:pos="8505"/>
        </w:tabs>
      </w:pPr>
      <w:bookmarkStart w:id="135" w:name="bookmark_156"/>
      <w:r>
        <w:t>1.2.4.5.20.2</w:t>
      </w:r>
      <w:r>
        <w:tab/>
        <w:t>Type(s) </w:t>
      </w:r>
      <w:r w:rsidRPr="00FF328B">
        <w:t xml:space="preserve">: </w:t>
      </w:r>
      <w:r w:rsidRPr="00FF328B">
        <w:tab/>
      </w:r>
      <w:bookmarkEnd w:id="135"/>
    </w:p>
    <w:p w:rsidR="002875EA" w:rsidRPr="0031105C" w:rsidRDefault="002875EA" w:rsidP="002875EA">
      <w:pPr>
        <w:pStyle w:val="SingleTxtG"/>
        <w:tabs>
          <w:tab w:val="left" w:pos="2268"/>
          <w:tab w:val="right" w:leader="dot" w:pos="8505"/>
        </w:tabs>
      </w:pPr>
      <w:bookmarkStart w:id="136" w:name="bookmark_157"/>
      <w:r>
        <w:t>1.2.4.5.20.3</w:t>
      </w:r>
      <w:r>
        <w:tab/>
        <w:t>Description et schémas </w:t>
      </w:r>
      <w:r w:rsidRPr="00FF328B">
        <w:t xml:space="preserve">: </w:t>
      </w:r>
      <w:r w:rsidRPr="00FF328B">
        <w:tab/>
      </w:r>
      <w:bookmarkEnd w:id="136"/>
      <w:r>
        <w:t> »</w:t>
      </w:r>
      <w:r w:rsidR="00EF3B43">
        <w:t>.</w:t>
      </w:r>
    </w:p>
    <w:p w:rsidR="002875EA" w:rsidRPr="0031105C" w:rsidRDefault="002875EA" w:rsidP="002875EA">
      <w:pPr>
        <w:pStyle w:val="SingleTxtG"/>
        <w:keepNext/>
        <w:keepLines/>
        <w:ind w:left="2268" w:hanging="1134"/>
      </w:pPr>
      <w:bookmarkStart w:id="137" w:name="bookmark_158"/>
      <w:r w:rsidRPr="00FF328B">
        <w:rPr>
          <w:i/>
          <w:iCs/>
        </w:rPr>
        <w:t>Les points 1.2.4.5.19 à 1.2.4.5.19.5</w:t>
      </w:r>
      <w:r w:rsidRPr="00FF328B">
        <w:t xml:space="preserve"> deviennent les points 1.2.4.5.21 à 1.2.4.5.21.5.</w:t>
      </w:r>
      <w:bookmarkEnd w:id="137"/>
    </w:p>
    <w:p w:rsidR="002875EA" w:rsidRPr="0031105C" w:rsidRDefault="002875EA" w:rsidP="002875EA">
      <w:pPr>
        <w:pStyle w:val="SingleTxtG"/>
        <w:keepNext/>
        <w:keepLines/>
        <w:ind w:left="2268" w:hanging="1134"/>
      </w:pPr>
      <w:bookmarkStart w:id="138" w:name="bookmark_159"/>
      <w:r w:rsidRPr="0031105C">
        <w:rPr>
          <w:i/>
        </w:rPr>
        <w:t>Aj</w:t>
      </w:r>
      <w:r>
        <w:rPr>
          <w:i/>
        </w:rPr>
        <w:t>outer les nouveaux points 1.2.6</w:t>
      </w:r>
      <w:r w:rsidRPr="0031105C">
        <w:rPr>
          <w:i/>
        </w:rPr>
        <w:t xml:space="preserve"> et 1.2.7</w:t>
      </w:r>
      <w:r w:rsidRPr="00FF328B">
        <w:t>, libellés comme suit</w:t>
      </w:r>
      <w:bookmarkEnd w:id="138"/>
      <w:r>
        <w:t> :</w:t>
      </w:r>
    </w:p>
    <w:p w:rsidR="002875EA" w:rsidRPr="0031105C" w:rsidRDefault="002875EA" w:rsidP="002875EA">
      <w:pPr>
        <w:pStyle w:val="SingleTxtG"/>
        <w:tabs>
          <w:tab w:val="left" w:pos="2268"/>
          <w:tab w:val="right" w:leader="dot" w:pos="8505"/>
        </w:tabs>
        <w:ind w:left="2268" w:hanging="1134"/>
      </w:pPr>
      <w:bookmarkStart w:id="139" w:name="bookmark_160"/>
      <w:r w:rsidRPr="00FF328B">
        <w:t>«</w:t>
      </w:r>
      <w:r>
        <w:t> 1.2.6</w:t>
      </w:r>
      <w:r w:rsidRPr="00FF328B">
        <w:tab/>
        <w:t>Documentation liée aux dispositions et description et schéma de l</w:t>
      </w:r>
      <w:r>
        <w:t>’</w:t>
      </w:r>
      <w:r w:rsidRPr="00FF328B">
        <w:t xml:space="preserve">équipement destiné à empêcher le </w:t>
      </w:r>
      <w:proofErr w:type="spellStart"/>
      <w:r w:rsidRPr="00FF328B">
        <w:t>surrempl</w:t>
      </w:r>
      <w:r>
        <w:t>issage</w:t>
      </w:r>
      <w:proofErr w:type="spellEnd"/>
      <w:r>
        <w:t xml:space="preserve"> du réservoir à GPL (par. 17.3.2.2) </w:t>
      </w:r>
      <w:r w:rsidRPr="00FF328B">
        <w:t>:</w:t>
      </w:r>
      <w:bookmarkEnd w:id="139"/>
      <w:r>
        <w:t xml:space="preserve"> </w:t>
      </w:r>
      <w:r>
        <w:tab/>
      </w:r>
    </w:p>
    <w:p w:rsidR="002875EA" w:rsidRPr="00FF328B" w:rsidRDefault="002875EA" w:rsidP="002875EA">
      <w:pPr>
        <w:pStyle w:val="SingleTxtG"/>
        <w:tabs>
          <w:tab w:val="left" w:pos="2268"/>
          <w:tab w:val="right" w:leader="dot" w:pos="8505"/>
        </w:tabs>
        <w:ind w:left="2268" w:hanging="1134"/>
      </w:pPr>
      <w:bookmarkStart w:id="140" w:name="bookmark_161"/>
      <w:r>
        <w:t>1.2.7</w:t>
      </w:r>
      <w:r w:rsidRPr="00FF328B">
        <w:tab/>
        <w:t>Documentation liée aux dispositions applicables aux équipem</w:t>
      </w:r>
      <w:r>
        <w:t>ents GPL interconnectés (annexe 20) </w:t>
      </w:r>
      <w:r w:rsidRPr="00FF328B">
        <w:t>:</w:t>
      </w:r>
      <w:r w:rsidRPr="00FF328B">
        <w:tab/>
      </w:r>
      <w:bookmarkEnd w:id="140"/>
      <w:r>
        <w:t> »</w:t>
      </w:r>
      <w:r w:rsidR="00EF3B43">
        <w:t>.</w:t>
      </w:r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r w:rsidRPr="00FF328B">
        <w:rPr>
          <w:rFonts w:eastAsia="MS Mincho"/>
          <w:bCs/>
          <w:i/>
          <w:spacing w:val="-2"/>
          <w:lang w:eastAsia="ja-JP"/>
        </w:rPr>
        <w:br w:type="page"/>
      </w:r>
      <w:bookmarkStart w:id="141" w:name="bookmark_162"/>
      <w:r w:rsidRPr="00FF328B">
        <w:rPr>
          <w:i/>
          <w:iCs/>
        </w:rPr>
        <w:lastRenderedPageBreak/>
        <w:t>Annexe 2A</w:t>
      </w:r>
      <w:r w:rsidRPr="00FF328B">
        <w:t>,</w:t>
      </w:r>
      <w:r>
        <w:t xml:space="preserve"> </w:t>
      </w:r>
      <w:r w:rsidRPr="00FF328B">
        <w:t>lire</w:t>
      </w:r>
      <w:bookmarkEnd w:id="141"/>
      <w:r>
        <w:t> :</w:t>
      </w:r>
    </w:p>
    <w:p w:rsidR="002875EA" w:rsidRPr="00FF328B" w:rsidRDefault="002875EA" w:rsidP="002875EA">
      <w:pPr>
        <w:pStyle w:val="H1G"/>
        <w:rPr>
          <w:sz w:val="28"/>
        </w:rPr>
      </w:pPr>
      <w:bookmarkStart w:id="142" w:name="bookmark_163"/>
      <w:r w:rsidRPr="00455EB8">
        <w:rPr>
          <w:b w:val="0"/>
          <w:sz w:val="20"/>
        </w:rPr>
        <w:t>«</w:t>
      </w:r>
      <w:r>
        <w:t> </w:t>
      </w:r>
      <w:r w:rsidRPr="00FF328B">
        <w:t>Annexe 2A</w:t>
      </w:r>
      <w:bookmarkEnd w:id="142"/>
    </w:p>
    <w:p w:rsidR="002875EA" w:rsidRPr="00FF328B" w:rsidRDefault="002875EA" w:rsidP="002875EA">
      <w:pPr>
        <w:pStyle w:val="H1G"/>
        <w:rPr>
          <w:sz w:val="28"/>
        </w:rPr>
      </w:pPr>
      <w:bookmarkStart w:id="143" w:name="bookmark_164"/>
      <w:r w:rsidRPr="00FF328B">
        <w:tab/>
      </w:r>
      <w:r w:rsidRPr="00FF328B">
        <w:tab/>
        <w:t>Exemple de marque d</w:t>
      </w:r>
      <w:r>
        <w:t>’</w:t>
      </w:r>
      <w:r w:rsidRPr="00FF328B">
        <w:t>homologation de l</w:t>
      </w:r>
      <w:r>
        <w:t>’</w:t>
      </w:r>
      <w:r w:rsidRPr="00FF328B">
        <w:t>équipement GPL</w:t>
      </w:r>
      <w:bookmarkEnd w:id="143"/>
    </w:p>
    <w:p w:rsidR="002875EA" w:rsidRDefault="002875EA" w:rsidP="002875EA">
      <w:pPr>
        <w:pStyle w:val="SingleTxtG"/>
      </w:pPr>
      <w:bookmarkStart w:id="144" w:name="bookmark_165"/>
      <w:r w:rsidRPr="00FF328B">
        <w:t>(Voir le paragraphe 5.4 du présent Règlement)</w:t>
      </w:r>
      <w:bookmarkEnd w:id="144"/>
    </w:p>
    <w:p w:rsidR="002875EA" w:rsidRPr="00B0759E" w:rsidRDefault="002875EA" w:rsidP="002875EA">
      <w:pPr>
        <w:pStyle w:val="SingleTxtG"/>
        <w:ind w:left="4536" w:hanging="3402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FE2FF" wp14:editId="57A4284D">
                <wp:simplePos x="0" y="0"/>
                <wp:positionH relativeFrom="column">
                  <wp:posOffset>2847781</wp:posOffset>
                </wp:positionH>
                <wp:positionV relativeFrom="paragraph">
                  <wp:posOffset>442465</wp:posOffset>
                </wp:positionV>
                <wp:extent cx="2351314" cy="29111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29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00DD" w:rsidRDefault="002700DD" w:rsidP="002875EA">
                            <w:r w:rsidRPr="00FF328B">
                              <w:t>6</w:t>
                            </w:r>
                            <w:r>
                              <w:t>7 R-</w:t>
                            </w:r>
                            <w:r w:rsidRPr="00FF328B">
                              <w:t>012439</w:t>
                            </w:r>
                            <w:r>
                              <w:tab/>
                            </w:r>
                            <w:r>
                              <w:tab/>
                              <w:t>CLASSE #</w:t>
                            </w:r>
                            <w:r w:rsidRPr="00004B8B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Pr="00FF328B">
                              <w:t>*</w:t>
                            </w:r>
                            <w:r>
                              <w:t xml:space="preserve"> </w:t>
                            </w:r>
                            <w:r w:rsidRPr="00FF328B">
                              <w:t>A</w:t>
                            </w:r>
                            <w:r w:rsidRPr="00B0759E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E2FF" id="Zone de texte 8" o:spid="_x0000_s1027" type="#_x0000_t202" style="position:absolute;left:0;text-align:left;margin-left:224.25pt;margin-top:34.85pt;width:185.1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" fillcolor="white [3201]" stroked="f" strokeweight=".5pt">
                <v:textbox>
                  <w:txbxContent>
                    <w:p w:rsidR="002700DD" w:rsidRDefault="002700DD" w:rsidP="002875EA">
                      <w:r w:rsidRPr="00FF328B">
                        <w:t>6</w:t>
                      </w:r>
                      <w:r>
                        <w:t>7 R-</w:t>
                      </w:r>
                      <w:r w:rsidRPr="00FF328B">
                        <w:t>012439</w:t>
                      </w:r>
                      <w:r>
                        <w:tab/>
                      </w:r>
                      <w:r>
                        <w:tab/>
                        <w:t>CLASSE #</w:t>
                      </w:r>
                      <w:r w:rsidRPr="00004B8B"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 w:rsidRPr="00FF328B">
                        <w:t>*</w:t>
                      </w:r>
                      <w:r>
                        <w:t xml:space="preserve"> </w:t>
                      </w:r>
                      <w:r w:rsidRPr="00FF328B">
                        <w:t>A</w:t>
                      </w:r>
                      <w:r w:rsidRPr="00B0759E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4FAAFFBE" wp14:editId="6E21F9D5">
            <wp:extent cx="2122805" cy="1200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5" w:name="bookmark_167"/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a</w:t>
      </w:r>
      <w:proofErr w:type="spellEnd"/>
      <w:proofErr w:type="gramEnd"/>
      <w:r>
        <w:rPr>
          <w:sz w:val="18"/>
          <w:szCs w:val="18"/>
        </w:rPr>
        <w:t xml:space="preserve"> ≥ 5 </w:t>
      </w:r>
      <w:r w:rsidRPr="00B0759E">
        <w:rPr>
          <w:sz w:val="18"/>
          <w:szCs w:val="18"/>
        </w:rPr>
        <w:t>mm</w:t>
      </w:r>
      <w:bookmarkEnd w:id="145"/>
    </w:p>
    <w:p w:rsidR="002875EA" w:rsidRPr="00B0759E" w:rsidRDefault="002875EA" w:rsidP="002875EA">
      <w:pPr>
        <w:pStyle w:val="SingleTxtG"/>
        <w:spacing w:after="0"/>
        <w:ind w:left="4536" w:hanging="3402"/>
        <w:rPr>
          <w:bCs/>
          <w:sz w:val="18"/>
          <w:szCs w:val="18"/>
        </w:rPr>
      </w:pPr>
      <w:bookmarkStart w:id="146" w:name="bookmark_168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B0759E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 Classe</w:t>
      </w:r>
      <w:proofErr w:type="gramEnd"/>
      <w:r>
        <w:rPr>
          <w:sz w:val="18"/>
          <w:szCs w:val="18"/>
        </w:rPr>
        <w:t> 0, 1, 2, 2A ou </w:t>
      </w:r>
      <w:r w:rsidRPr="00B0759E">
        <w:rPr>
          <w:sz w:val="18"/>
          <w:szCs w:val="18"/>
        </w:rPr>
        <w:t>3.</w:t>
      </w:r>
      <w:bookmarkEnd w:id="146"/>
    </w:p>
    <w:p w:rsidR="002875EA" w:rsidRPr="00B0759E" w:rsidRDefault="002875EA" w:rsidP="002875EA">
      <w:pPr>
        <w:pStyle w:val="SingleTxtG"/>
        <w:spacing w:after="240"/>
        <w:ind w:left="4536" w:hanging="3402"/>
        <w:rPr>
          <w:bCs/>
          <w:sz w:val="18"/>
          <w:szCs w:val="18"/>
        </w:rPr>
      </w:pPr>
      <w:bookmarkStart w:id="147" w:name="bookmark_169"/>
      <w:r>
        <w:rPr>
          <w:sz w:val="18"/>
          <w:szCs w:val="18"/>
        </w:rPr>
        <w:tab/>
      </w:r>
      <w:proofErr w:type="gramStart"/>
      <w:r w:rsidRPr="00B0759E">
        <w:rPr>
          <w:bCs/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</w:t>
      </w:r>
      <w:r w:rsidRPr="00B0759E">
        <w:rPr>
          <w:sz w:val="18"/>
          <w:szCs w:val="18"/>
        </w:rPr>
        <w:t>Marque</w:t>
      </w:r>
      <w:proofErr w:type="gramEnd"/>
      <w:r w:rsidRPr="00B0759E">
        <w:rPr>
          <w:sz w:val="18"/>
          <w:szCs w:val="18"/>
        </w:rPr>
        <w:t xml:space="preserve"> de modification technique à n</w:t>
      </w:r>
      <w:r>
        <w:rPr>
          <w:sz w:val="18"/>
          <w:szCs w:val="18"/>
        </w:rPr>
        <w:t>’</w:t>
      </w:r>
      <w:r w:rsidRPr="00B0759E">
        <w:rPr>
          <w:sz w:val="18"/>
          <w:szCs w:val="18"/>
        </w:rPr>
        <w:t xml:space="preserve">apposer que sur le bloc </w:t>
      </w:r>
      <w:proofErr w:type="spellStart"/>
      <w:r w:rsidRPr="00B0759E">
        <w:rPr>
          <w:sz w:val="18"/>
          <w:szCs w:val="18"/>
        </w:rPr>
        <w:t>multivannes</w:t>
      </w:r>
      <w:proofErr w:type="spellEnd"/>
      <w:r w:rsidRPr="00B0759E">
        <w:rPr>
          <w:sz w:val="18"/>
          <w:szCs w:val="18"/>
        </w:rPr>
        <w:t xml:space="preserve"> ou, en cas d</w:t>
      </w:r>
      <w:r>
        <w:rPr>
          <w:sz w:val="18"/>
          <w:szCs w:val="18"/>
        </w:rPr>
        <w:t>’</w:t>
      </w:r>
      <w:r w:rsidRPr="00B0759E">
        <w:rPr>
          <w:sz w:val="18"/>
          <w:szCs w:val="18"/>
        </w:rPr>
        <w:t>homologations distinctes, sur la soupape de surpression (soupape de décharge) et le dispositif de surpression.</w:t>
      </w:r>
      <w:bookmarkEnd w:id="147"/>
    </w:p>
    <w:p w:rsidR="002875EA" w:rsidRPr="00FF328B" w:rsidRDefault="002875EA" w:rsidP="002875EA">
      <w:pPr>
        <w:pStyle w:val="SingleTxtG"/>
        <w:ind w:firstLine="567"/>
      </w:pPr>
      <w:bookmarkStart w:id="148" w:name="bookmark_170"/>
      <w:r w:rsidRPr="00FF328B">
        <w:t>La marque d</w:t>
      </w:r>
      <w:r>
        <w:t>’</w:t>
      </w:r>
      <w:r w:rsidRPr="00FF328B">
        <w:t xml:space="preserve">homologation ci-dessus, apposée sur un équipement GPL, indique que cet équipement a été homologué aux Pays-Bas (E4) en application du Règlement </w:t>
      </w:r>
      <w:r>
        <w:t xml:space="preserve">ONU </w:t>
      </w:r>
      <w:r w:rsidRPr="00B0759E">
        <w:rPr>
          <w:rFonts w:eastAsia="MS Mincho"/>
          <w:szCs w:val="22"/>
        </w:rPr>
        <w:t>n</w:t>
      </w:r>
      <w:r w:rsidRPr="00B0759E">
        <w:rPr>
          <w:rFonts w:eastAsia="MS Mincho"/>
          <w:szCs w:val="22"/>
          <w:vertAlign w:val="superscript"/>
        </w:rPr>
        <w:t>o</w:t>
      </w:r>
      <w:r>
        <w:rPr>
          <w:rFonts w:eastAsia="MS Mincho"/>
          <w:szCs w:val="22"/>
        </w:rPr>
        <w:t> </w:t>
      </w:r>
      <w:r w:rsidRPr="00FF328B">
        <w:t>67, sous le numéro d</w:t>
      </w:r>
      <w:r>
        <w:t>’</w:t>
      </w:r>
      <w:r w:rsidRPr="00FF328B">
        <w:t>homologation 012439. Les deux premiers chiffres de ce numéro indiquent que l</w:t>
      </w:r>
      <w:r>
        <w:t>’</w:t>
      </w:r>
      <w:r w:rsidRPr="00FF328B">
        <w:t xml:space="preserve">homologation a été délivrée conformément aux dispositions du Règlement </w:t>
      </w:r>
      <w:r>
        <w:t xml:space="preserve">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67 tel que modifié par la série </w:t>
      </w:r>
      <w:r w:rsidRPr="00FF328B">
        <w:t>01 d</w:t>
      </w:r>
      <w:r>
        <w:t>’</w:t>
      </w:r>
      <w:r w:rsidRPr="00FF328B">
        <w:t>amendements. La marque de modification technique (la lettre</w:t>
      </w:r>
      <w:r>
        <w:t> </w:t>
      </w:r>
      <w:r w:rsidRPr="00FF328B">
        <w:t>“A” dans cet exemple) précédée d</w:t>
      </w:r>
      <w:r>
        <w:t>’</w:t>
      </w:r>
      <w:r w:rsidRPr="00FF328B">
        <w:t>un astérisque n</w:t>
      </w:r>
      <w:r>
        <w:t>’</w:t>
      </w:r>
      <w:r w:rsidRPr="00FF328B">
        <w:t>est obligatoire que pour indiquer l</w:t>
      </w:r>
      <w:r>
        <w:t>’</w:t>
      </w:r>
      <w:r w:rsidRPr="00FF328B">
        <w:t xml:space="preserve">homologation des accessoires des réservoirs (bloc </w:t>
      </w:r>
      <w:proofErr w:type="spellStart"/>
      <w:r w:rsidRPr="00FF328B">
        <w:t>multivannes</w:t>
      </w:r>
      <w:proofErr w:type="spellEnd"/>
      <w:r w:rsidRPr="00FF328B">
        <w:t xml:space="preserve"> ou, en cas d</w:t>
      </w:r>
      <w:r>
        <w:t>’</w:t>
      </w:r>
      <w:r w:rsidRPr="00FF328B">
        <w:t>homologations distinctes, soupape de surpression (soupape de décharge) et dispositif de surpression).</w:t>
      </w:r>
      <w:bookmarkEnd w:id="148"/>
      <w:r>
        <w:t> »</w:t>
      </w:r>
      <w:r w:rsidR="008270FA">
        <w:t>.</w:t>
      </w:r>
    </w:p>
    <w:p w:rsidR="002875EA" w:rsidRPr="00FF328B" w:rsidRDefault="002875EA" w:rsidP="002875EA">
      <w:pPr>
        <w:pStyle w:val="SingleTxtG"/>
        <w:keepNext/>
        <w:keepLines/>
      </w:pPr>
      <w:bookmarkStart w:id="149" w:name="bookmark_171"/>
      <w:r>
        <w:rPr>
          <w:i/>
        </w:rPr>
        <w:t>Annexe 2A, ajouter un nouvel appendice </w:t>
      </w:r>
      <w:r w:rsidRPr="00B0759E">
        <w:rPr>
          <w:i/>
        </w:rPr>
        <w:t>1</w:t>
      </w:r>
      <w:r>
        <w:t>, libellé comme suit </w:t>
      </w:r>
      <w:r w:rsidRPr="00FF328B">
        <w:t>:</w:t>
      </w:r>
      <w:bookmarkEnd w:id="149"/>
    </w:p>
    <w:p w:rsidR="002875EA" w:rsidRPr="00FF328B" w:rsidRDefault="002875EA" w:rsidP="002875EA">
      <w:pPr>
        <w:pStyle w:val="H1G"/>
      </w:pPr>
      <w:bookmarkStart w:id="150" w:name="bookmark_172"/>
      <w:r w:rsidRPr="00B0759E">
        <w:rPr>
          <w:b w:val="0"/>
          <w:sz w:val="20"/>
        </w:rPr>
        <w:t>«</w:t>
      </w:r>
      <w:r>
        <w:rPr>
          <w:b w:val="0"/>
          <w:sz w:val="20"/>
        </w:rPr>
        <w:t> </w:t>
      </w:r>
      <w:r>
        <w:t>Annexe </w:t>
      </w:r>
      <w:r w:rsidRPr="00FF328B">
        <w:t xml:space="preserve">2A </w:t>
      </w:r>
      <w:r>
        <w:t>− Appendice </w:t>
      </w:r>
      <w:r w:rsidRPr="00FF328B">
        <w:t>1</w:t>
      </w:r>
      <w:bookmarkEnd w:id="150"/>
    </w:p>
    <w:p w:rsidR="002875EA" w:rsidRDefault="002875EA" w:rsidP="002875EA">
      <w:pPr>
        <w:pStyle w:val="SingleTxtG"/>
        <w:ind w:firstLine="567"/>
      </w:pPr>
      <w:bookmarkStart w:id="151" w:name="bookmark_173"/>
      <w:r w:rsidRPr="00FF328B">
        <w:t>Exemple de marque d</w:t>
      </w:r>
      <w:r>
        <w:t>’</w:t>
      </w:r>
      <w:r w:rsidRPr="00FF328B">
        <w:t>homologation de type des organes non métalliques, métalliques ou partiellement métalliques d</w:t>
      </w:r>
      <w:r>
        <w:t>’</w:t>
      </w:r>
      <w:r w:rsidRPr="00FF328B">
        <w:t>un équipement GPL, ainsi que de leurs parties non métalliques, métalliques ou partiellement métalliques compatibles avec l</w:t>
      </w:r>
      <w:r>
        <w:t>’</w:t>
      </w:r>
      <w:r w:rsidRPr="00FF328B">
        <w:t>essence. La</w:t>
      </w:r>
      <w:r>
        <w:t> lettre </w:t>
      </w:r>
      <w:r w:rsidRPr="00FF328B">
        <w:t>N désigne les org</w:t>
      </w:r>
      <w:r>
        <w:t>anes non métalliques. La lettre </w:t>
      </w:r>
      <w:r w:rsidRPr="00FF328B">
        <w:t>M désigne les organes métalliques. Les lettres NM désignent une combinaison d</w:t>
      </w:r>
      <w:r>
        <w:t>’</w:t>
      </w:r>
      <w:r w:rsidRPr="00FF328B">
        <w:t xml:space="preserve">organes métalliques et non </w:t>
      </w:r>
      <w:r>
        <w:t>métalliques (voir le paragraphe </w:t>
      </w:r>
      <w:r w:rsidRPr="00FF328B">
        <w:t>6.18 du présent Règlement)</w:t>
      </w:r>
      <w:bookmarkEnd w:id="151"/>
      <w:r w:rsidRPr="00FF328B">
        <w:t>.</w:t>
      </w:r>
    </w:p>
    <w:p w:rsidR="002875EA" w:rsidRPr="00B0759E" w:rsidRDefault="002875EA" w:rsidP="002875EA">
      <w:pPr>
        <w:pStyle w:val="SingleTxtG"/>
        <w:ind w:left="4536" w:hanging="3402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4A1B" wp14:editId="7679ACAC">
                <wp:simplePos x="0" y="0"/>
                <wp:positionH relativeFrom="column">
                  <wp:posOffset>3124974</wp:posOffset>
                </wp:positionH>
                <wp:positionV relativeFrom="paragraph">
                  <wp:posOffset>410210</wp:posOffset>
                </wp:positionV>
                <wp:extent cx="2351314" cy="29111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29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00DD" w:rsidRDefault="002700DD" w:rsidP="002875EA">
                            <w:r w:rsidRPr="00FF328B">
                              <w:t>67 R</w:t>
                            </w:r>
                            <w:r>
                              <w:t>-</w:t>
                            </w:r>
                            <w:r w:rsidRPr="00FF328B">
                              <w:t xml:space="preserve">012439-NM </w:t>
                            </w:r>
                            <w:r>
                              <w:tab/>
                            </w:r>
                            <w:r w:rsidRPr="00FF328B">
                              <w:t>CLASSE #</w:t>
                            </w:r>
                            <w:r w:rsidRPr="00B0759E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4A1B" id="Zone de texte 9" o:spid="_x0000_s1028" type="#_x0000_t202" style="position:absolute;left:0;text-align:left;margin-left:246.05pt;margin-top:32.3pt;width:185.1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" fillcolor="white [3201]" stroked="f" strokeweight=".5pt">
                <v:textbox>
                  <w:txbxContent>
                    <w:p w:rsidR="002700DD" w:rsidRDefault="002700DD" w:rsidP="002875EA">
                      <w:r w:rsidRPr="00FF328B">
                        <w:t>67 R</w:t>
                      </w:r>
                      <w:r>
                        <w:t>-</w:t>
                      </w:r>
                      <w:r w:rsidRPr="00FF328B">
                        <w:t xml:space="preserve">012439-NM </w:t>
                      </w:r>
                      <w:r>
                        <w:tab/>
                      </w:r>
                      <w:r w:rsidRPr="00FF328B">
                        <w:t>CLASSE #</w:t>
                      </w:r>
                      <w:r w:rsidRPr="00B0759E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34E22B89" wp14:editId="63ACF3B8">
            <wp:extent cx="2120265" cy="1192530"/>
            <wp:effectExtent l="0" t="0" r="0" b="7620"/>
            <wp:docPr id="6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2" w:name="bookmark_175"/>
      <w:r>
        <w:tab/>
      </w:r>
      <w:r>
        <w:tab/>
      </w:r>
      <w:r>
        <w:tab/>
      </w:r>
      <w:proofErr w:type="spellStart"/>
      <w:proofErr w:type="gramStart"/>
      <w:r w:rsidRPr="00E179CF">
        <w:rPr>
          <w:sz w:val="18"/>
          <w:szCs w:val="18"/>
        </w:rPr>
        <w:t>a</w:t>
      </w:r>
      <w:proofErr w:type="spellEnd"/>
      <w:proofErr w:type="gramEnd"/>
      <w:r w:rsidRPr="00E179CF">
        <w:rPr>
          <w:sz w:val="18"/>
          <w:szCs w:val="18"/>
        </w:rPr>
        <w:t xml:space="preserve"> ≥ 5 mm</w:t>
      </w:r>
      <w:bookmarkEnd w:id="152"/>
    </w:p>
    <w:p w:rsidR="002875EA" w:rsidRPr="006521B7" w:rsidRDefault="002875EA" w:rsidP="002875EA">
      <w:pPr>
        <w:pStyle w:val="SingleTxtG"/>
        <w:spacing w:after="240"/>
        <w:ind w:left="4536" w:hanging="3402"/>
        <w:rPr>
          <w:bCs/>
          <w:sz w:val="18"/>
          <w:szCs w:val="18"/>
        </w:rPr>
      </w:pPr>
      <w:bookmarkStart w:id="153" w:name="bookmark_176"/>
      <w:r w:rsidRPr="00FF328B">
        <w:tab/>
      </w:r>
      <w:r>
        <w:tab/>
      </w:r>
      <w:r>
        <w:tab/>
      </w:r>
      <w:proofErr w:type="gramStart"/>
      <w:r w:rsidRPr="006521B7">
        <w:rPr>
          <w:sz w:val="18"/>
          <w:szCs w:val="18"/>
          <w:vertAlign w:val="superscript"/>
        </w:rPr>
        <w:t>1</w:t>
      </w:r>
      <w:r w:rsidRPr="006521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521B7">
        <w:rPr>
          <w:sz w:val="18"/>
          <w:szCs w:val="18"/>
        </w:rPr>
        <w:t>Classe</w:t>
      </w:r>
      <w:proofErr w:type="gramEnd"/>
      <w:r w:rsidRPr="006521B7">
        <w:rPr>
          <w:sz w:val="18"/>
          <w:szCs w:val="18"/>
        </w:rPr>
        <w:t xml:space="preserve"> 0, 1, 2, 2A ou 3</w:t>
      </w:r>
      <w:bookmarkEnd w:id="153"/>
    </w:p>
    <w:p w:rsidR="002875EA" w:rsidRPr="00FF328B" w:rsidRDefault="002875EA" w:rsidP="002875EA">
      <w:pPr>
        <w:pStyle w:val="SingleTxtG"/>
        <w:ind w:firstLine="567"/>
      </w:pPr>
      <w:bookmarkStart w:id="154" w:name="bookmark_177"/>
      <w:r w:rsidRPr="00FF328B">
        <w:t>La marque d</w:t>
      </w:r>
      <w:r>
        <w:t>’</w:t>
      </w:r>
      <w:r w:rsidRPr="00FF328B">
        <w:t>homologation ci-dessus doit être apposée sur l</w:t>
      </w:r>
      <w:r>
        <w:t>’</w:t>
      </w:r>
      <w:r w:rsidRPr="00FF328B">
        <w:t>organe GPL, ou sur une plaque d</w:t>
      </w:r>
      <w:r>
        <w:t>’</w:t>
      </w:r>
      <w:r w:rsidRPr="00FF328B">
        <w:t>identification qui doit être placée dans le compartiment moteur sur une partie visible, fixe et inamovible du châssis, lorsque l</w:t>
      </w:r>
      <w:r>
        <w:t>’</w:t>
      </w:r>
      <w:r w:rsidRPr="00FF328B">
        <w:t>organe doit être installé de telle façon qu</w:t>
      </w:r>
      <w:r>
        <w:t>’</w:t>
      </w:r>
      <w:r w:rsidRPr="00FF328B">
        <w:t xml:space="preserve">il ne sera plus facilement accessible. </w:t>
      </w:r>
      <w:bookmarkEnd w:id="154"/>
    </w:p>
    <w:p w:rsidR="002875EA" w:rsidRPr="00FF328B" w:rsidRDefault="002875EA" w:rsidP="002875EA">
      <w:pPr>
        <w:pStyle w:val="SingleTxtG"/>
        <w:ind w:firstLine="567"/>
      </w:pPr>
      <w:bookmarkStart w:id="155" w:name="bookmark_178"/>
      <w:r w:rsidRPr="00FF328B">
        <w:lastRenderedPageBreak/>
        <w:t>La marque d</w:t>
      </w:r>
      <w:r>
        <w:t>’</w:t>
      </w:r>
      <w:r w:rsidRPr="00FF328B">
        <w:t>homologation indique que l</w:t>
      </w:r>
      <w:r>
        <w:t>’</w:t>
      </w:r>
      <w:r w:rsidRPr="00FF328B">
        <w:t xml:space="preserve">organe a été homologué aux Pays-Bas (E4) en application du Règlement </w:t>
      </w:r>
      <w:r>
        <w:t xml:space="preserve">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FF328B">
        <w:t>67, sous le numéro d</w:t>
      </w:r>
      <w:r>
        <w:t>’</w:t>
      </w:r>
      <w:r w:rsidRPr="00FF328B">
        <w:t>homologation 012439. Les deux premiers chiffres de ce numéro indiquent que l</w:t>
      </w:r>
      <w:r>
        <w:t>’</w:t>
      </w:r>
      <w:r w:rsidRPr="00FF328B">
        <w:t xml:space="preserve">homologation a été délivrée conformément aux dispositions du Règlement </w:t>
      </w:r>
      <w:r>
        <w:t xml:space="preserve">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FF328B">
        <w:t>67 tel que modifié par la série 01 d</w:t>
      </w:r>
      <w:r>
        <w:t>’</w:t>
      </w:r>
      <w:r w:rsidRPr="00FF328B">
        <w:t>amendements.</w:t>
      </w:r>
      <w:bookmarkEnd w:id="155"/>
      <w:r>
        <w:t> »</w:t>
      </w:r>
      <w:r w:rsidR="00EF3B43">
        <w:t>.</w:t>
      </w:r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spacing w:val="-2"/>
        </w:rPr>
      </w:pPr>
      <w:bookmarkStart w:id="156" w:name="bookmark_179"/>
      <w:r>
        <w:rPr>
          <w:i/>
          <w:iCs/>
        </w:rPr>
        <w:t>Annexe 2B, point </w:t>
      </w:r>
      <w:r w:rsidRPr="00FF328B">
        <w:rPr>
          <w:i/>
          <w:iCs/>
        </w:rPr>
        <w:t>1</w:t>
      </w:r>
      <w:r w:rsidRPr="00FF328B">
        <w:t>,</w:t>
      </w:r>
      <w:r>
        <w:t xml:space="preserve"> lire (</w:t>
      </w:r>
      <w:r w:rsidRPr="00FF328B">
        <w:t>l</w:t>
      </w:r>
      <w:r>
        <w:t>’appel de la note </w:t>
      </w:r>
      <w:r w:rsidRPr="00667BCA">
        <w:rPr>
          <w:vertAlign w:val="superscript"/>
        </w:rPr>
        <w:t>2</w:t>
      </w:r>
      <w:r w:rsidRPr="00FF328B">
        <w:t xml:space="preserve"> est conservé tel quel)</w:t>
      </w:r>
      <w:bookmarkEnd w:id="156"/>
      <w:r>
        <w:t> :</w:t>
      </w:r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157" w:name="bookmark_180"/>
      <w:r w:rsidRPr="00FF328B">
        <w:t>«</w:t>
      </w:r>
      <w:r>
        <w:t> </w:t>
      </w:r>
      <w:r w:rsidRPr="00FF328B">
        <w:t>1.</w:t>
      </w:r>
      <w:r w:rsidRPr="00FF328B">
        <w:tab/>
        <w:t>Équipement GPL considéré</w:t>
      </w:r>
      <w:r w:rsidRPr="00667BCA">
        <w:rPr>
          <w:vertAlign w:val="superscript"/>
        </w:rPr>
        <w:t>2</w:t>
      </w:r>
      <w:bookmarkEnd w:id="157"/>
      <w:r>
        <w:t> :</w:t>
      </w:r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r>
        <w:t>…</w:t>
      </w:r>
    </w:p>
    <w:p w:rsidR="002875EA" w:rsidRPr="00FF328B" w:rsidRDefault="002875EA" w:rsidP="002875EA">
      <w:pPr>
        <w:pStyle w:val="SingleTxtG"/>
        <w:ind w:left="2268"/>
      </w:pPr>
      <w:bookmarkStart w:id="158" w:name="bookmark_182"/>
      <w:r w:rsidRPr="00FF328B">
        <w:t>Capteur de pression/température</w:t>
      </w:r>
      <w:bookmarkEnd w:id="158"/>
    </w:p>
    <w:p w:rsidR="002875EA" w:rsidRPr="00FF328B" w:rsidRDefault="002875EA" w:rsidP="002875EA">
      <w:pPr>
        <w:pStyle w:val="SingleTxtG"/>
        <w:ind w:left="2268"/>
      </w:pPr>
      <w:bookmarkStart w:id="159" w:name="bookmark_183"/>
      <w:r w:rsidRPr="00FF328B">
        <w:t>Filtre à GPL</w:t>
      </w:r>
      <w:bookmarkEnd w:id="159"/>
    </w:p>
    <w:p w:rsidR="002875EA" w:rsidRPr="00FF328B" w:rsidRDefault="002875EA" w:rsidP="002875EA">
      <w:pPr>
        <w:pStyle w:val="SingleTxtG"/>
        <w:ind w:left="2268"/>
      </w:pPr>
      <w:bookmarkStart w:id="160" w:name="bookmark_184"/>
      <w:r w:rsidRPr="00FF328B">
        <w:t>Tuyaux à gaz autres que sans soudure et leurs raccords</w:t>
      </w:r>
      <w:bookmarkEnd w:id="160"/>
    </w:p>
    <w:p w:rsidR="002875EA" w:rsidRPr="00FF328B" w:rsidRDefault="002875EA" w:rsidP="002875EA">
      <w:pPr>
        <w:pStyle w:val="SingleTxtG"/>
        <w:ind w:left="2268"/>
      </w:pPr>
      <w:bookmarkStart w:id="161" w:name="bookmark_185"/>
      <w:r w:rsidRPr="00FF328B">
        <w:t>Tuyaux à gaz faits de matériaux autres que le cuivre, l</w:t>
      </w:r>
      <w:r>
        <w:t>’</w:t>
      </w:r>
      <w:r w:rsidRPr="00FF328B">
        <w:t>acier inoxydable et l</w:t>
      </w:r>
      <w:r>
        <w:t>’</w:t>
      </w:r>
      <w:r w:rsidRPr="00FF328B">
        <w:t>acier avec un revêtement résistant à la corrosion, ainsi que leurs raccords</w:t>
      </w:r>
      <w:bookmarkEnd w:id="161"/>
    </w:p>
    <w:p w:rsidR="002875EA" w:rsidRPr="00FF328B" w:rsidRDefault="002875EA" w:rsidP="002875EA">
      <w:pPr>
        <w:pStyle w:val="SingleTxtG"/>
        <w:ind w:left="2268"/>
      </w:pPr>
      <w:bookmarkStart w:id="162" w:name="bookmark_186"/>
      <w:r w:rsidRPr="00FF328B">
        <w:tab/>
        <w:t xml:space="preserve">Bloc </w:t>
      </w:r>
      <w:proofErr w:type="spellStart"/>
      <w:r w:rsidRPr="00FF328B">
        <w:t>multiorganes</w:t>
      </w:r>
      <w:bookmarkEnd w:id="162"/>
      <w:proofErr w:type="spellEnd"/>
      <w:r>
        <w:t> </w:t>
      </w:r>
      <w:r w:rsidRPr="00FF328B">
        <w:t>».</w:t>
      </w:r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163" w:name="bookmark_187"/>
      <w:r>
        <w:rPr>
          <w:i/>
          <w:iCs/>
        </w:rPr>
        <w:t>Annexe 2B, appendice, tableau </w:t>
      </w:r>
      <w:r w:rsidRPr="00FF328B">
        <w:rPr>
          <w:i/>
          <w:iCs/>
        </w:rPr>
        <w:t>1</w:t>
      </w:r>
      <w:r w:rsidRPr="00FF328B">
        <w:t>,</w:t>
      </w:r>
      <w:r>
        <w:t xml:space="preserve"> </w:t>
      </w:r>
      <w:r w:rsidRPr="00FF328B">
        <w:t>lire (une nouvelle colonne est ajoutée pour la marque de modification technique)</w:t>
      </w:r>
      <w:bookmarkEnd w:id="163"/>
      <w:r>
        <w:t> :</w:t>
      </w:r>
    </w:p>
    <w:p w:rsidR="002875EA" w:rsidRPr="00FF328B" w:rsidRDefault="002875EA" w:rsidP="002875EA">
      <w:pPr>
        <w:pStyle w:val="H23G"/>
        <w:spacing w:before="0"/>
      </w:pPr>
      <w:bookmarkStart w:id="164" w:name="bookmark_188"/>
      <w:r>
        <w:tab/>
      </w:r>
      <w:r>
        <w:tab/>
      </w:r>
      <w:r w:rsidRPr="00745E39">
        <w:rPr>
          <w:b w:val="0"/>
        </w:rPr>
        <w:t>«</w:t>
      </w:r>
      <w:r>
        <w:t> Tableau </w:t>
      </w:r>
      <w:r w:rsidRPr="00FF328B">
        <w:t>1</w:t>
      </w:r>
      <w:bookmarkEnd w:id="164"/>
    </w:p>
    <w:tbl>
      <w:tblPr>
        <w:tblW w:w="748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22"/>
        <w:gridCol w:w="1148"/>
        <w:gridCol w:w="1148"/>
        <w:gridCol w:w="1148"/>
        <w:gridCol w:w="1148"/>
      </w:tblGrid>
      <w:tr w:rsidR="002875EA" w:rsidRPr="005B3D04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75EA" w:rsidRPr="005B3D04" w:rsidRDefault="002875EA" w:rsidP="002875EA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bookmarkStart w:id="165" w:name="bookmark_189"/>
            <w:r w:rsidRPr="005B3D04">
              <w:rPr>
                <w:i/>
                <w:iCs/>
                <w:sz w:val="16"/>
                <w:szCs w:val="16"/>
              </w:rPr>
              <w:t>N</w:t>
            </w:r>
            <w:r w:rsidRPr="005B3D04">
              <w:rPr>
                <w:i/>
                <w:iCs/>
                <w:sz w:val="16"/>
                <w:szCs w:val="16"/>
                <w:vertAlign w:val="superscript"/>
              </w:rPr>
              <w:t>o</w:t>
            </w:r>
            <w:bookmarkEnd w:id="165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75EA" w:rsidRPr="005B3D04" w:rsidRDefault="002875EA" w:rsidP="002875EA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bookmarkStart w:id="166" w:name="bookmark_190"/>
            <w:r w:rsidRPr="005B3D04">
              <w:rPr>
                <w:i/>
                <w:iCs/>
                <w:sz w:val="16"/>
                <w:szCs w:val="16"/>
              </w:rPr>
              <w:t>Accessoire</w:t>
            </w:r>
            <w:bookmarkEnd w:id="166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75EA" w:rsidRPr="005B3D04" w:rsidRDefault="002875EA" w:rsidP="002875E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bookmarkStart w:id="167" w:name="bookmark_191"/>
            <w:r w:rsidRPr="005B3D04">
              <w:rPr>
                <w:i/>
                <w:iCs/>
                <w:sz w:val="16"/>
                <w:szCs w:val="16"/>
              </w:rPr>
              <w:t>Type</w:t>
            </w:r>
            <w:bookmarkEnd w:id="167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75EA" w:rsidRPr="005B3D04" w:rsidRDefault="002875EA" w:rsidP="002875E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bookmarkStart w:id="168" w:name="bookmark_192"/>
            <w:r>
              <w:rPr>
                <w:i/>
                <w:iCs/>
                <w:sz w:val="16"/>
                <w:szCs w:val="16"/>
              </w:rPr>
              <w:t>Numéro</w:t>
            </w:r>
            <w:r w:rsidRPr="005B3D04">
              <w:rPr>
                <w:i/>
                <w:iCs/>
                <w:sz w:val="16"/>
                <w:szCs w:val="16"/>
              </w:rPr>
              <w:t xml:space="preserve"> d</w:t>
            </w:r>
            <w:r>
              <w:rPr>
                <w:i/>
                <w:iCs/>
                <w:sz w:val="16"/>
                <w:szCs w:val="16"/>
              </w:rPr>
              <w:t>’</w:t>
            </w:r>
            <w:r w:rsidRPr="005B3D04">
              <w:rPr>
                <w:i/>
                <w:iCs/>
                <w:sz w:val="16"/>
                <w:szCs w:val="16"/>
              </w:rPr>
              <w:t>homologation</w:t>
            </w:r>
            <w:bookmarkEnd w:id="16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75EA" w:rsidRPr="005B3D04" w:rsidRDefault="002875EA" w:rsidP="002875E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bookmarkStart w:id="169" w:name="bookmark_193"/>
            <w:r>
              <w:rPr>
                <w:i/>
                <w:iCs/>
                <w:sz w:val="16"/>
                <w:szCs w:val="16"/>
              </w:rPr>
              <w:t>Numéro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5B3D04">
              <w:rPr>
                <w:i/>
                <w:iCs/>
                <w:sz w:val="16"/>
                <w:szCs w:val="16"/>
              </w:rPr>
              <w:t>d</w:t>
            </w:r>
            <w:r>
              <w:rPr>
                <w:i/>
                <w:iCs/>
                <w:sz w:val="16"/>
                <w:szCs w:val="16"/>
              </w:rPr>
              <w:t>’</w:t>
            </w:r>
            <w:r w:rsidRPr="005B3D04">
              <w:rPr>
                <w:i/>
                <w:iCs/>
                <w:sz w:val="16"/>
                <w:szCs w:val="16"/>
              </w:rPr>
              <w:t>extension</w:t>
            </w:r>
            <w:bookmarkEnd w:id="169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75EA" w:rsidRPr="005B3D04" w:rsidRDefault="002875EA" w:rsidP="002875E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bookmarkStart w:id="170" w:name="bookmark_194"/>
            <w:r w:rsidRPr="005B3D04">
              <w:rPr>
                <w:i/>
                <w:iCs/>
                <w:sz w:val="16"/>
                <w:szCs w:val="16"/>
              </w:rPr>
              <w:t>Marque(s) de modification technique</w:t>
            </w:r>
            <w:r w:rsidRPr="005B3D04">
              <w:rPr>
                <w:i/>
                <w:sz w:val="16"/>
                <w:szCs w:val="16"/>
                <w:vertAlign w:val="superscript"/>
              </w:rPr>
              <w:t>1</w:t>
            </w:r>
            <w:bookmarkEnd w:id="170"/>
          </w:p>
        </w:tc>
      </w:tr>
      <w:tr w:rsidR="002875EA" w:rsidRPr="00FF328B" w:rsidTr="002875EA">
        <w:tc>
          <w:tcPr>
            <w:tcW w:w="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71" w:name="bookmark_195"/>
            <w:proofErr w:type="gramStart"/>
            <w:r w:rsidRPr="005B3D04">
              <w:rPr>
                <w:sz w:val="18"/>
                <w:szCs w:val="18"/>
              </w:rPr>
              <w:t>a</w:t>
            </w:r>
            <w:bookmarkEnd w:id="171"/>
            <w:proofErr w:type="gramEnd"/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72" w:name="bookmark_196"/>
            <w:r w:rsidRPr="005B3D04">
              <w:rPr>
                <w:sz w:val="18"/>
                <w:szCs w:val="18"/>
              </w:rPr>
              <w:t>Limiteur de remplissage à 80 %</w:t>
            </w:r>
            <w:bookmarkEnd w:id="172"/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5EA" w:rsidRPr="00FF328B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73" w:name="bookmark_197"/>
            <w:proofErr w:type="gramStart"/>
            <w:r w:rsidRPr="005B3D04">
              <w:rPr>
                <w:sz w:val="18"/>
                <w:szCs w:val="18"/>
              </w:rPr>
              <w:t>b</w:t>
            </w:r>
            <w:bookmarkEnd w:id="173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74" w:name="bookmark_198"/>
            <w:r w:rsidRPr="005B3D04">
              <w:rPr>
                <w:sz w:val="18"/>
                <w:szCs w:val="18"/>
              </w:rPr>
              <w:t>Jauge</w:t>
            </w:r>
            <w:bookmarkEnd w:id="174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5EA" w:rsidRPr="00FF328B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75" w:name="bookmark_199"/>
            <w:proofErr w:type="gramStart"/>
            <w:r w:rsidRPr="005B3D04">
              <w:rPr>
                <w:sz w:val="18"/>
                <w:szCs w:val="18"/>
              </w:rPr>
              <w:t>c</w:t>
            </w:r>
            <w:bookmarkEnd w:id="175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76" w:name="bookmark_200"/>
            <w:r w:rsidRPr="005B3D04">
              <w:rPr>
                <w:sz w:val="18"/>
                <w:szCs w:val="18"/>
              </w:rPr>
              <w:t>Soupape de surpression</w:t>
            </w:r>
            <w:bookmarkEnd w:id="176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5EA" w:rsidRPr="00FF328B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77" w:name="bookmark_201"/>
            <w:proofErr w:type="gramStart"/>
            <w:r w:rsidRPr="005B3D04">
              <w:rPr>
                <w:sz w:val="18"/>
                <w:szCs w:val="18"/>
              </w:rPr>
              <w:t>d</w:t>
            </w:r>
            <w:bookmarkEnd w:id="177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78" w:name="bookmark_202"/>
            <w:r w:rsidRPr="005B3D04">
              <w:rPr>
                <w:sz w:val="18"/>
                <w:szCs w:val="18"/>
              </w:rPr>
              <w:t>Vanne d</w:t>
            </w:r>
            <w:r>
              <w:rPr>
                <w:sz w:val="18"/>
                <w:szCs w:val="18"/>
              </w:rPr>
              <w:t>’</w:t>
            </w:r>
            <w:r w:rsidRPr="005B3D04">
              <w:rPr>
                <w:sz w:val="18"/>
                <w:szCs w:val="18"/>
              </w:rPr>
              <w:t>isolement télécommandée avec limiteur de débit</w:t>
            </w:r>
            <w:bookmarkEnd w:id="17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5EA" w:rsidRPr="00FF328B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79" w:name="bookmark_203"/>
            <w:proofErr w:type="gramStart"/>
            <w:r w:rsidRPr="005B3D04">
              <w:rPr>
                <w:sz w:val="18"/>
                <w:szCs w:val="18"/>
              </w:rPr>
              <w:t>e</w:t>
            </w:r>
            <w:bookmarkEnd w:id="179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0" w:name="bookmark_204"/>
            <w:r w:rsidRPr="005B3D04">
              <w:rPr>
                <w:sz w:val="18"/>
                <w:szCs w:val="18"/>
              </w:rPr>
              <w:t>Pompe à GPL</w:t>
            </w:r>
            <w:bookmarkEnd w:id="180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5EA" w:rsidRPr="00FF328B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1" w:name="bookmark_205"/>
            <w:proofErr w:type="gramStart"/>
            <w:r w:rsidRPr="005B3D04">
              <w:rPr>
                <w:sz w:val="18"/>
                <w:szCs w:val="18"/>
              </w:rPr>
              <w:t>f</w:t>
            </w:r>
            <w:bookmarkEnd w:id="181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2" w:name="bookmark_206"/>
            <w:r w:rsidRPr="005B3D04">
              <w:rPr>
                <w:sz w:val="18"/>
                <w:szCs w:val="18"/>
              </w:rPr>
              <w:t xml:space="preserve">Bloc </w:t>
            </w:r>
            <w:proofErr w:type="spellStart"/>
            <w:r w:rsidRPr="005B3D04">
              <w:rPr>
                <w:sz w:val="18"/>
                <w:szCs w:val="18"/>
              </w:rPr>
              <w:t>multivannes</w:t>
            </w:r>
            <w:bookmarkEnd w:id="182"/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5EA" w:rsidRPr="00FF328B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3" w:name="bookmark_207"/>
            <w:proofErr w:type="gramStart"/>
            <w:r w:rsidRPr="005B3D04">
              <w:rPr>
                <w:sz w:val="18"/>
                <w:szCs w:val="18"/>
              </w:rPr>
              <w:t>g</w:t>
            </w:r>
            <w:bookmarkEnd w:id="183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4" w:name="bookmark_208"/>
            <w:r w:rsidRPr="005B3D04">
              <w:rPr>
                <w:sz w:val="18"/>
                <w:szCs w:val="18"/>
              </w:rPr>
              <w:t>Enceinte étanche</w:t>
            </w:r>
            <w:bookmarkEnd w:id="184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5EA" w:rsidRPr="00FF328B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5" w:name="bookmark_209"/>
            <w:proofErr w:type="gramStart"/>
            <w:r w:rsidRPr="005B3D04">
              <w:rPr>
                <w:sz w:val="18"/>
                <w:szCs w:val="18"/>
              </w:rPr>
              <w:t>h</w:t>
            </w:r>
            <w:bookmarkEnd w:id="185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6" w:name="bookmark_210"/>
            <w:r w:rsidRPr="005B3D04">
              <w:rPr>
                <w:sz w:val="18"/>
                <w:szCs w:val="18"/>
              </w:rPr>
              <w:t>Raccord électrique d</w:t>
            </w:r>
            <w:r>
              <w:rPr>
                <w:sz w:val="18"/>
                <w:szCs w:val="18"/>
              </w:rPr>
              <w:t>’</w:t>
            </w:r>
            <w:r w:rsidRPr="005B3D04">
              <w:rPr>
                <w:sz w:val="18"/>
                <w:szCs w:val="18"/>
              </w:rPr>
              <w:t>alimentation</w:t>
            </w:r>
            <w:bookmarkEnd w:id="186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5EA" w:rsidRPr="00FF328B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7" w:name="bookmark_211"/>
            <w:proofErr w:type="gramStart"/>
            <w:r w:rsidRPr="005B3D04">
              <w:rPr>
                <w:sz w:val="18"/>
                <w:szCs w:val="18"/>
              </w:rPr>
              <w:t>i</w:t>
            </w:r>
            <w:bookmarkEnd w:id="187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8" w:name="bookmark_212"/>
            <w:r w:rsidRPr="005B3D04">
              <w:rPr>
                <w:sz w:val="18"/>
                <w:szCs w:val="18"/>
              </w:rPr>
              <w:t>Soupape antiretour</w:t>
            </w:r>
            <w:bookmarkEnd w:id="18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875EA" w:rsidRPr="00FF328B" w:rsidTr="002875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89" w:name="bookmark_213"/>
            <w:proofErr w:type="gramStart"/>
            <w:r w:rsidRPr="005B3D04">
              <w:rPr>
                <w:sz w:val="18"/>
                <w:szCs w:val="18"/>
              </w:rPr>
              <w:t>j</w:t>
            </w:r>
            <w:bookmarkEnd w:id="189"/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bookmarkStart w:id="190" w:name="bookmark_214"/>
            <w:r w:rsidRPr="005B3D04">
              <w:rPr>
                <w:sz w:val="18"/>
                <w:szCs w:val="18"/>
              </w:rPr>
              <w:t>Dispositif de surpression</w:t>
            </w:r>
            <w:bookmarkEnd w:id="190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75EA" w:rsidRPr="005B3D04" w:rsidRDefault="002875EA" w:rsidP="002875EA">
            <w:pPr>
              <w:suppressAutoHyphens w:val="0"/>
              <w:spacing w:before="40" w:after="40" w:line="220" w:lineRule="exact"/>
              <w:ind w:left="57" w:right="5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2875EA" w:rsidRPr="005B3D04" w:rsidRDefault="002875EA" w:rsidP="002875EA">
      <w:pPr>
        <w:spacing w:before="60"/>
        <w:ind w:left="1134" w:right="1134" w:firstLine="170"/>
        <w:rPr>
          <w:rFonts w:eastAsia="MS Mincho"/>
          <w:bCs/>
          <w:iCs/>
          <w:lang w:eastAsia="ja-JP"/>
        </w:rPr>
      </w:pPr>
      <w:bookmarkStart w:id="191" w:name="bookmark_215"/>
      <w:bookmarkStart w:id="192" w:name="bookmark_216"/>
      <w:proofErr w:type="gramStart"/>
      <w:r w:rsidRPr="005B3D04">
        <w:rPr>
          <w:sz w:val="18"/>
          <w:szCs w:val="18"/>
          <w:vertAlign w:val="superscript"/>
        </w:rPr>
        <w:t>1</w:t>
      </w:r>
      <w:r w:rsidRPr="005B3D04">
        <w:rPr>
          <w:sz w:val="18"/>
          <w:szCs w:val="18"/>
        </w:rPr>
        <w:t xml:space="preserve">  Les</w:t>
      </w:r>
      <w:proofErr w:type="gramEnd"/>
      <w:r w:rsidRPr="005B3D04">
        <w:rPr>
          <w:sz w:val="18"/>
          <w:szCs w:val="18"/>
        </w:rPr>
        <w:t xml:space="preserve"> marques de modification technique ne s</w:t>
      </w:r>
      <w:r>
        <w:rPr>
          <w:sz w:val="18"/>
          <w:szCs w:val="18"/>
        </w:rPr>
        <w:t>’</w:t>
      </w:r>
      <w:r w:rsidRPr="005B3D04">
        <w:rPr>
          <w:sz w:val="18"/>
          <w:szCs w:val="18"/>
        </w:rPr>
        <w:t>appliquent qu</w:t>
      </w:r>
      <w:r>
        <w:rPr>
          <w:sz w:val="18"/>
          <w:szCs w:val="18"/>
        </w:rPr>
        <w:t>’</w:t>
      </w:r>
      <w:r w:rsidRPr="005B3D04">
        <w:rPr>
          <w:sz w:val="18"/>
          <w:szCs w:val="18"/>
        </w:rPr>
        <w:t xml:space="preserve">aux blocs </w:t>
      </w:r>
      <w:proofErr w:type="spellStart"/>
      <w:r w:rsidRPr="005B3D04">
        <w:rPr>
          <w:sz w:val="18"/>
          <w:szCs w:val="18"/>
        </w:rPr>
        <w:t>multivannes</w:t>
      </w:r>
      <w:proofErr w:type="spellEnd"/>
      <w:r w:rsidRPr="005B3D04">
        <w:rPr>
          <w:sz w:val="18"/>
          <w:szCs w:val="18"/>
        </w:rPr>
        <w:t xml:space="preserve"> ou, en cas d</w:t>
      </w:r>
      <w:r>
        <w:rPr>
          <w:sz w:val="18"/>
          <w:szCs w:val="18"/>
        </w:rPr>
        <w:t>’</w:t>
      </w:r>
      <w:r w:rsidRPr="005B3D04">
        <w:rPr>
          <w:sz w:val="18"/>
          <w:szCs w:val="18"/>
        </w:rPr>
        <w:t xml:space="preserve">homologations distinctes, aux soupapes de surpression (soupapes de </w:t>
      </w:r>
      <w:r>
        <w:rPr>
          <w:sz w:val="18"/>
          <w:szCs w:val="18"/>
        </w:rPr>
        <w:t>décharge) et aux dispositifs de </w:t>
      </w:r>
      <w:r w:rsidRPr="005B3D04">
        <w:rPr>
          <w:sz w:val="18"/>
          <w:szCs w:val="18"/>
        </w:rPr>
        <w:t>surpression.</w:t>
      </w:r>
      <w:bookmarkEnd w:id="191"/>
      <w:r>
        <w:rPr>
          <w:sz w:val="18"/>
          <w:szCs w:val="18"/>
        </w:rPr>
        <w:t> </w:t>
      </w:r>
      <w:r w:rsidRPr="005B3D04">
        <w:rPr>
          <w:rFonts w:eastAsia="MS Mincho"/>
          <w:bCs/>
          <w:iCs/>
          <w:lang w:eastAsia="ja-JP"/>
        </w:rPr>
        <w:t>»</w:t>
      </w:r>
      <w:r w:rsidR="00EF3B43">
        <w:rPr>
          <w:rFonts w:eastAsia="MS Mincho"/>
          <w:bCs/>
          <w:iCs/>
          <w:lang w:eastAsia="ja-JP"/>
        </w:rPr>
        <w:t>.</w:t>
      </w:r>
    </w:p>
    <w:p w:rsidR="002875EA" w:rsidRPr="005B3D04" w:rsidRDefault="00EF3B43" w:rsidP="002875EA">
      <w:pPr>
        <w:pStyle w:val="SingleTxtG"/>
        <w:rPr>
          <w:rFonts w:eastAsia="MS Mincho"/>
          <w:bCs/>
          <w:i/>
          <w:spacing w:val="-2"/>
        </w:rPr>
      </w:pPr>
      <w:r>
        <w:rPr>
          <w:i/>
        </w:rPr>
        <w:br w:type="page"/>
      </w:r>
      <w:r w:rsidR="002875EA" w:rsidRPr="005B3D04">
        <w:rPr>
          <w:i/>
        </w:rPr>
        <w:lastRenderedPageBreak/>
        <w:t>Annexe 3</w:t>
      </w:r>
      <w:bookmarkEnd w:id="192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193" w:name="bookmark_217"/>
      <w:r>
        <w:rPr>
          <w:i/>
          <w:iCs/>
        </w:rPr>
        <w:t>Paragraphe </w:t>
      </w:r>
      <w:r w:rsidRPr="00FF328B">
        <w:rPr>
          <w:i/>
          <w:iCs/>
        </w:rPr>
        <w:t>1.6</w:t>
      </w:r>
      <w:r>
        <w:t>, remplacer « annexe 15 » par « annexe 16 » (13 f</w:t>
      </w:r>
      <w:r w:rsidRPr="00FF328B">
        <w:t>ois).</w:t>
      </w:r>
      <w:bookmarkEnd w:id="193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194" w:name="bookmark_218"/>
      <w:r>
        <w:rPr>
          <w:i/>
          <w:iCs/>
        </w:rPr>
        <w:t>Paragraphe </w:t>
      </w:r>
      <w:r w:rsidRPr="00FF328B">
        <w:rPr>
          <w:i/>
          <w:iCs/>
        </w:rPr>
        <w:t>2.6</w:t>
      </w:r>
      <w:r>
        <w:t>, remplacer « annexe 15 » par « annexe 16 » (10 </w:t>
      </w:r>
      <w:r w:rsidRPr="00FF328B">
        <w:t>fois).</w:t>
      </w:r>
      <w:bookmarkEnd w:id="194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195" w:name="bookmark_219"/>
      <w:r w:rsidRPr="00FF328B">
        <w:rPr>
          <w:i/>
          <w:iCs/>
        </w:rPr>
        <w:t>Paragraphe 3.6</w:t>
      </w:r>
      <w:r>
        <w:t>, remplacer « annexe 15 » par « annexe 16 » (13 </w:t>
      </w:r>
      <w:r w:rsidRPr="00FF328B">
        <w:t>fois).</w:t>
      </w:r>
      <w:bookmarkEnd w:id="195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196" w:name="bookmark_220"/>
      <w:r w:rsidRPr="00FF328B">
        <w:rPr>
          <w:i/>
          <w:iCs/>
        </w:rPr>
        <w:t>Paragraphe 4.6</w:t>
      </w:r>
      <w:r>
        <w:t>, remplacer « annexe 15 » par « annexe 16 » (13 </w:t>
      </w:r>
      <w:r w:rsidRPr="00FF328B">
        <w:t>fois).</w:t>
      </w:r>
      <w:bookmarkEnd w:id="196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197" w:name="bookmark_221"/>
      <w:r w:rsidRPr="00FF328B">
        <w:rPr>
          <w:i/>
          <w:iCs/>
        </w:rPr>
        <w:t>Paragraphe 4.7</w:t>
      </w:r>
      <w:r>
        <w:t>, remplacer « </w:t>
      </w:r>
      <w:r w:rsidRPr="00FF328B">
        <w:t>annexe 15</w:t>
      </w:r>
      <w:r>
        <w:t> » par « annexe 16 </w:t>
      </w:r>
      <w:r w:rsidRPr="00FF328B">
        <w:t>».</w:t>
      </w:r>
      <w:bookmarkEnd w:id="197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198" w:name="bookmark_222"/>
      <w:r w:rsidRPr="00FF328B">
        <w:rPr>
          <w:i/>
          <w:iCs/>
        </w:rPr>
        <w:t>Paragraphe 5.6</w:t>
      </w:r>
      <w:r>
        <w:t>, remplacer « annexe 15 » par « annexe 16 » (10 </w:t>
      </w:r>
      <w:r w:rsidRPr="00FF328B">
        <w:t>fois).</w:t>
      </w:r>
      <w:bookmarkEnd w:id="198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199" w:name="bookmark_223"/>
      <w:r w:rsidRPr="00FF328B">
        <w:rPr>
          <w:i/>
          <w:iCs/>
        </w:rPr>
        <w:t>Paragraphe 6.6</w:t>
      </w:r>
      <w:r>
        <w:t>, remplacer « annexe 15 » par « annexe 16 » (4 </w:t>
      </w:r>
      <w:r w:rsidRPr="00FF328B">
        <w:t>fois).</w:t>
      </w:r>
      <w:bookmarkEnd w:id="199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00" w:name="bookmark_224"/>
      <w:r w:rsidRPr="00FF328B">
        <w:rPr>
          <w:i/>
          <w:iCs/>
        </w:rPr>
        <w:t>Paragraphe 7.6</w:t>
      </w:r>
      <w:r>
        <w:t>, remplacer « annexe 15 » par « annexe 16 » (11 </w:t>
      </w:r>
      <w:r w:rsidRPr="00FF328B">
        <w:t>fois).</w:t>
      </w:r>
      <w:bookmarkEnd w:id="200"/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i/>
          <w:spacing w:val="-2"/>
        </w:rPr>
      </w:pPr>
      <w:bookmarkStart w:id="201" w:name="bookmark_225"/>
      <w:r>
        <w:rPr>
          <w:i/>
          <w:iCs/>
        </w:rPr>
        <w:t>Annexe </w:t>
      </w:r>
      <w:r w:rsidRPr="00FF328B">
        <w:rPr>
          <w:i/>
          <w:iCs/>
        </w:rPr>
        <w:t>4</w:t>
      </w:r>
      <w:bookmarkEnd w:id="201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02" w:name="bookmark_226"/>
      <w:r w:rsidRPr="00FF328B">
        <w:rPr>
          <w:i/>
          <w:iCs/>
        </w:rPr>
        <w:t>Paragraphe 6.1</w:t>
      </w:r>
      <w:r>
        <w:t>, remplacer « annexe 15 » par « annexe 16 </w:t>
      </w:r>
      <w:r w:rsidRPr="00FF328B">
        <w:t>».</w:t>
      </w:r>
      <w:bookmarkEnd w:id="202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03" w:name="bookmark_227"/>
      <w:r w:rsidRPr="00FF328B">
        <w:rPr>
          <w:i/>
          <w:iCs/>
        </w:rPr>
        <w:t>Paragraphe 6.2</w:t>
      </w:r>
      <w:r>
        <w:t>, remplacer « annexe 15 » par « annexe 16 </w:t>
      </w:r>
      <w:r w:rsidRPr="00FF328B">
        <w:t>» (10</w:t>
      </w:r>
      <w:r>
        <w:t> </w:t>
      </w:r>
      <w:r w:rsidRPr="00FF328B">
        <w:t>fois).</w:t>
      </w:r>
      <w:bookmarkEnd w:id="203"/>
    </w:p>
    <w:p w:rsidR="002875EA" w:rsidRPr="00FF328B" w:rsidRDefault="002875EA" w:rsidP="002875EA">
      <w:pPr>
        <w:pStyle w:val="SingleTxtG"/>
        <w:keepNext/>
        <w:rPr>
          <w:rFonts w:eastAsia="MS Mincho"/>
          <w:bCs/>
          <w:i/>
          <w:spacing w:val="-2"/>
        </w:rPr>
      </w:pPr>
      <w:bookmarkStart w:id="204" w:name="bookmark_228"/>
      <w:r>
        <w:rPr>
          <w:i/>
          <w:iCs/>
        </w:rPr>
        <w:t>Annexe </w:t>
      </w:r>
      <w:r w:rsidRPr="00FF328B">
        <w:rPr>
          <w:i/>
          <w:iCs/>
        </w:rPr>
        <w:t>5</w:t>
      </w:r>
      <w:bookmarkEnd w:id="204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05" w:name="bookmark_229"/>
      <w:r w:rsidRPr="00FF328B">
        <w:rPr>
          <w:i/>
          <w:iCs/>
        </w:rPr>
        <w:t>Paragraphe 6.1</w:t>
      </w:r>
      <w:r>
        <w:t>, remplacer « annexe 15 » par « annexe 16 » (10 </w:t>
      </w:r>
      <w:r w:rsidRPr="00FF328B">
        <w:t>fois).</w:t>
      </w:r>
      <w:bookmarkEnd w:id="205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06" w:name="bookmark_230"/>
      <w:r w:rsidRPr="00FF328B">
        <w:rPr>
          <w:i/>
          <w:iCs/>
        </w:rPr>
        <w:t>Paragraphe 6.2</w:t>
      </w:r>
      <w:r>
        <w:t>, remplacer « annexe 15 » par « annexe 16 » (6 f</w:t>
      </w:r>
      <w:r w:rsidRPr="00FF328B">
        <w:t>ois).</w:t>
      </w:r>
      <w:bookmarkEnd w:id="206"/>
    </w:p>
    <w:p w:rsidR="002875EA" w:rsidRPr="00FF328B" w:rsidRDefault="002875EA" w:rsidP="002875EA">
      <w:pPr>
        <w:pStyle w:val="SingleTxtG"/>
        <w:rPr>
          <w:rFonts w:eastAsia="MS Mincho"/>
          <w:bCs/>
          <w:i/>
          <w:spacing w:val="-2"/>
        </w:rPr>
      </w:pPr>
      <w:bookmarkStart w:id="207" w:name="bookmark_231"/>
      <w:r w:rsidRPr="00FF328B">
        <w:rPr>
          <w:i/>
          <w:iCs/>
        </w:rPr>
        <w:t>Annexe 6</w:t>
      </w:r>
      <w:bookmarkEnd w:id="207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08" w:name="bookmark_232"/>
      <w:r w:rsidRPr="00FF328B">
        <w:rPr>
          <w:i/>
          <w:iCs/>
        </w:rPr>
        <w:t>Paragraphe 6.1</w:t>
      </w:r>
      <w:r>
        <w:t>, remplacer « annexe 15 » par « annexe 16 </w:t>
      </w:r>
      <w:r w:rsidRPr="00FF328B">
        <w:t>» (12</w:t>
      </w:r>
      <w:r>
        <w:t> </w:t>
      </w:r>
      <w:r w:rsidRPr="00FF328B">
        <w:t>fois).</w:t>
      </w:r>
      <w:bookmarkEnd w:id="208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09" w:name="bookmark_233"/>
      <w:r w:rsidRPr="00FF328B">
        <w:rPr>
          <w:i/>
          <w:iCs/>
        </w:rPr>
        <w:t>Paragraphe 6.2</w:t>
      </w:r>
      <w:r>
        <w:t>, remplacer « </w:t>
      </w:r>
      <w:r w:rsidRPr="00FF328B">
        <w:t>annexe 15</w:t>
      </w:r>
      <w:r>
        <w:t> </w:t>
      </w:r>
      <w:r w:rsidRPr="00FF328B">
        <w:t>» par «</w:t>
      </w:r>
      <w:r>
        <w:t> annexe 16 » (6 </w:t>
      </w:r>
      <w:r w:rsidRPr="00FF328B">
        <w:t>fois).</w:t>
      </w:r>
      <w:bookmarkEnd w:id="209"/>
    </w:p>
    <w:p w:rsidR="002875EA" w:rsidRPr="00FF3C9A" w:rsidRDefault="002875EA" w:rsidP="002875EA">
      <w:pPr>
        <w:pStyle w:val="SingleTxtG"/>
        <w:keepNext/>
        <w:keepLines/>
        <w:rPr>
          <w:rFonts w:eastAsia="MS Mincho"/>
          <w:bCs/>
          <w:i/>
          <w:spacing w:val="-2"/>
        </w:rPr>
      </w:pPr>
      <w:bookmarkStart w:id="210" w:name="bookmark_234"/>
      <w:r>
        <w:rPr>
          <w:rFonts w:eastAsia="MS Mincho"/>
          <w:bCs/>
          <w:i/>
          <w:spacing w:val="-2"/>
        </w:rPr>
        <w:t>Annexe </w:t>
      </w:r>
      <w:r w:rsidRPr="00FF3C9A">
        <w:rPr>
          <w:rFonts w:eastAsia="MS Mincho"/>
          <w:bCs/>
          <w:i/>
          <w:spacing w:val="-2"/>
        </w:rPr>
        <w:t>7</w:t>
      </w:r>
      <w:bookmarkEnd w:id="210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11" w:name="bookmark_235"/>
      <w:r w:rsidRPr="00FF328B">
        <w:rPr>
          <w:i/>
          <w:iCs/>
        </w:rPr>
        <w:t>Paragraphe 1.6</w:t>
      </w:r>
      <w:r>
        <w:t>, remplacer « annexe 15 » par « annexe 16 » (12 </w:t>
      </w:r>
      <w:r w:rsidRPr="00FF328B">
        <w:t>fois).</w:t>
      </w:r>
      <w:bookmarkEnd w:id="211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12" w:name="bookmark_236"/>
      <w:r w:rsidRPr="00FF328B">
        <w:rPr>
          <w:i/>
          <w:iCs/>
        </w:rPr>
        <w:t>Paragraphe 1.7</w:t>
      </w:r>
      <w:r w:rsidRPr="00FF328B">
        <w:t>, rempl</w:t>
      </w:r>
      <w:r>
        <w:t>acer « annexe 15 » par « annexe 16 </w:t>
      </w:r>
      <w:r w:rsidRPr="00FF328B">
        <w:t>».</w:t>
      </w:r>
      <w:bookmarkEnd w:id="212"/>
    </w:p>
    <w:p w:rsidR="002875EA" w:rsidRPr="00FF328B" w:rsidRDefault="002875EA" w:rsidP="002875EA">
      <w:pPr>
        <w:pStyle w:val="SingleTxtG"/>
        <w:keepNext/>
        <w:keepLines/>
        <w:rPr>
          <w:i/>
        </w:rPr>
      </w:pPr>
      <w:bookmarkStart w:id="213" w:name="bookmark_237"/>
      <w:r>
        <w:rPr>
          <w:i/>
          <w:iCs/>
        </w:rPr>
        <w:t>Ajouter un nouveau paragraphe </w:t>
      </w:r>
      <w:r w:rsidRPr="00FF328B">
        <w:rPr>
          <w:i/>
          <w:iCs/>
        </w:rPr>
        <w:t>1.8</w:t>
      </w:r>
      <w:r>
        <w:t>, libellé comme suit </w:t>
      </w:r>
      <w:r w:rsidRPr="00FF328B">
        <w:t>:</w:t>
      </w:r>
      <w:bookmarkEnd w:id="213"/>
    </w:p>
    <w:p w:rsidR="002875EA" w:rsidRPr="00FF328B" w:rsidRDefault="002875EA" w:rsidP="002875EA">
      <w:pPr>
        <w:pStyle w:val="SingleTxtG"/>
        <w:ind w:left="2268" w:hanging="1134"/>
      </w:pPr>
      <w:bookmarkStart w:id="214" w:name="bookmark_238"/>
      <w:r w:rsidRPr="00FF328B">
        <w:t>«</w:t>
      </w:r>
      <w:r>
        <w:t> 1.8</w:t>
      </w:r>
      <w:r w:rsidRPr="00FF328B">
        <w:tab/>
      </w:r>
      <w:r>
        <w:tab/>
      </w:r>
      <w:r w:rsidRPr="00FF328B">
        <w:t>Si l</w:t>
      </w:r>
      <w:r>
        <w:t>’</w:t>
      </w:r>
      <w:r w:rsidRPr="00FF328B">
        <w:t>équipement GPL interconnecté est équipé d</w:t>
      </w:r>
      <w:r>
        <w:t>’</w:t>
      </w:r>
      <w:r w:rsidRPr="00FF328B">
        <w:t>une vanne d</w:t>
      </w:r>
      <w:r>
        <w:t>’</w:t>
      </w:r>
      <w:r w:rsidRPr="00FF328B">
        <w:t>arrêt télécommandée, les dispositions du paragraphe 6.17.3.3 s</w:t>
      </w:r>
      <w:r>
        <w:t>’</w:t>
      </w:r>
      <w:r w:rsidRPr="00FF328B">
        <w:t>appliquent.</w:t>
      </w:r>
      <w:bookmarkEnd w:id="214"/>
      <w:r>
        <w:t> »</w:t>
      </w:r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15" w:name="bookmark_239"/>
      <w:r w:rsidRPr="00FF328B">
        <w:rPr>
          <w:i/>
          <w:iCs/>
        </w:rPr>
        <w:t>Paragraphe 2.6</w:t>
      </w:r>
      <w:r>
        <w:t>, remplacer « annexe 15 » par « annexe 16 </w:t>
      </w:r>
      <w:r w:rsidRPr="00FF328B">
        <w:t>» (12 fois).</w:t>
      </w:r>
      <w:bookmarkEnd w:id="215"/>
    </w:p>
    <w:p w:rsidR="002875EA" w:rsidRPr="00FF328B" w:rsidRDefault="002875EA" w:rsidP="002875EA">
      <w:pPr>
        <w:pStyle w:val="SingleTxtG"/>
        <w:keepNext/>
        <w:keepLines/>
        <w:rPr>
          <w:bCs/>
          <w:i/>
        </w:rPr>
      </w:pPr>
      <w:bookmarkStart w:id="216" w:name="bookmark_240"/>
      <w:r>
        <w:rPr>
          <w:i/>
          <w:iCs/>
        </w:rPr>
        <w:t>Ajouter un nouveau paragraphe </w:t>
      </w:r>
      <w:r w:rsidRPr="00FF328B">
        <w:rPr>
          <w:i/>
          <w:iCs/>
        </w:rPr>
        <w:t>2.7</w:t>
      </w:r>
      <w:r w:rsidRPr="00FF328B">
        <w:t>, libellé comme suit</w:t>
      </w:r>
      <w:bookmarkEnd w:id="216"/>
      <w:r>
        <w:t> :</w:t>
      </w:r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217" w:name="bookmark_241"/>
      <w:r>
        <w:t>«</w:t>
      </w:r>
      <w:r w:rsidR="00EF3B43">
        <w:t> </w:t>
      </w:r>
      <w:r>
        <w:t>2.7</w:t>
      </w:r>
      <w:r w:rsidRPr="00FF328B">
        <w:tab/>
      </w:r>
      <w:r>
        <w:tab/>
      </w:r>
      <w:r w:rsidRPr="00FF328B">
        <w:t>En cas d</w:t>
      </w:r>
      <w:r>
        <w:t>’</w:t>
      </w:r>
      <w:r w:rsidRPr="00FF328B">
        <w:t>utilisation d</w:t>
      </w:r>
      <w:r>
        <w:t>’</w:t>
      </w:r>
      <w:r w:rsidRPr="00FF328B">
        <w:t>une soupape antiretour conformément au paragraphe 6.17.14.1 (équipement GPL interconnecté), les dispositions de ce paragraphe s</w:t>
      </w:r>
      <w:r>
        <w:t>’</w:t>
      </w:r>
      <w:r w:rsidRPr="00FF328B">
        <w:t>appliquent.</w:t>
      </w:r>
      <w:bookmarkEnd w:id="217"/>
      <w:r>
        <w:t> »</w:t>
      </w:r>
      <w:r w:rsidR="00EF3B43">
        <w:t>.</w:t>
      </w:r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18" w:name="bookmark_242"/>
      <w:r>
        <w:rPr>
          <w:i/>
          <w:iCs/>
        </w:rPr>
        <w:t>Paragraphe </w:t>
      </w:r>
      <w:r w:rsidRPr="00FF328B">
        <w:rPr>
          <w:i/>
          <w:iCs/>
        </w:rPr>
        <w:t>3.6</w:t>
      </w:r>
      <w:r>
        <w:t>, remplacer « annexe 15 » par « annexe 16 </w:t>
      </w:r>
      <w:r w:rsidRPr="00FF328B">
        <w:t>» (12</w:t>
      </w:r>
      <w:r>
        <w:t> </w:t>
      </w:r>
      <w:r w:rsidRPr="00FF328B">
        <w:t>fois).</w:t>
      </w:r>
      <w:bookmarkEnd w:id="218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19" w:name="bookmark_243"/>
      <w:r w:rsidRPr="00FF328B">
        <w:rPr>
          <w:i/>
          <w:iCs/>
        </w:rPr>
        <w:t>Paragraphe 4.6</w:t>
      </w:r>
      <w:r w:rsidRPr="00FF328B">
        <w:t>, remplace</w:t>
      </w:r>
      <w:r>
        <w:t>r « annexe 15 » par « annexe 16 </w:t>
      </w:r>
      <w:r w:rsidRPr="00FF328B">
        <w:t>» (12</w:t>
      </w:r>
      <w:r>
        <w:t> </w:t>
      </w:r>
      <w:r w:rsidRPr="00FF328B">
        <w:t>fois).</w:t>
      </w:r>
      <w:bookmarkEnd w:id="219"/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i/>
          <w:spacing w:val="-2"/>
        </w:rPr>
      </w:pPr>
      <w:bookmarkStart w:id="220" w:name="bookmark_244"/>
      <w:r>
        <w:rPr>
          <w:i/>
          <w:iCs/>
        </w:rPr>
        <w:t>Annexe </w:t>
      </w:r>
      <w:r w:rsidRPr="00FF328B">
        <w:rPr>
          <w:i/>
          <w:iCs/>
        </w:rPr>
        <w:t>8</w:t>
      </w:r>
      <w:bookmarkEnd w:id="220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21" w:name="bookmark_245"/>
      <w:r w:rsidRPr="00FF328B">
        <w:rPr>
          <w:i/>
          <w:iCs/>
        </w:rPr>
        <w:t>Paragraphe 6</w:t>
      </w:r>
      <w:r>
        <w:t>, remplacer « annexe 15 </w:t>
      </w:r>
      <w:r w:rsidRPr="00FF328B">
        <w:t>» par «</w:t>
      </w:r>
      <w:r>
        <w:t> annexe 16 </w:t>
      </w:r>
      <w:r w:rsidRPr="00FF328B">
        <w:t>» (12</w:t>
      </w:r>
      <w:r>
        <w:t> </w:t>
      </w:r>
      <w:r w:rsidRPr="00FF328B">
        <w:t>fois).</w:t>
      </w:r>
      <w:bookmarkEnd w:id="221"/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i/>
          <w:spacing w:val="-2"/>
        </w:rPr>
      </w:pPr>
      <w:bookmarkStart w:id="222" w:name="bookmark_246"/>
      <w:r>
        <w:rPr>
          <w:i/>
          <w:iCs/>
        </w:rPr>
        <w:t>Annexe </w:t>
      </w:r>
      <w:r w:rsidRPr="00FF328B">
        <w:rPr>
          <w:i/>
          <w:iCs/>
        </w:rPr>
        <w:t>10</w:t>
      </w:r>
      <w:bookmarkEnd w:id="222"/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spacing w:val="-2"/>
        </w:rPr>
      </w:pPr>
      <w:bookmarkStart w:id="223" w:name="bookmark_247"/>
      <w:r>
        <w:rPr>
          <w:i/>
          <w:iCs/>
        </w:rPr>
        <w:t>Paragraphe </w:t>
      </w:r>
      <w:r w:rsidRPr="00FF328B">
        <w:rPr>
          <w:i/>
          <w:iCs/>
        </w:rPr>
        <w:t>2.6.1</w:t>
      </w:r>
      <w:r w:rsidRPr="00FF328B">
        <w:t xml:space="preserve"> (</w:t>
      </w:r>
      <w:r w:rsidRPr="00FF328B">
        <w:rPr>
          <w:i/>
          <w:iCs/>
        </w:rPr>
        <w:t>Essai à la flamme vive</w:t>
      </w:r>
      <w:r w:rsidRPr="00FF328B">
        <w:t>),</w:t>
      </w:r>
      <w:r>
        <w:t xml:space="preserve"> </w:t>
      </w:r>
      <w:r w:rsidRPr="00FF328B">
        <w:t xml:space="preserve">lire la note de bas de page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1 comme suit </w:t>
      </w:r>
      <w:r w:rsidRPr="00FF328B">
        <w:t>:</w:t>
      </w:r>
      <w:bookmarkEnd w:id="223"/>
    </w:p>
    <w:p w:rsidR="002875EA" w:rsidRPr="00FF328B" w:rsidRDefault="002875EA" w:rsidP="002875EA">
      <w:pPr>
        <w:pStyle w:val="SingleTxtG"/>
        <w:keepNext/>
        <w:keepLines/>
      </w:pPr>
      <w:bookmarkStart w:id="224" w:name="bookmark_248"/>
      <w:r>
        <w:t>«</w:t>
      </w:r>
      <w:r w:rsidR="00EF3B43">
        <w:t> </w:t>
      </w:r>
      <w:r>
        <w:t>2.6.1</w:t>
      </w:r>
      <w:r>
        <w:tab/>
      </w:r>
      <w:r>
        <w:tab/>
      </w:r>
      <w:r w:rsidRPr="00FF328B">
        <w:t>Généralités</w:t>
      </w:r>
      <w:bookmarkEnd w:id="224"/>
    </w:p>
    <w:p w:rsidR="002875EA" w:rsidRPr="00FF328B" w:rsidRDefault="002875EA" w:rsidP="002875EA">
      <w:pPr>
        <w:pStyle w:val="SingleTxtG"/>
        <w:ind w:left="2268"/>
      </w:pPr>
      <w:bookmarkStart w:id="225" w:name="bookmark_249"/>
      <w:r w:rsidRPr="00FF328B">
        <w:t>L</w:t>
      </w:r>
      <w:r>
        <w:t>’</w:t>
      </w:r>
      <w:r w:rsidRPr="00FF328B">
        <w:t xml:space="preserve">essai à la flamme vive </w:t>
      </w:r>
      <w:proofErr w:type="gramStart"/>
      <w:r w:rsidRPr="00FF328B">
        <w:t>sert</w:t>
      </w:r>
      <w:proofErr w:type="gramEnd"/>
      <w:r w:rsidRPr="00FF328B">
        <w:t xml:space="preserve"> à démontrer que…</w:t>
      </w:r>
      <w:bookmarkEnd w:id="225"/>
    </w:p>
    <w:p w:rsidR="002875EA" w:rsidRPr="00FF328B" w:rsidRDefault="002875EA" w:rsidP="002875EA">
      <w:pPr>
        <w:pStyle w:val="SingleTxtG"/>
        <w:ind w:left="2268"/>
      </w:pPr>
      <w:bookmarkStart w:id="226" w:name="bookmark_250"/>
      <w:r w:rsidRPr="00FF328B">
        <w:t>…</w:t>
      </w:r>
      <w:bookmarkEnd w:id="226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227" w:name="bookmark_251"/>
      <w:r w:rsidRPr="00FF328B">
        <w:t>h)</w:t>
      </w:r>
      <w:r w:rsidRPr="00FF328B">
        <w:tab/>
        <w:t>Configuration identique des accessoires fixés au réservoir</w:t>
      </w:r>
      <w:r w:rsidRPr="00FF3C9A">
        <w:rPr>
          <w:vertAlign w:val="superscript"/>
        </w:rPr>
        <w:t>1</w:t>
      </w:r>
      <w:r w:rsidRPr="00FF328B">
        <w:t>.</w:t>
      </w:r>
      <w:bookmarkEnd w:id="227"/>
    </w:p>
    <w:p w:rsidR="002875EA" w:rsidRPr="00FF328B" w:rsidRDefault="002875EA" w:rsidP="002875EA">
      <w:pPr>
        <w:keepNext/>
        <w:ind w:left="2268" w:right="1134" w:hanging="1134"/>
        <w:jc w:val="both"/>
        <w:rPr>
          <w:rFonts w:eastAsia="MS Mincho"/>
          <w:bCs/>
          <w:spacing w:val="-2"/>
        </w:rPr>
      </w:pPr>
      <w:bookmarkStart w:id="228" w:name="bookmark_252"/>
      <w:r w:rsidRPr="00FF328B">
        <w:lastRenderedPageBreak/>
        <w:t>_______________</w:t>
      </w:r>
      <w:bookmarkEnd w:id="228"/>
    </w:p>
    <w:p w:rsidR="002875EA" w:rsidRPr="00FF328B" w:rsidRDefault="002875EA" w:rsidP="002875EA">
      <w:pPr>
        <w:pStyle w:val="FootnoteText"/>
        <w:spacing w:before="120" w:after="240"/>
        <w:ind w:firstLine="170"/>
        <w:rPr>
          <w:rFonts w:eastAsia="MS Mincho"/>
          <w:bCs/>
          <w:spacing w:val="-2"/>
          <w:szCs w:val="18"/>
        </w:rPr>
      </w:pPr>
      <w:bookmarkStart w:id="229" w:name="bookmark_253"/>
      <w:proofErr w:type="gramStart"/>
      <w:r w:rsidRPr="005B3D04">
        <w:rPr>
          <w:vertAlign w:val="superscript"/>
        </w:rPr>
        <w:t>1</w:t>
      </w:r>
      <w:r>
        <w:t xml:space="preserve">  </w:t>
      </w:r>
      <w:r w:rsidRPr="00FF328B">
        <w:t>Il</w:t>
      </w:r>
      <w:proofErr w:type="gramEnd"/>
      <w:r w:rsidRPr="00FF328B">
        <w:t xml:space="preserve"> est possible d</w:t>
      </w:r>
      <w:r>
        <w:t>’</w:t>
      </w:r>
      <w:r w:rsidRPr="00FF328B">
        <w:t>ajouter des accessoires ou de modifier et de déplacer les accessoires fixés au conteneur sans procéder à un nouvel essai, à condition que l</w:t>
      </w:r>
      <w:r>
        <w:t>’</w:t>
      </w:r>
      <w:r w:rsidRPr="00FF328B">
        <w:t>autorité d</w:t>
      </w:r>
      <w:r>
        <w:t>’</w:t>
      </w:r>
      <w:r w:rsidRPr="00FF328B">
        <w:t>homologation de type ayant homologué le réservoir en soit informée et que la probabilité d</w:t>
      </w:r>
      <w:r>
        <w:t>’</w:t>
      </w:r>
      <w:r w:rsidRPr="00FF328B">
        <w:t>une incidence négative notable soit très faible. L</w:t>
      </w:r>
      <w:r>
        <w:t>’</w:t>
      </w:r>
      <w:r w:rsidRPr="00FF328B">
        <w:t>autorité peut exiger un nouveau</w:t>
      </w:r>
      <w:r>
        <w:t xml:space="preserve"> </w:t>
      </w:r>
      <w:r w:rsidRPr="00FF328B">
        <w:t>procès-verbal d</w:t>
      </w:r>
      <w:r>
        <w:t>’</w:t>
      </w:r>
      <w:r w:rsidRPr="00FF328B">
        <w:t>essai émanant du service technique compétent. Le réservoir et les configurations de ses accessoires seront indiqués dans l</w:t>
      </w:r>
      <w:r>
        <w:t>’</w:t>
      </w:r>
      <w:r w:rsidRPr="00FF328B">
        <w:t>appendice à l</w:t>
      </w:r>
      <w:r>
        <w:t>’</w:t>
      </w:r>
      <w:r w:rsidRPr="00FF328B">
        <w:t xml:space="preserve">annexe 2B. Les blocs </w:t>
      </w:r>
      <w:proofErr w:type="spellStart"/>
      <w:r w:rsidRPr="00FF328B">
        <w:t>multivannes</w:t>
      </w:r>
      <w:proofErr w:type="spellEnd"/>
      <w:r w:rsidRPr="00FF328B">
        <w:t xml:space="preserve"> ou, en cas d</w:t>
      </w:r>
      <w:r>
        <w:t>’</w:t>
      </w:r>
      <w:r w:rsidRPr="00FF328B">
        <w:t>homologations distinctes, les soupapes de surpression (soupapes de décharge) et les dispositifs de surpression, ayant fait l</w:t>
      </w:r>
      <w:r>
        <w:t>’</w:t>
      </w:r>
      <w:r w:rsidRPr="00FF328B">
        <w:t>objet d</w:t>
      </w:r>
      <w:r>
        <w:t>’</w:t>
      </w:r>
      <w:r w:rsidRPr="00FF328B">
        <w:t>une extension en raison de modifications techniques et marquées conformément aux dispositions de l</w:t>
      </w:r>
      <w:r>
        <w:t>’annexe </w:t>
      </w:r>
      <w:r w:rsidRPr="00FF328B">
        <w:t>2A, doivent subir un nouvel essai à la flamme vive. Le réservoir et les configurations de ses accessoires seront indiqués dans l</w:t>
      </w:r>
      <w:r>
        <w:t>’</w:t>
      </w:r>
      <w:r w:rsidRPr="00FF328B">
        <w:t>appendice à l</w:t>
      </w:r>
      <w:r>
        <w:t>’annexe </w:t>
      </w:r>
      <w:r w:rsidRPr="00FF328B">
        <w:t>2B.</w:t>
      </w:r>
      <w:bookmarkEnd w:id="229"/>
      <w:r>
        <w:t> »</w:t>
      </w:r>
      <w:r w:rsidR="008270FA">
        <w:t>.</w:t>
      </w:r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i/>
          <w:spacing w:val="-2"/>
        </w:rPr>
      </w:pPr>
      <w:bookmarkStart w:id="230" w:name="bookmark_254"/>
      <w:r>
        <w:rPr>
          <w:i/>
          <w:iCs/>
        </w:rPr>
        <w:t>Annexe </w:t>
      </w:r>
      <w:r w:rsidRPr="00FF328B">
        <w:rPr>
          <w:i/>
          <w:iCs/>
        </w:rPr>
        <w:t>11</w:t>
      </w:r>
      <w:bookmarkEnd w:id="230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31" w:name="bookmark_255"/>
      <w:r w:rsidRPr="00FF328B">
        <w:rPr>
          <w:i/>
          <w:iCs/>
        </w:rPr>
        <w:t>Paragraphe 1.6</w:t>
      </w:r>
      <w:r w:rsidRPr="00FF328B">
        <w:t>, remplace</w:t>
      </w:r>
      <w:r w:rsidR="008270FA">
        <w:t>r « annexe 15 </w:t>
      </w:r>
      <w:r>
        <w:t>» par « annexe 16 </w:t>
      </w:r>
      <w:r w:rsidRPr="00FF328B">
        <w:t>» (10</w:t>
      </w:r>
      <w:r>
        <w:t> </w:t>
      </w:r>
      <w:r w:rsidRPr="00FF328B">
        <w:t>fois).</w:t>
      </w:r>
      <w:bookmarkEnd w:id="231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32" w:name="bookmark_256"/>
      <w:r w:rsidRPr="00FF328B">
        <w:rPr>
          <w:i/>
          <w:iCs/>
        </w:rPr>
        <w:t>Paragraphe 2.6</w:t>
      </w:r>
      <w:r>
        <w:t>, remplacer « annexe 15 » par « annexe 16 » (6 </w:t>
      </w:r>
      <w:r w:rsidRPr="00FF328B">
        <w:t>fois).</w:t>
      </w:r>
      <w:bookmarkEnd w:id="232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33" w:name="bookmark_257"/>
      <w:r w:rsidRPr="00FF328B">
        <w:rPr>
          <w:i/>
          <w:iCs/>
        </w:rPr>
        <w:t>Paragraphe 3.6.1</w:t>
      </w:r>
      <w:r>
        <w:t>, remplacer « annexe 15 » par « </w:t>
      </w:r>
      <w:r w:rsidRPr="00FF328B">
        <w:t>annexe 16</w:t>
      </w:r>
      <w:r>
        <w:t> </w:t>
      </w:r>
      <w:r w:rsidRPr="00FF328B">
        <w:t>» (10</w:t>
      </w:r>
      <w:r>
        <w:t> </w:t>
      </w:r>
      <w:r w:rsidRPr="00FF328B">
        <w:t>fois).</w:t>
      </w:r>
      <w:bookmarkEnd w:id="233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34" w:name="bookmark_258"/>
      <w:r w:rsidRPr="00FF328B">
        <w:rPr>
          <w:i/>
          <w:iCs/>
        </w:rPr>
        <w:t>Paragraphe 3.6.2</w:t>
      </w:r>
      <w:r>
        <w:t>, remplacer « annexe 15 » par « </w:t>
      </w:r>
      <w:r w:rsidRPr="00FF328B">
        <w:t>annexe 16</w:t>
      </w:r>
      <w:r>
        <w:t> </w:t>
      </w:r>
      <w:r w:rsidRPr="00FF328B">
        <w:t>» (6</w:t>
      </w:r>
      <w:r>
        <w:t> </w:t>
      </w:r>
      <w:r w:rsidRPr="00FF328B">
        <w:t>fois).</w:t>
      </w:r>
      <w:bookmarkEnd w:id="234"/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i/>
          <w:spacing w:val="-2"/>
        </w:rPr>
      </w:pPr>
      <w:bookmarkStart w:id="235" w:name="bookmark_259"/>
      <w:r>
        <w:rPr>
          <w:i/>
          <w:iCs/>
        </w:rPr>
        <w:t>Annexe </w:t>
      </w:r>
      <w:r w:rsidRPr="00FF328B">
        <w:rPr>
          <w:i/>
          <w:iCs/>
        </w:rPr>
        <w:t>12</w:t>
      </w:r>
      <w:bookmarkEnd w:id="235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36" w:name="bookmark_260"/>
      <w:r w:rsidRPr="00EF3B43">
        <w:rPr>
          <w:i/>
        </w:rPr>
        <w:t>Paragraphe 6</w:t>
      </w:r>
      <w:r w:rsidRPr="00FF328B">
        <w:t>, remplacer «</w:t>
      </w:r>
      <w:r>
        <w:t> </w:t>
      </w:r>
      <w:r w:rsidRPr="00FF328B">
        <w:t>annexe 15</w:t>
      </w:r>
      <w:r>
        <w:t> » par « annexe 16 » (6 </w:t>
      </w:r>
      <w:r w:rsidRPr="00FF328B">
        <w:t>fois).</w:t>
      </w:r>
      <w:bookmarkEnd w:id="236"/>
    </w:p>
    <w:p w:rsidR="002875EA" w:rsidRPr="00FF328B" w:rsidRDefault="002875EA" w:rsidP="002875EA">
      <w:pPr>
        <w:pStyle w:val="SingleTxtG"/>
        <w:keepNext/>
        <w:keepLines/>
        <w:rPr>
          <w:rFonts w:eastAsia="MS Mincho"/>
          <w:bCs/>
          <w:i/>
          <w:spacing w:val="-2"/>
        </w:rPr>
      </w:pPr>
      <w:bookmarkStart w:id="237" w:name="bookmark_261"/>
      <w:r w:rsidRPr="00FF328B">
        <w:rPr>
          <w:i/>
          <w:iCs/>
        </w:rPr>
        <w:t>Annexe</w:t>
      </w:r>
      <w:r>
        <w:rPr>
          <w:i/>
          <w:iCs/>
        </w:rPr>
        <w:t> </w:t>
      </w:r>
      <w:r w:rsidRPr="00FF328B">
        <w:rPr>
          <w:i/>
          <w:iCs/>
        </w:rPr>
        <w:t>13</w:t>
      </w:r>
      <w:bookmarkEnd w:id="237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38" w:name="bookmark_262"/>
      <w:r w:rsidRPr="00FF328B">
        <w:rPr>
          <w:i/>
          <w:iCs/>
        </w:rPr>
        <w:t>Paragraphe 6.1</w:t>
      </w:r>
      <w:r>
        <w:t>, remplacer « annexe 15 » par « annexe 16 </w:t>
      </w:r>
      <w:r w:rsidRPr="00FF328B">
        <w:t>» (10</w:t>
      </w:r>
      <w:r>
        <w:t> </w:t>
      </w:r>
      <w:r w:rsidRPr="00FF328B">
        <w:t>fois).</w:t>
      </w:r>
      <w:bookmarkEnd w:id="238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239" w:name="bookmark_263"/>
      <w:r w:rsidRPr="00FF328B">
        <w:rPr>
          <w:i/>
          <w:iCs/>
        </w:rPr>
        <w:t>Paragraphe 6.2</w:t>
      </w:r>
      <w:r>
        <w:t>, remplacer « </w:t>
      </w:r>
      <w:r w:rsidRPr="00FF328B">
        <w:t>a</w:t>
      </w:r>
      <w:r>
        <w:t>nnexe 15 » par « annexe 16 » (6 </w:t>
      </w:r>
      <w:r w:rsidRPr="00FF328B">
        <w:t>fois).</w:t>
      </w:r>
      <w:bookmarkEnd w:id="239"/>
    </w:p>
    <w:p w:rsidR="002875EA" w:rsidRPr="004D1BAB" w:rsidRDefault="002875EA" w:rsidP="002875EA">
      <w:pPr>
        <w:pStyle w:val="SingleTxtG"/>
        <w:rPr>
          <w:i/>
        </w:rPr>
      </w:pPr>
      <w:bookmarkStart w:id="240" w:name="bookmark_264"/>
      <w:r>
        <w:rPr>
          <w:i/>
        </w:rPr>
        <w:t>Annexe </w:t>
      </w:r>
      <w:r w:rsidRPr="004D1BAB">
        <w:rPr>
          <w:i/>
        </w:rPr>
        <w:t>14</w:t>
      </w:r>
      <w:bookmarkEnd w:id="240"/>
    </w:p>
    <w:p w:rsidR="002875EA" w:rsidRPr="00FF328B" w:rsidRDefault="002875EA" w:rsidP="002875EA">
      <w:pPr>
        <w:pStyle w:val="SingleTxtG"/>
        <w:keepNext/>
        <w:keepLines/>
      </w:pPr>
      <w:bookmarkStart w:id="241" w:name="bookmark_265"/>
      <w:r w:rsidRPr="00FF328B">
        <w:rPr>
          <w:i/>
          <w:iCs/>
        </w:rPr>
        <w:t>Ajouter les nouveaux paragraphes</w:t>
      </w:r>
      <w:r>
        <w:rPr>
          <w:i/>
          <w:iCs/>
        </w:rPr>
        <w:t> </w:t>
      </w:r>
      <w:r w:rsidR="00EF3B43">
        <w:rPr>
          <w:i/>
          <w:iCs/>
        </w:rPr>
        <w:t>6</w:t>
      </w:r>
      <w:r w:rsidRPr="00FF328B">
        <w:rPr>
          <w:i/>
          <w:iCs/>
        </w:rPr>
        <w:t xml:space="preserve"> à 6.4</w:t>
      </w:r>
      <w:r w:rsidRPr="00FF328B">
        <w:t>, libellés comme suit</w:t>
      </w:r>
      <w:bookmarkEnd w:id="241"/>
      <w:r>
        <w:t> :</w:t>
      </w:r>
    </w:p>
    <w:p w:rsidR="002875EA" w:rsidRPr="00FF328B" w:rsidRDefault="002875EA" w:rsidP="002875EA">
      <w:pPr>
        <w:pStyle w:val="SingleTxtG"/>
        <w:ind w:left="2268" w:hanging="1134"/>
      </w:pPr>
      <w:bookmarkStart w:id="242" w:name="bookmark_266"/>
      <w:r w:rsidRPr="00FF328B">
        <w:t>«</w:t>
      </w:r>
      <w:r>
        <w:t> </w:t>
      </w:r>
      <w:r w:rsidRPr="00FF328B">
        <w:t>6.</w:t>
      </w:r>
      <w:r w:rsidRPr="00FF328B">
        <w:tab/>
        <w:t>Lorsque le module de commande électronique est conçu pour être installé comme organe d</w:t>
      </w:r>
      <w:r>
        <w:t>’</w:t>
      </w:r>
      <w:r w:rsidRPr="00FF328B">
        <w:t>un équipement GPL interconnecté, il doit empêcher, en contrôlant le système de sélection du carburant, le fonctionnement du véhicule en mode essence après chaque opération de passage au mode GPL jusqu</w:t>
      </w:r>
      <w:r>
        <w:t>’</w:t>
      </w:r>
      <w:r w:rsidRPr="00FF328B">
        <w:t>à ce qu</w:t>
      </w:r>
      <w:r>
        <w:t>’</w:t>
      </w:r>
      <w:r w:rsidRPr="00FF328B">
        <w:t>un volume de carburant liquide équivalent à celui qui s</w:t>
      </w:r>
      <w:r>
        <w:t>’</w:t>
      </w:r>
      <w:r w:rsidRPr="00FF328B">
        <w:t>est écoulé dans le réservoir à GPL durant une telle opération ait été consommé.</w:t>
      </w:r>
      <w:bookmarkEnd w:id="242"/>
    </w:p>
    <w:p w:rsidR="002875EA" w:rsidRPr="00FF328B" w:rsidRDefault="002875EA" w:rsidP="002875EA">
      <w:pPr>
        <w:pStyle w:val="SingleTxtG"/>
        <w:ind w:left="2268" w:hanging="1134"/>
      </w:pPr>
      <w:bookmarkStart w:id="243" w:name="bookmark_267"/>
      <w:r w:rsidRPr="00FF328B">
        <w:tab/>
        <w:t>Néanmoins, le module de commande électronique peut autoriser le passage au mode essence si une défaillance dans l</w:t>
      </w:r>
      <w:r>
        <w:t>’</w:t>
      </w:r>
      <w:r w:rsidRPr="00FF328B">
        <w:t>équipement GPL met celui-ci hors fonction. Une telle défaillance doit être signalée clairement au conducteur.</w:t>
      </w:r>
      <w:bookmarkEnd w:id="243"/>
    </w:p>
    <w:p w:rsidR="002875EA" w:rsidRPr="00FF328B" w:rsidRDefault="002875EA" w:rsidP="002875EA">
      <w:pPr>
        <w:pStyle w:val="SingleTxtG"/>
        <w:ind w:left="2268" w:hanging="1134"/>
      </w:pPr>
      <w:bookmarkStart w:id="244" w:name="bookmark_268"/>
      <w:r w:rsidRPr="00FF328B">
        <w:tab/>
        <w:t>Dans le cas où l</w:t>
      </w:r>
      <w:r>
        <w:t>’</w:t>
      </w:r>
      <w:r w:rsidRPr="00FF328B">
        <w:t>équipement GPL est mis hors fonction, une vanne d</w:t>
      </w:r>
      <w:r>
        <w:t>’</w:t>
      </w:r>
      <w:r w:rsidRPr="00FF328B">
        <w:t>arrêt télécommandée satisfaisant aux prescriptions du paragraphe 6.17.3.3 doit être installée sur le circuit d</w:t>
      </w:r>
      <w:r>
        <w:t>’</w:t>
      </w:r>
      <w:r w:rsidRPr="00FF328B">
        <w:t>écoulement afin d</w:t>
      </w:r>
      <w:r>
        <w:t>’</w:t>
      </w:r>
      <w:r w:rsidRPr="00FF328B">
        <w:t>empêcher tout reflux d</w:t>
      </w:r>
      <w:r>
        <w:t>’</w:t>
      </w:r>
      <w:r w:rsidRPr="00FF328B">
        <w:t>essence dans le réservoir à GPL après passage au mode essence.</w:t>
      </w:r>
      <w:bookmarkEnd w:id="244"/>
    </w:p>
    <w:p w:rsidR="002875EA" w:rsidRPr="00FF328B" w:rsidRDefault="002875EA" w:rsidP="002875EA">
      <w:pPr>
        <w:pStyle w:val="SingleTxtG"/>
        <w:ind w:left="2268" w:hanging="1134"/>
      </w:pPr>
      <w:bookmarkStart w:id="245" w:name="bookmark_269"/>
      <w:r>
        <w:t>6.1</w:t>
      </w:r>
      <w:r w:rsidRPr="00FF328B">
        <w:tab/>
        <w:t>Le volume de carburant liquide qui reflue durant l</w:t>
      </w:r>
      <w:r>
        <w:t>’</w:t>
      </w:r>
      <w:r w:rsidRPr="00FF328B">
        <w:t>opération de changement de mode ne doit pas excéder 0,4 litre, et le volume du réservoir ne doit pas être inférieur à 20 litres.</w:t>
      </w:r>
      <w:bookmarkEnd w:id="245"/>
    </w:p>
    <w:p w:rsidR="002875EA" w:rsidRPr="004D1BAB" w:rsidRDefault="002875EA" w:rsidP="002875EA">
      <w:pPr>
        <w:pStyle w:val="SingleTxtG"/>
        <w:ind w:left="2268" w:hanging="1134"/>
      </w:pPr>
      <w:bookmarkStart w:id="246" w:name="bookmark_270"/>
      <w:r>
        <w:t>6.2</w:t>
      </w:r>
      <w:r w:rsidRPr="00FF328B">
        <w:tab/>
        <w:t>Pour vérifier le respect des prescriptions du paragraphe 6 de la présente annexe, il convient d</w:t>
      </w:r>
      <w:r>
        <w:t>’</w:t>
      </w:r>
      <w:r w:rsidRPr="00FF328B">
        <w:t>essayer le module de commande électronique comme suit</w:t>
      </w:r>
      <w:bookmarkEnd w:id="246"/>
      <w:r>
        <w:t> :</w:t>
      </w:r>
    </w:p>
    <w:p w:rsidR="002875EA" w:rsidRPr="004D1BAB" w:rsidRDefault="002875EA" w:rsidP="002875EA">
      <w:pPr>
        <w:pStyle w:val="SingleTxtG"/>
        <w:ind w:left="2835" w:hanging="567"/>
      </w:pPr>
      <w:bookmarkStart w:id="247" w:name="bookmark_271"/>
      <w:r w:rsidRPr="004D1BAB">
        <w:t>a)</w:t>
      </w:r>
      <w:r w:rsidRPr="004D1BAB">
        <w:tab/>
        <w:t>Installer l</w:t>
      </w:r>
      <w:r>
        <w:t>’</w:t>
      </w:r>
      <w:r w:rsidRPr="004D1BAB">
        <w:t>équipement GPL sur un véhicule</w:t>
      </w:r>
      <w:bookmarkEnd w:id="247"/>
      <w:r>
        <w:t> ;</w:t>
      </w:r>
    </w:p>
    <w:p w:rsidR="002875EA" w:rsidRPr="004D1BAB" w:rsidRDefault="002875EA" w:rsidP="002875EA">
      <w:pPr>
        <w:pStyle w:val="SingleTxtG"/>
        <w:ind w:left="2835" w:hanging="567"/>
      </w:pPr>
      <w:bookmarkStart w:id="248" w:name="bookmark_272"/>
      <w:r w:rsidRPr="004D1BAB">
        <w:t>b)</w:t>
      </w:r>
      <w:r w:rsidRPr="004D1BAB">
        <w:tab/>
        <w:t>Régler le système de sélection du carburant sur le mode GPL</w:t>
      </w:r>
      <w:bookmarkEnd w:id="248"/>
      <w:r>
        <w:t> ;</w:t>
      </w:r>
    </w:p>
    <w:p w:rsidR="002875EA" w:rsidRPr="004D1BAB" w:rsidRDefault="002875EA" w:rsidP="002875EA">
      <w:pPr>
        <w:pStyle w:val="SingleTxtG"/>
        <w:ind w:left="2835" w:hanging="567"/>
      </w:pPr>
      <w:bookmarkStart w:id="249" w:name="bookmark_273"/>
      <w:r w:rsidRPr="004D1BAB">
        <w:t>c)</w:t>
      </w:r>
      <w:r w:rsidRPr="004D1BAB">
        <w:tab/>
        <w:t>Faire chauffer le moteur jusqu</w:t>
      </w:r>
      <w:r>
        <w:t>’</w:t>
      </w:r>
      <w:r w:rsidRPr="004D1BAB">
        <w:t>à ce que les températures des liquides de refroidissement et de lubrification ainsi que la pression du lubrifiant aient atteint leur point d</w:t>
      </w:r>
      <w:r>
        <w:t>’</w:t>
      </w:r>
      <w:r w:rsidRPr="004D1BAB">
        <w:t>équilibre</w:t>
      </w:r>
      <w:bookmarkEnd w:id="249"/>
      <w:r>
        <w:t> ;</w:t>
      </w:r>
    </w:p>
    <w:p w:rsidR="002875EA" w:rsidRPr="004D1BAB" w:rsidRDefault="002875EA" w:rsidP="002875EA">
      <w:pPr>
        <w:pStyle w:val="SingleTxtG"/>
        <w:ind w:left="2835" w:hanging="567"/>
      </w:pPr>
      <w:bookmarkStart w:id="250" w:name="bookmark_274"/>
      <w:r w:rsidRPr="004D1BAB">
        <w:t>d)</w:t>
      </w:r>
      <w:r w:rsidRPr="004D1BAB">
        <w:tab/>
        <w:t>Laisser le moteur tourner au régime de ralenti le plus bas</w:t>
      </w:r>
      <w:bookmarkEnd w:id="250"/>
      <w:r>
        <w:t> ;</w:t>
      </w:r>
    </w:p>
    <w:p w:rsidR="002875EA" w:rsidRPr="004D1BAB" w:rsidRDefault="002875EA" w:rsidP="008270FA">
      <w:pPr>
        <w:pStyle w:val="SingleTxtG"/>
        <w:spacing w:after="100" w:line="220" w:lineRule="atLeast"/>
        <w:ind w:left="2835" w:hanging="567"/>
      </w:pPr>
      <w:bookmarkStart w:id="251" w:name="bookmark_275"/>
      <w:r w:rsidRPr="004D1BAB">
        <w:t>e)</w:t>
      </w:r>
      <w:r w:rsidRPr="004D1BAB">
        <w:tab/>
        <w:t>Passer du mode GPL au mode essence et inversement</w:t>
      </w:r>
      <w:bookmarkEnd w:id="251"/>
      <w:r>
        <w:t> ;</w:t>
      </w:r>
    </w:p>
    <w:p w:rsidR="002875EA" w:rsidRPr="004D1BAB" w:rsidRDefault="002875EA" w:rsidP="008270FA">
      <w:pPr>
        <w:pStyle w:val="SingleTxtG"/>
        <w:spacing w:after="100" w:line="220" w:lineRule="atLeast"/>
        <w:ind w:left="2835" w:hanging="567"/>
      </w:pPr>
      <w:bookmarkStart w:id="252" w:name="bookmark_276"/>
      <w:r w:rsidRPr="00FF328B">
        <w:lastRenderedPageBreak/>
        <w:t>f)</w:t>
      </w:r>
      <w:r w:rsidRPr="00FF328B">
        <w:tab/>
        <w:t>Régler le système de sélection du carburant sur le mode essence.</w:t>
      </w:r>
      <w:bookmarkEnd w:id="252"/>
    </w:p>
    <w:p w:rsidR="002875EA" w:rsidRPr="004D1BAB" w:rsidRDefault="002875EA" w:rsidP="008270FA">
      <w:pPr>
        <w:pStyle w:val="SingleTxtG"/>
        <w:keepNext/>
        <w:keepLines/>
        <w:spacing w:after="100" w:line="220" w:lineRule="atLeast"/>
        <w:ind w:left="2835" w:hanging="567"/>
      </w:pPr>
      <w:bookmarkStart w:id="253" w:name="bookmark_277"/>
      <w:r w:rsidRPr="004D1BAB">
        <w:t>Interprétation de l</w:t>
      </w:r>
      <w:r>
        <w:t>’</w:t>
      </w:r>
      <w:r w:rsidRPr="004D1BAB">
        <w:t>essai</w:t>
      </w:r>
      <w:bookmarkEnd w:id="253"/>
    </w:p>
    <w:p w:rsidR="002875EA" w:rsidRPr="004D1BAB" w:rsidRDefault="002875EA" w:rsidP="008270FA">
      <w:pPr>
        <w:pStyle w:val="SingleTxtG"/>
        <w:keepNext/>
        <w:keepLines/>
        <w:spacing w:after="100" w:line="220" w:lineRule="atLeast"/>
        <w:ind w:left="2268"/>
      </w:pPr>
      <w:bookmarkStart w:id="254" w:name="bookmark_278"/>
      <w:r w:rsidRPr="004D1BAB">
        <w:t>Les critères appliqués pour l</w:t>
      </w:r>
      <w:r>
        <w:t>’</w:t>
      </w:r>
      <w:r w:rsidRPr="004D1BAB">
        <w:t>interprétation des résultats de l</w:t>
      </w:r>
      <w:r>
        <w:t>’</w:t>
      </w:r>
      <w:r w:rsidRPr="004D1BAB">
        <w:t>essai sont les suivants</w:t>
      </w:r>
      <w:bookmarkEnd w:id="254"/>
      <w:r>
        <w:t> :</w:t>
      </w:r>
    </w:p>
    <w:p w:rsidR="002875EA" w:rsidRPr="004D1BAB" w:rsidRDefault="002875EA" w:rsidP="008270FA">
      <w:pPr>
        <w:pStyle w:val="SingleTxtG"/>
        <w:spacing w:after="100" w:line="220" w:lineRule="atLeast"/>
        <w:ind w:left="3402" w:hanging="567"/>
      </w:pPr>
      <w:bookmarkStart w:id="255" w:name="bookmark_279"/>
      <w:r w:rsidRPr="004D1BAB">
        <w:t>i)</w:t>
      </w:r>
      <w:r w:rsidRPr="004D1BAB">
        <w:tab/>
        <w:t>Le mode essence est désactivé jusqu</w:t>
      </w:r>
      <w:r>
        <w:t>’</w:t>
      </w:r>
      <w:r w:rsidRPr="004D1BAB">
        <w:t>à ce qu</w:t>
      </w:r>
      <w:r>
        <w:t>’</w:t>
      </w:r>
      <w:r w:rsidRPr="004D1BAB">
        <w:t xml:space="preserve">un volume </w:t>
      </w:r>
      <w:r>
        <w:t>de carburant liquide égal à 0,4 </w:t>
      </w:r>
      <w:r w:rsidRPr="004D1BAB">
        <w:t>litre ait été consommé. Cette consommation doit être calculée par un dispositif de mesure du banc d</w:t>
      </w:r>
      <w:r>
        <w:t>’</w:t>
      </w:r>
      <w:r w:rsidRPr="004D1BAB">
        <w:t>essai. Elle peut être calculée au moyen des signaux de débit du carburant du module de commande électronique de l</w:t>
      </w:r>
      <w:r>
        <w:t>’</w:t>
      </w:r>
      <w:r w:rsidRPr="004D1BAB">
        <w:t>équipement GPL lus à l</w:t>
      </w:r>
      <w:r>
        <w:t>’</w:t>
      </w:r>
      <w:r w:rsidRPr="004D1BAB">
        <w:t>aide d</w:t>
      </w:r>
      <w:r>
        <w:t>’</w:t>
      </w:r>
      <w:r w:rsidRPr="004D1BAB">
        <w:t>un outil d</w:t>
      </w:r>
      <w:r>
        <w:t>’</w:t>
      </w:r>
      <w:r w:rsidRPr="004D1BAB">
        <w:t>analyse approprié, à condition que la fiabilité de ces signaux ait été préalablement vérifiée.</w:t>
      </w:r>
      <w:bookmarkEnd w:id="255"/>
    </w:p>
    <w:p w:rsidR="002875EA" w:rsidRPr="004D1BAB" w:rsidRDefault="002875EA" w:rsidP="008270FA">
      <w:pPr>
        <w:pStyle w:val="SingleTxtG"/>
        <w:spacing w:after="100" w:line="220" w:lineRule="atLeast"/>
        <w:ind w:left="2835" w:hanging="567"/>
      </w:pPr>
      <w:bookmarkStart w:id="256" w:name="bookmark_280"/>
      <w:r w:rsidRPr="004D1BAB">
        <w:t>L</w:t>
      </w:r>
      <w:r>
        <w:t>’</w:t>
      </w:r>
      <w:r w:rsidRPr="004D1BAB">
        <w:t>essai doit aussi être répété au régime de ralenti le plus élevé.</w:t>
      </w:r>
      <w:bookmarkEnd w:id="256"/>
    </w:p>
    <w:p w:rsidR="002875EA" w:rsidRPr="004D1BAB" w:rsidRDefault="002875EA" w:rsidP="008270FA">
      <w:pPr>
        <w:pStyle w:val="SingleTxtG"/>
        <w:keepNext/>
        <w:keepLines/>
        <w:spacing w:after="100" w:line="220" w:lineRule="atLeast"/>
        <w:ind w:left="2268" w:hanging="1134"/>
      </w:pPr>
      <w:bookmarkStart w:id="257" w:name="bookmark_281"/>
      <w:r>
        <w:t>6.3</w:t>
      </w:r>
      <w:r w:rsidRPr="004D1BAB">
        <w:tab/>
        <w:t>Afin de mesurer le volume de carburant liquide qui reflue durant les opérations de changement de mode, il convient de réaliser l</w:t>
      </w:r>
      <w:r>
        <w:t>’</w:t>
      </w:r>
      <w:r w:rsidRPr="004D1BAB">
        <w:t>essai décrit ci</w:t>
      </w:r>
      <w:r>
        <w:noBreakHyphen/>
      </w:r>
      <w:r w:rsidRPr="004D1BAB">
        <w:t>après</w:t>
      </w:r>
      <w:bookmarkEnd w:id="257"/>
      <w:r>
        <w:t> :</w:t>
      </w:r>
    </w:p>
    <w:p w:rsidR="002875EA" w:rsidRPr="004D1BAB" w:rsidRDefault="002875EA" w:rsidP="008270FA">
      <w:pPr>
        <w:pStyle w:val="SingleTxtG"/>
        <w:spacing w:after="100" w:line="220" w:lineRule="atLeast"/>
        <w:ind w:left="2835" w:hanging="567"/>
      </w:pPr>
      <w:bookmarkStart w:id="258" w:name="bookmark_282"/>
      <w:r w:rsidRPr="004D1BAB">
        <w:t>a)</w:t>
      </w:r>
      <w:r w:rsidRPr="004D1BAB">
        <w:tab/>
        <w:t>Installer sur un véhicule l</w:t>
      </w:r>
      <w:r>
        <w:t>’</w:t>
      </w:r>
      <w:r w:rsidRPr="004D1BAB">
        <w:t>équipement GPL sans le réservoir</w:t>
      </w:r>
      <w:bookmarkEnd w:id="258"/>
      <w:r>
        <w:t> ;</w:t>
      </w:r>
    </w:p>
    <w:p w:rsidR="002875EA" w:rsidRPr="004D1BAB" w:rsidRDefault="002875EA" w:rsidP="008270FA">
      <w:pPr>
        <w:pStyle w:val="SingleTxtG"/>
        <w:spacing w:after="100" w:line="220" w:lineRule="atLeast"/>
        <w:ind w:left="2835" w:hanging="567"/>
      </w:pPr>
      <w:bookmarkStart w:id="259" w:name="bookmark_283"/>
      <w:r w:rsidRPr="004D1BAB">
        <w:t>b)</w:t>
      </w:r>
      <w:r w:rsidRPr="004D1BAB">
        <w:tab/>
        <w:t>Placer le réservoir à GPL sur un appareil de pesée et le remplir</w:t>
      </w:r>
      <w:bookmarkEnd w:id="259"/>
      <w:r>
        <w:t> ;</w:t>
      </w:r>
    </w:p>
    <w:p w:rsidR="002875EA" w:rsidRPr="004D1BAB" w:rsidRDefault="002875EA" w:rsidP="008270FA">
      <w:pPr>
        <w:pStyle w:val="SingleTxtG"/>
        <w:spacing w:after="100" w:line="220" w:lineRule="atLeast"/>
        <w:ind w:left="2835" w:hanging="567"/>
      </w:pPr>
      <w:bookmarkStart w:id="260" w:name="bookmark_284"/>
      <w:r w:rsidRPr="004D1BAB">
        <w:t>c)</w:t>
      </w:r>
      <w:r w:rsidRPr="004D1BAB">
        <w:tab/>
        <w:t>Après avoir mis en pression l</w:t>
      </w:r>
      <w:r>
        <w:t>’</w:t>
      </w:r>
      <w:r w:rsidRPr="004D1BAB">
        <w:t>équipement GPL jusqu</w:t>
      </w:r>
      <w:r>
        <w:t>’</w:t>
      </w:r>
      <w:r w:rsidRPr="004D1BAB">
        <w:t>aux conditions normales de fonctionnement, relever le poids indiqué par l</w:t>
      </w:r>
      <w:r>
        <w:t>’</w:t>
      </w:r>
      <w:r w:rsidRPr="004D1BAB">
        <w:t>appareil de pesée (W1)</w:t>
      </w:r>
      <w:bookmarkEnd w:id="260"/>
      <w:r>
        <w:t> ;</w:t>
      </w:r>
    </w:p>
    <w:p w:rsidR="002875EA" w:rsidRPr="004D1BAB" w:rsidRDefault="002875EA" w:rsidP="008270FA">
      <w:pPr>
        <w:pStyle w:val="SingleTxtG"/>
        <w:spacing w:after="100" w:line="220" w:lineRule="atLeast"/>
        <w:ind w:left="2835" w:hanging="567"/>
      </w:pPr>
      <w:bookmarkStart w:id="261" w:name="bookmark_285"/>
      <w:r w:rsidRPr="004D1BAB">
        <w:t>d)</w:t>
      </w:r>
      <w:r w:rsidRPr="004D1BAB">
        <w:tab/>
        <w:t>Désactiver le module de commande électronique décrit au paragraphe</w:t>
      </w:r>
      <w:r>
        <w:t> </w:t>
      </w:r>
      <w:r w:rsidRPr="004D1BAB">
        <w:t>6 ci-dessus</w:t>
      </w:r>
      <w:bookmarkEnd w:id="261"/>
      <w:r>
        <w:t> ;</w:t>
      </w:r>
    </w:p>
    <w:p w:rsidR="002875EA" w:rsidRPr="004D1BAB" w:rsidRDefault="002875EA" w:rsidP="008270FA">
      <w:pPr>
        <w:pStyle w:val="SingleTxtG"/>
        <w:spacing w:after="100" w:line="220" w:lineRule="atLeast"/>
        <w:ind w:left="2835" w:hanging="567"/>
      </w:pPr>
      <w:bookmarkStart w:id="262" w:name="bookmark_286"/>
      <w:r w:rsidRPr="004D1BAB">
        <w:t>e)</w:t>
      </w:r>
      <w:r w:rsidRPr="004D1BAB">
        <w:tab/>
        <w:t>Passer du mode GPL au mode essence et inversement au moins 10</w:t>
      </w:r>
      <w:r>
        <w:t> </w:t>
      </w:r>
      <w:r w:rsidRPr="004D1BAB">
        <w:t>fois de suite</w:t>
      </w:r>
      <w:bookmarkEnd w:id="262"/>
      <w:r>
        <w:t> ;</w:t>
      </w:r>
    </w:p>
    <w:p w:rsidR="002875EA" w:rsidRPr="004D1BAB" w:rsidRDefault="002875EA" w:rsidP="008270FA">
      <w:pPr>
        <w:pStyle w:val="SingleTxtG"/>
        <w:spacing w:after="100" w:line="220" w:lineRule="atLeast"/>
        <w:ind w:left="2835" w:hanging="567"/>
      </w:pPr>
      <w:bookmarkStart w:id="263" w:name="bookmark_287"/>
      <w:r w:rsidRPr="004D1BAB">
        <w:t>f)</w:t>
      </w:r>
      <w:r w:rsidRPr="004D1BAB">
        <w:tab/>
        <w:t>Relever le poids indiqué par l</w:t>
      </w:r>
      <w:r>
        <w:t>’</w:t>
      </w:r>
      <w:r w:rsidRPr="004D1BAB">
        <w:t>appareil de pesée (W2).</w:t>
      </w:r>
      <w:bookmarkEnd w:id="263"/>
    </w:p>
    <w:p w:rsidR="002875EA" w:rsidRPr="00FF328B" w:rsidRDefault="002875EA" w:rsidP="008270FA">
      <w:pPr>
        <w:pStyle w:val="SingleTxtG"/>
        <w:spacing w:after="100" w:line="220" w:lineRule="atLeast"/>
        <w:ind w:left="2268" w:hanging="1134"/>
        <w:rPr>
          <w:bCs/>
        </w:rPr>
      </w:pPr>
      <w:bookmarkStart w:id="264" w:name="bookmark_288"/>
      <w:r>
        <w:tab/>
      </w:r>
      <w:r w:rsidRPr="004D1BAB">
        <w:t>Le volume d</w:t>
      </w:r>
      <w:r>
        <w:t>’</w:t>
      </w:r>
      <w:r w:rsidRPr="004D1BAB">
        <w:t>essence reflué par opération de changement de mode est calculé comme suit</w:t>
      </w:r>
      <w:bookmarkEnd w:id="264"/>
      <w:r>
        <w:t> :</w:t>
      </w:r>
    </w:p>
    <w:p w:rsidR="002875EA" w:rsidRPr="00FF328B" w:rsidRDefault="002875EA" w:rsidP="008270FA">
      <w:pPr>
        <w:pStyle w:val="SingleTxtG"/>
        <w:tabs>
          <w:tab w:val="left" w:pos="2977"/>
        </w:tabs>
        <w:spacing w:after="100" w:line="220" w:lineRule="atLeast"/>
        <w:ind w:left="2977" w:hanging="709"/>
      </w:pPr>
      <w:bookmarkStart w:id="265" w:name="bookmark_289"/>
      <w:proofErr w:type="spellStart"/>
      <w:r>
        <w:t>Vsw</w:t>
      </w:r>
      <w:proofErr w:type="spellEnd"/>
      <w:r>
        <w:t xml:space="preserve"> </w:t>
      </w:r>
      <w:r>
        <w:tab/>
        <w:t xml:space="preserve">   =</w:t>
      </w:r>
      <w:r w:rsidR="00EF3B43">
        <w:tab/>
      </w:r>
      <w:r>
        <w:t>(W2-W1) / #SW / </w:t>
      </w:r>
      <w:proofErr w:type="spellStart"/>
      <w:r w:rsidRPr="00FF328B">
        <w:t>Dessence</w:t>
      </w:r>
      <w:bookmarkEnd w:id="265"/>
      <w:proofErr w:type="spellEnd"/>
    </w:p>
    <w:p w:rsidR="002875EA" w:rsidRPr="00FF328B" w:rsidRDefault="002875EA" w:rsidP="008270FA">
      <w:pPr>
        <w:pStyle w:val="SingleTxtG"/>
        <w:spacing w:after="100" w:line="220" w:lineRule="atLeast"/>
        <w:ind w:left="2268"/>
      </w:pPr>
      <w:bookmarkStart w:id="266" w:name="bookmark_290"/>
      <w:proofErr w:type="gramStart"/>
      <w:r w:rsidRPr="00FF328B">
        <w:t>où</w:t>
      </w:r>
      <w:proofErr w:type="gramEnd"/>
      <w:r w:rsidRPr="00FF328B">
        <w:t xml:space="preserve"> :</w:t>
      </w:r>
      <w:bookmarkEnd w:id="266"/>
    </w:p>
    <w:p w:rsidR="002875EA" w:rsidRPr="00FF328B" w:rsidRDefault="00EF3B43" w:rsidP="008270FA">
      <w:pPr>
        <w:pStyle w:val="SingleTxtG"/>
        <w:spacing w:after="100" w:line="220" w:lineRule="atLeast"/>
        <w:ind w:left="2268"/>
      </w:pPr>
      <w:bookmarkStart w:id="267" w:name="bookmark_291"/>
      <w:proofErr w:type="spellStart"/>
      <w:proofErr w:type="gramStart"/>
      <w:r>
        <w:t>Dessence</w:t>
      </w:r>
      <w:proofErr w:type="spellEnd"/>
      <w:r>
        <w:t xml:space="preserve">  =</w:t>
      </w:r>
      <w:proofErr w:type="gramEnd"/>
      <w:r>
        <w:tab/>
      </w:r>
      <w:r w:rsidR="002875EA">
        <w:t>743 kg/m</w:t>
      </w:r>
      <w:r w:rsidR="002875EA" w:rsidRPr="002134DD">
        <w:rPr>
          <w:vertAlign w:val="superscript"/>
        </w:rPr>
        <w:t>3</w:t>
      </w:r>
      <w:r w:rsidR="002875EA">
        <w:t> </w:t>
      </w:r>
      <w:r w:rsidR="002875EA" w:rsidRPr="00FF328B">
        <w:t>;</w:t>
      </w:r>
      <w:bookmarkEnd w:id="267"/>
    </w:p>
    <w:p w:rsidR="002875EA" w:rsidRPr="00FF328B" w:rsidRDefault="002875EA" w:rsidP="00EF3B43">
      <w:pPr>
        <w:pStyle w:val="SingleTxtG"/>
        <w:tabs>
          <w:tab w:val="left" w:pos="2977"/>
        </w:tabs>
        <w:spacing w:after="100" w:line="220" w:lineRule="atLeast"/>
        <w:ind w:left="3402" w:hanging="1134"/>
      </w:pPr>
      <w:bookmarkStart w:id="268" w:name="bookmark_292"/>
      <w:r w:rsidRPr="00FF328B">
        <w:t xml:space="preserve">#SW </w:t>
      </w:r>
      <w:r>
        <w:tab/>
        <w:t xml:space="preserve">   </w:t>
      </w:r>
      <w:r w:rsidRPr="00FF328B">
        <w:t>=</w:t>
      </w:r>
      <w:r w:rsidR="00EF3B43">
        <w:tab/>
      </w:r>
      <w:r w:rsidR="00EF3B43">
        <w:tab/>
      </w:r>
      <w:r w:rsidRPr="00FF328B">
        <w:t>nombre d</w:t>
      </w:r>
      <w:r>
        <w:t>’</w:t>
      </w:r>
      <w:r w:rsidRPr="00FF328B">
        <w:t>opérations de passage du mode GPL au mode essence et inversement durant l</w:t>
      </w:r>
      <w:r>
        <w:t>’</w:t>
      </w:r>
      <w:r w:rsidRPr="00FF328B">
        <w:t>essai.</w:t>
      </w:r>
      <w:bookmarkEnd w:id="268"/>
    </w:p>
    <w:p w:rsidR="002875EA" w:rsidRPr="00FF328B" w:rsidRDefault="002875EA" w:rsidP="008270FA">
      <w:pPr>
        <w:pStyle w:val="SingleTxtG"/>
        <w:spacing w:after="100" w:line="220" w:lineRule="atLeast"/>
        <w:ind w:left="2268"/>
      </w:pPr>
      <w:bookmarkStart w:id="269" w:name="bookmark_293"/>
      <w:r w:rsidRPr="00FF328B">
        <w:t>L</w:t>
      </w:r>
      <w:r>
        <w:t>’</w:t>
      </w:r>
      <w:r w:rsidRPr="00FF328B">
        <w:t>appareil de pesée doit avoir les caractéristiques suivantes</w:t>
      </w:r>
      <w:bookmarkEnd w:id="269"/>
      <w:r>
        <w:t> :</w:t>
      </w:r>
    </w:p>
    <w:p w:rsidR="002875EA" w:rsidRPr="00FF328B" w:rsidRDefault="002875EA" w:rsidP="008270FA">
      <w:pPr>
        <w:pStyle w:val="SingleTxtG"/>
        <w:spacing w:after="100" w:line="220" w:lineRule="atLeast"/>
        <w:ind w:left="2268"/>
      </w:pPr>
      <w:bookmarkStart w:id="270" w:name="bookmark_294"/>
      <w:r>
        <w:t>a)</w:t>
      </w:r>
      <w:r>
        <w:tab/>
        <w:t>Une précision de ±0,02 </w:t>
      </w:r>
      <w:r w:rsidRPr="00FF328B">
        <w:t>% à pleine échelle ou mieux</w:t>
      </w:r>
      <w:bookmarkEnd w:id="270"/>
      <w:r>
        <w:t> ;</w:t>
      </w:r>
    </w:p>
    <w:p w:rsidR="002875EA" w:rsidRPr="00FF328B" w:rsidRDefault="002875EA" w:rsidP="008270FA">
      <w:pPr>
        <w:pStyle w:val="SingleTxtG"/>
        <w:spacing w:after="100" w:line="220" w:lineRule="atLeast"/>
        <w:ind w:left="2268"/>
      </w:pPr>
      <w:bookmarkStart w:id="271" w:name="bookmark_295"/>
      <w:r>
        <w:t>b)</w:t>
      </w:r>
      <w:r>
        <w:tab/>
        <w:t>Une résolution de 20 g </w:t>
      </w:r>
      <w:r w:rsidRPr="00FF328B">
        <w:t>;</w:t>
      </w:r>
      <w:bookmarkEnd w:id="271"/>
    </w:p>
    <w:p w:rsidR="002875EA" w:rsidRPr="00FF328B" w:rsidRDefault="002875EA" w:rsidP="00EF3B43">
      <w:pPr>
        <w:pStyle w:val="SingleTxtG"/>
        <w:spacing w:after="100" w:line="220" w:lineRule="atLeast"/>
        <w:ind w:left="2835" w:hanging="567"/>
      </w:pPr>
      <w:bookmarkStart w:id="272" w:name="bookmark_296"/>
      <w:r w:rsidRPr="00FF328B">
        <w:t>c)</w:t>
      </w:r>
      <w:r w:rsidRPr="00FF328B">
        <w:tab/>
        <w:t>Un écart d</w:t>
      </w:r>
      <w:r>
        <w:t>’exactitude de ±2 % de la valeur lue ou de ±0,3 </w:t>
      </w:r>
      <w:r w:rsidRPr="00FF328B">
        <w:t>% de l</w:t>
      </w:r>
      <w:r>
        <w:t>’</w:t>
      </w:r>
      <w:r w:rsidRPr="00FF328B">
        <w:t>échelle, la valeur la meilleure étant retenue.</w:t>
      </w:r>
      <w:bookmarkEnd w:id="272"/>
    </w:p>
    <w:p w:rsidR="002875EA" w:rsidRPr="00FF328B" w:rsidRDefault="002875EA" w:rsidP="008270FA">
      <w:pPr>
        <w:pStyle w:val="SingleTxtG"/>
        <w:keepNext/>
        <w:keepLines/>
        <w:spacing w:after="100" w:line="220" w:lineRule="atLeast"/>
        <w:ind w:left="2268" w:hanging="1134"/>
      </w:pPr>
      <w:bookmarkStart w:id="273" w:name="bookmark_297"/>
      <w:r>
        <w:t>6.4</w:t>
      </w:r>
      <w:r w:rsidRPr="00FF328B">
        <w:tab/>
        <w:t>Le module de commande électronique doit porter une marque sur laquelle les indications suivantes sont bien lisibles et indélébiles</w:t>
      </w:r>
      <w:bookmarkEnd w:id="273"/>
      <w:r>
        <w:t> :</w:t>
      </w:r>
    </w:p>
    <w:p w:rsidR="002875EA" w:rsidRPr="00FF328B" w:rsidRDefault="002875EA" w:rsidP="008270FA">
      <w:pPr>
        <w:pStyle w:val="SingleTxtG"/>
        <w:spacing w:after="100" w:line="220" w:lineRule="atLeast"/>
        <w:ind w:left="2268"/>
      </w:pPr>
      <w:bookmarkStart w:id="274" w:name="bookmark_298"/>
      <w:r>
        <w:t>a)</w:t>
      </w:r>
      <w:r>
        <w:tab/>
        <w:t>La mention “ICS” </w:t>
      </w:r>
      <w:r w:rsidRPr="00FF328B">
        <w:t>; et</w:t>
      </w:r>
      <w:bookmarkEnd w:id="274"/>
    </w:p>
    <w:p w:rsidR="002875EA" w:rsidRPr="00FF328B" w:rsidRDefault="002875EA" w:rsidP="008270FA">
      <w:pPr>
        <w:pStyle w:val="SingleTxtG"/>
        <w:spacing w:after="100" w:line="220" w:lineRule="atLeast"/>
        <w:ind w:left="2268"/>
      </w:pPr>
      <w:bookmarkStart w:id="275" w:name="bookmark_299"/>
      <w:r>
        <w:t>b)</w:t>
      </w:r>
      <w:r>
        <w:tab/>
        <w:t>La mention “0,4 litre” </w:t>
      </w:r>
      <w:r w:rsidRPr="00FF328B">
        <w:t>; et</w:t>
      </w:r>
      <w:bookmarkEnd w:id="275"/>
    </w:p>
    <w:p w:rsidR="002875EA" w:rsidRPr="00FF328B" w:rsidRDefault="002875EA" w:rsidP="008270FA">
      <w:pPr>
        <w:pStyle w:val="SingleTxtG"/>
        <w:spacing w:after="100" w:line="220" w:lineRule="atLeast"/>
        <w:ind w:left="2835" w:hanging="567"/>
      </w:pPr>
      <w:bookmarkStart w:id="276" w:name="bookmark_300"/>
      <w:r w:rsidRPr="00FF328B">
        <w:t>c)</w:t>
      </w:r>
      <w:r w:rsidRPr="00FF328B">
        <w:tab/>
        <w:t>La marque d</w:t>
      </w:r>
      <w:r>
        <w:t>’</w:t>
      </w:r>
      <w:r w:rsidRPr="00FF328B">
        <w:t>homologation conformément au paragraphe</w:t>
      </w:r>
      <w:r>
        <w:t> </w:t>
      </w:r>
      <w:r w:rsidRPr="00FF328B">
        <w:t>5.4 du présent Règlement.</w:t>
      </w:r>
      <w:bookmarkEnd w:id="276"/>
      <w:r>
        <w:t> »</w:t>
      </w:r>
      <w:r w:rsidR="00EF3B43">
        <w:t>.</w:t>
      </w:r>
    </w:p>
    <w:p w:rsidR="002875EA" w:rsidRPr="00FF328B" w:rsidRDefault="002875EA" w:rsidP="008270FA">
      <w:pPr>
        <w:pStyle w:val="SingleTxtG"/>
        <w:keepNext/>
        <w:keepLines/>
        <w:spacing w:after="100" w:line="220" w:lineRule="atLeast"/>
        <w:rPr>
          <w:rFonts w:eastAsia="MS Mincho"/>
          <w:bCs/>
          <w:spacing w:val="-2"/>
        </w:rPr>
      </w:pPr>
      <w:bookmarkStart w:id="277" w:name="bookmark_301"/>
      <w:r>
        <w:rPr>
          <w:i/>
        </w:rPr>
        <w:lastRenderedPageBreak/>
        <w:t>Ajouter une nouvelle annexe </w:t>
      </w:r>
      <w:r w:rsidRPr="004D1BAB">
        <w:rPr>
          <w:i/>
        </w:rPr>
        <w:t>15</w:t>
      </w:r>
      <w:r w:rsidRPr="00FF328B">
        <w:t>, libellée comme suit</w:t>
      </w:r>
      <w:bookmarkEnd w:id="277"/>
      <w:r>
        <w:t> :</w:t>
      </w:r>
    </w:p>
    <w:p w:rsidR="002875EA" w:rsidRPr="00FF328B" w:rsidRDefault="002875EA" w:rsidP="002875EA">
      <w:pPr>
        <w:pStyle w:val="HChG"/>
        <w:spacing w:before="0" w:after="0" w:line="240" w:lineRule="atLeast"/>
        <w:rPr>
          <w:rFonts w:eastAsia="MS Mincho"/>
        </w:rPr>
      </w:pPr>
      <w:bookmarkStart w:id="278" w:name="bookmark_302"/>
      <w:r w:rsidRPr="004D1BAB">
        <w:rPr>
          <w:b w:val="0"/>
          <w:sz w:val="20"/>
        </w:rPr>
        <w:t>«</w:t>
      </w:r>
      <w:r>
        <w:rPr>
          <w:bCs/>
        </w:rPr>
        <w:t> Annexe </w:t>
      </w:r>
      <w:r w:rsidRPr="00FF328B">
        <w:rPr>
          <w:bCs/>
        </w:rPr>
        <w:t>15</w:t>
      </w:r>
      <w:bookmarkEnd w:id="278"/>
    </w:p>
    <w:p w:rsidR="002875EA" w:rsidRPr="00FF328B" w:rsidRDefault="002875EA" w:rsidP="008270FA">
      <w:pPr>
        <w:pStyle w:val="HChG"/>
        <w:rPr>
          <w:rFonts w:eastAsia="MS Mincho"/>
        </w:rPr>
      </w:pPr>
      <w:bookmarkStart w:id="279" w:name="bookmark_303"/>
      <w:r w:rsidRPr="00FF328B">
        <w:tab/>
      </w:r>
      <w:r w:rsidRPr="00FF328B">
        <w:tab/>
        <w:t>Dispositions relatives à l</w:t>
      </w:r>
      <w:r>
        <w:t>’</w:t>
      </w:r>
      <w:r w:rsidRPr="00FF328B">
        <w:t xml:space="preserve">homologation des tuyaux à gaz autres que sans soudure, des tuyaux à gaz faits </w:t>
      </w:r>
      <w:r>
        <w:br/>
      </w:r>
      <w:r w:rsidRPr="00FF328B">
        <w:t>de matériaux autres que le cuivre, l</w:t>
      </w:r>
      <w:r>
        <w:t>’</w:t>
      </w:r>
      <w:r w:rsidRPr="00FF328B">
        <w:t xml:space="preserve">acier inoxydable </w:t>
      </w:r>
      <w:r>
        <w:br/>
      </w:r>
      <w:r w:rsidRPr="00FF328B">
        <w:t>et l</w:t>
      </w:r>
      <w:r>
        <w:t>’</w:t>
      </w:r>
      <w:r w:rsidRPr="00FF328B">
        <w:t>acier avec un</w:t>
      </w:r>
      <w:r>
        <w:t> </w:t>
      </w:r>
      <w:r w:rsidRPr="00FF328B">
        <w:t xml:space="preserve">revêtement résistant à la corrosion, </w:t>
      </w:r>
      <w:r>
        <w:br/>
      </w:r>
      <w:r w:rsidRPr="00FF328B">
        <w:t>ainsi que de leurs</w:t>
      </w:r>
      <w:r>
        <w:t> </w:t>
      </w:r>
      <w:r w:rsidRPr="00FF328B">
        <w:t>raccords</w:t>
      </w:r>
      <w:bookmarkEnd w:id="279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280" w:name="bookmark_304"/>
      <w:r w:rsidRPr="00FF328B">
        <w:t>1.</w:t>
      </w:r>
      <w:r w:rsidRPr="00FF328B">
        <w:tab/>
        <w:t>Définitions</w:t>
      </w:r>
      <w:bookmarkEnd w:id="280"/>
      <w:r w:rsidRPr="00FF328B">
        <w:t> :</w:t>
      </w:r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81" w:name="bookmark_305"/>
      <w:r>
        <w:tab/>
        <w:t>Tuyau à gaz </w:t>
      </w:r>
      <w:r w:rsidRPr="00FF328B">
        <w:t>: tuyau à gaz tel qu</w:t>
      </w:r>
      <w:r>
        <w:t>’</w:t>
      </w:r>
      <w:r w:rsidRPr="00FF328B">
        <w:t>il est défini au paragraphe 2.21 du présent Règlement.</w:t>
      </w:r>
      <w:bookmarkEnd w:id="281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282" w:name="bookmark_306"/>
      <w:r w:rsidRPr="00FF328B">
        <w:t>2.</w:t>
      </w:r>
      <w:r w:rsidRPr="00FF328B">
        <w:tab/>
        <w:t>Classement de l</w:t>
      </w:r>
      <w:r>
        <w:t>’organe (selon la figure 1 du paragraphe </w:t>
      </w:r>
      <w:r w:rsidRPr="00FF328B">
        <w:t>2)</w:t>
      </w:r>
      <w:bookmarkEnd w:id="282"/>
      <w:r>
        <w:t> :</w:t>
      </w:r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83" w:name="bookmark_307"/>
      <w:r w:rsidRPr="00FF328B">
        <w:tab/>
        <w:t>Les tuyaux à gaz et leurs ra</w:t>
      </w:r>
      <w:r>
        <w:t>ccords peuvent être des classes </w:t>
      </w:r>
      <w:r w:rsidRPr="00FF328B">
        <w:t>0, 1, 2 ou 2A.</w:t>
      </w:r>
      <w:bookmarkEnd w:id="283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284" w:name="bookmark_308"/>
      <w:r>
        <w:t>3.</w:t>
      </w:r>
      <w:r>
        <w:tab/>
        <w:t>Pression de classement :</w:t>
      </w:r>
      <w:r w:rsidRPr="00FF328B">
        <w:t xml:space="preserve"> </w:t>
      </w:r>
      <w:bookmarkEnd w:id="284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85" w:name="bookmark_309"/>
      <w:r>
        <w:tab/>
        <w:t>Éléments de la classe 0 :</w:t>
      </w:r>
      <w:r w:rsidRPr="00FF328B">
        <w:tab/>
        <w:t>Pression de travail déclarée</w:t>
      </w:r>
      <w:bookmarkEnd w:id="285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86" w:name="bookmark_310"/>
      <w:r>
        <w:tab/>
        <w:t>Éléments de la classe 1 :</w:t>
      </w:r>
      <w:r w:rsidRPr="00FF328B">
        <w:tab/>
        <w:t>3 000</w:t>
      </w:r>
      <w:bookmarkEnd w:id="286"/>
      <w:r>
        <w:t xml:space="preserve"> </w:t>
      </w:r>
      <w:r w:rsidRPr="00FF328B">
        <w:t>kPa</w:t>
      </w:r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87" w:name="bookmark_311"/>
      <w:r>
        <w:tab/>
        <w:t>Éléments de la classe 2 :</w:t>
      </w:r>
      <w:r w:rsidRPr="00FF328B">
        <w:tab/>
        <w:t>450</w:t>
      </w:r>
      <w:bookmarkEnd w:id="287"/>
      <w:r>
        <w:t xml:space="preserve"> </w:t>
      </w:r>
      <w:r w:rsidRPr="00FF328B">
        <w:t>kPa</w:t>
      </w:r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88" w:name="bookmark_312"/>
      <w:r w:rsidRPr="00FF328B">
        <w:tab/>
        <w:t xml:space="preserve">Éléments de la classe </w:t>
      </w:r>
      <w:r>
        <w:t>2A :</w:t>
      </w:r>
      <w:r w:rsidRPr="00FF328B">
        <w:tab/>
        <w:t>120</w:t>
      </w:r>
      <w:bookmarkEnd w:id="288"/>
      <w:r>
        <w:t xml:space="preserve"> </w:t>
      </w:r>
      <w:r w:rsidRPr="00FF328B">
        <w:t>kPa</w:t>
      </w:r>
    </w:p>
    <w:p w:rsidR="002875EA" w:rsidRPr="00F52623" w:rsidRDefault="002875EA" w:rsidP="002875EA">
      <w:pPr>
        <w:pStyle w:val="SingleTxtG"/>
        <w:keepNext/>
        <w:keepLines/>
        <w:ind w:left="2268" w:hanging="1134"/>
      </w:pPr>
      <w:bookmarkStart w:id="289" w:name="bookmark_313"/>
      <w:r w:rsidRPr="00FF328B">
        <w:t>4.</w:t>
      </w:r>
      <w:r w:rsidRPr="00FF328B">
        <w:tab/>
        <w:t>Températures nominales</w:t>
      </w:r>
      <w:bookmarkEnd w:id="289"/>
      <w:r>
        <w:t> :</w:t>
      </w:r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90" w:name="bookmark_314"/>
      <w:r>
        <w:tab/>
        <w:t>-20 °C à 120 </w:t>
      </w:r>
      <w:r w:rsidRPr="00FF328B">
        <w:t>°C</w:t>
      </w:r>
      <w:bookmarkEnd w:id="290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91" w:name="bookmark_315"/>
      <w:r w:rsidRPr="00FF328B">
        <w:tab/>
        <w:t>Pour les températures inférieures ou supérieures aux valeurs susmentionnées, des conditions d</w:t>
      </w:r>
      <w:r>
        <w:t>’</w:t>
      </w:r>
      <w:r w:rsidRPr="00FF328B">
        <w:t>épreuve spéciales sont applicables.</w:t>
      </w:r>
      <w:bookmarkEnd w:id="291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292" w:name="bookmark_316"/>
      <w:r w:rsidRPr="00FF328B">
        <w:t>5.</w:t>
      </w:r>
      <w:r w:rsidRPr="00FF328B">
        <w:tab/>
        <w:t>Règles générales de construction :</w:t>
      </w:r>
      <w:bookmarkEnd w:id="292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93" w:name="bookmark_317"/>
      <w:r w:rsidRPr="00FF328B">
        <w:tab/>
        <w:t>Les raccords doivent être compatibles avec les tuyaux à gaz.</w:t>
      </w:r>
      <w:bookmarkEnd w:id="293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94" w:name="bookmark_318"/>
      <w:r w:rsidRPr="00FF328B">
        <w:tab/>
        <w:t>Il faut veiller tout particulièrement à éviter la corrosion galvanique.</w:t>
      </w:r>
      <w:bookmarkEnd w:id="294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95" w:name="bookmark_319"/>
      <w:r w:rsidRPr="00FF328B">
        <w:tab/>
        <w:t>Des tuyaux à gaz en acier inoxydable ne doivent être utilisés qu</w:t>
      </w:r>
      <w:r>
        <w:t>’</w:t>
      </w:r>
      <w:r w:rsidRPr="00FF328B">
        <w:t>en association avec des raccords en acier inoxydable.</w:t>
      </w:r>
      <w:bookmarkEnd w:id="295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296" w:name="bookmark_320"/>
      <w:r w:rsidRPr="00FF328B">
        <w:tab/>
        <w:t>Seules les soudures longitudinales droites (dans la direction du tuyau) sont autorisées dans des tuyaux à gaz autres que sans soudure.</w:t>
      </w:r>
      <w:bookmarkEnd w:id="296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297" w:name="bookmark_321"/>
      <w:r w:rsidRPr="00FF328B">
        <w:t>6.</w:t>
      </w:r>
      <w:r w:rsidRPr="00FF328B">
        <w:tab/>
        <w:t>Méthodes d</w:t>
      </w:r>
      <w:r>
        <w:t>’</w:t>
      </w:r>
      <w:r w:rsidRPr="00FF328B">
        <w:t>épreuve applicables</w:t>
      </w:r>
      <w:bookmarkEnd w:id="297"/>
      <w:r>
        <w:t> :</w:t>
      </w:r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298" w:name="bookmark_322"/>
      <w:r>
        <w:t>6.1</w:t>
      </w:r>
      <w:r w:rsidRPr="00FF328B">
        <w:tab/>
        <w:t>Pour les éléments des classes 0 et 1</w:t>
      </w:r>
      <w:bookmarkEnd w:id="298"/>
      <w:r>
        <w:t> :</w:t>
      </w:r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299" w:name="bookmark_323"/>
      <w:r>
        <w:t>Surpression</w:t>
      </w:r>
      <w:r>
        <w:tab/>
      </w:r>
      <w:r>
        <w:tab/>
        <w:t>Annexe 16, paragraphe </w:t>
      </w:r>
      <w:r w:rsidRPr="00FF328B">
        <w:t>4.</w:t>
      </w:r>
      <w:bookmarkEnd w:id="299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00" w:name="bookmark_324"/>
      <w:r w:rsidRPr="00FF328B">
        <w:t>Étanchéité vers l</w:t>
      </w:r>
      <w:r>
        <w:t>’</w:t>
      </w:r>
      <w:r w:rsidRPr="00FF328B">
        <w:t>extérieur</w:t>
      </w:r>
      <w:r w:rsidRPr="00FF328B">
        <w:tab/>
      </w:r>
      <w:r w:rsidRPr="00FF328B">
        <w:tab/>
        <w:t xml:space="preserve">Annexe 16, </w:t>
      </w:r>
      <w:r>
        <w:t>paragraphe </w:t>
      </w:r>
      <w:r w:rsidRPr="00FF328B">
        <w:t>5.</w:t>
      </w:r>
      <w:bookmarkEnd w:id="300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01" w:name="bookmark_325"/>
      <w:r w:rsidRPr="00FF328B">
        <w:t>Haute température</w:t>
      </w:r>
      <w:r w:rsidRPr="00FF328B">
        <w:tab/>
      </w:r>
      <w:r w:rsidRPr="00FF328B">
        <w:tab/>
        <w:t xml:space="preserve">Annexe 16, </w:t>
      </w:r>
      <w:r>
        <w:t>paragraphe </w:t>
      </w:r>
      <w:r w:rsidRPr="00FF328B">
        <w:t>6.</w:t>
      </w:r>
      <w:bookmarkEnd w:id="301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02" w:name="bookmark_326"/>
      <w:r w:rsidRPr="00FF328B">
        <w:t>Basse température</w:t>
      </w:r>
      <w:r w:rsidRPr="00FF328B">
        <w:tab/>
      </w:r>
      <w:r w:rsidRPr="00FF328B">
        <w:tab/>
        <w:t xml:space="preserve">Annexe 16, </w:t>
      </w:r>
      <w:r>
        <w:t>paragraphe </w:t>
      </w:r>
      <w:r w:rsidRPr="00FF328B">
        <w:t>7.</w:t>
      </w:r>
      <w:bookmarkEnd w:id="302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03" w:name="bookmark_327"/>
      <w:r w:rsidRPr="00FF328B">
        <w:t>Compatibilité avec le GPL</w:t>
      </w:r>
      <w:r w:rsidRPr="00FF328B">
        <w:tab/>
      </w:r>
      <w:r w:rsidRPr="00FF328B">
        <w:tab/>
        <w:t xml:space="preserve">Annexe 16, </w:t>
      </w:r>
      <w:r>
        <w:t>paragraphe </w:t>
      </w:r>
      <w:r w:rsidRPr="00FF328B">
        <w:t>11</w:t>
      </w:r>
      <w:r w:rsidR="008270FA" w:rsidRPr="008270FA">
        <w:rPr>
          <w:rStyle w:val="FootnoteReference"/>
          <w:sz w:val="20"/>
          <w:vertAlign w:val="baseline"/>
        </w:rPr>
        <w:footnoteReference w:customMarkFollows="1" w:id="3"/>
        <w:t>**</w:t>
      </w:r>
      <w:r w:rsidRPr="00FF328B">
        <w:t>.</w:t>
      </w:r>
      <w:bookmarkEnd w:id="303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04" w:name="bookmark_328"/>
      <w:r w:rsidRPr="00FF328B">
        <w:t>Résistance à la corrosion</w:t>
      </w:r>
      <w:r w:rsidRPr="00FF328B">
        <w:tab/>
        <w:t xml:space="preserve">Annexe 16, </w:t>
      </w:r>
      <w:r>
        <w:t>paragraphe </w:t>
      </w:r>
      <w:r w:rsidRPr="00FF328B">
        <w:t>12</w:t>
      </w:r>
      <w:r w:rsidRPr="00A946E4">
        <w:rPr>
          <w:rStyle w:val="FootnoteReference"/>
        </w:rPr>
        <w:footnoteReference w:id="4"/>
      </w:r>
      <w:r w:rsidRPr="00FF328B">
        <w:t>.</w:t>
      </w:r>
      <w:bookmarkEnd w:id="304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05" w:name="bookmark_330"/>
      <w:r w:rsidRPr="00FF328B">
        <w:t>Résistance à la chaleur sèche</w:t>
      </w:r>
      <w:r w:rsidRPr="00FF328B">
        <w:tab/>
        <w:t xml:space="preserve">Annexe 16, </w:t>
      </w:r>
      <w:r>
        <w:t>paragraphe </w:t>
      </w:r>
      <w:r w:rsidRPr="00FF328B">
        <w:t>13</w:t>
      </w:r>
      <w:r w:rsidRPr="008270FA">
        <w:rPr>
          <w:rStyle w:val="FootnoteReference"/>
          <w:sz w:val="20"/>
          <w:vertAlign w:val="baseline"/>
        </w:rPr>
        <w:t>**</w:t>
      </w:r>
      <w:r w:rsidRPr="00FF328B">
        <w:t>.</w:t>
      </w:r>
      <w:bookmarkEnd w:id="305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06" w:name="bookmark_331"/>
      <w:r w:rsidRPr="00FF328B">
        <w:t>Tenue à l</w:t>
      </w:r>
      <w:r>
        <w:t>’</w:t>
      </w:r>
      <w:r w:rsidRPr="00FF328B">
        <w:t>oz</w:t>
      </w:r>
      <w:r>
        <w:t>one</w:t>
      </w:r>
      <w:r>
        <w:tab/>
      </w:r>
      <w:r>
        <w:tab/>
        <w:t>Annexe 16, paragraphe </w:t>
      </w:r>
      <w:r w:rsidRPr="00FF328B">
        <w:t>14</w:t>
      </w:r>
      <w:r w:rsidR="008270FA" w:rsidRPr="008270FA">
        <w:rPr>
          <w:rStyle w:val="FootnoteReference"/>
          <w:sz w:val="20"/>
          <w:vertAlign w:val="baseline"/>
        </w:rPr>
        <w:t>**</w:t>
      </w:r>
      <w:r w:rsidRPr="00FF328B">
        <w:t>.</w:t>
      </w:r>
      <w:bookmarkEnd w:id="306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307" w:name="bookmark_332"/>
      <w:r>
        <w:lastRenderedPageBreak/>
        <w:t>6.2</w:t>
      </w:r>
      <w:r w:rsidRPr="00FF328B">
        <w:tab/>
        <w:t>Pour l</w:t>
      </w:r>
      <w:r>
        <w:t>es éléments des classes 2 ou 2A </w:t>
      </w:r>
      <w:r w:rsidRPr="00FF328B">
        <w:t>:</w:t>
      </w:r>
      <w:bookmarkEnd w:id="307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08" w:name="bookmark_333"/>
      <w:r w:rsidRPr="00FF328B">
        <w:t>Surpression</w:t>
      </w:r>
      <w:r w:rsidRPr="00FF328B">
        <w:tab/>
      </w:r>
      <w:r w:rsidRPr="00FF328B">
        <w:tab/>
        <w:t xml:space="preserve">Annexe 16, </w:t>
      </w:r>
      <w:r>
        <w:t>paragraphe </w:t>
      </w:r>
      <w:r w:rsidRPr="00FF328B">
        <w:t>4.</w:t>
      </w:r>
      <w:bookmarkEnd w:id="308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09" w:name="bookmark_334"/>
      <w:r w:rsidRPr="00FF328B">
        <w:t>Étanchéité vers l</w:t>
      </w:r>
      <w:r>
        <w:t>’</w:t>
      </w:r>
      <w:r w:rsidRPr="00FF328B">
        <w:t>extérieur</w:t>
      </w:r>
      <w:r w:rsidRPr="00FF328B">
        <w:tab/>
      </w:r>
      <w:r w:rsidRPr="00FF328B">
        <w:tab/>
        <w:t xml:space="preserve">Annexe 16, </w:t>
      </w:r>
      <w:r>
        <w:t>paragraphe </w:t>
      </w:r>
      <w:r w:rsidRPr="00FF328B">
        <w:t>5.</w:t>
      </w:r>
      <w:bookmarkEnd w:id="309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10" w:name="bookmark_335"/>
      <w:r w:rsidRPr="00FF328B">
        <w:t>Haute température</w:t>
      </w:r>
      <w:r w:rsidRPr="00FF328B">
        <w:tab/>
      </w:r>
      <w:r w:rsidRPr="00FF328B">
        <w:tab/>
        <w:t xml:space="preserve">Annexe 16, </w:t>
      </w:r>
      <w:r>
        <w:t>paragraphe </w:t>
      </w:r>
      <w:r w:rsidRPr="00FF328B">
        <w:t>6.</w:t>
      </w:r>
      <w:bookmarkEnd w:id="310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11" w:name="bookmark_336"/>
      <w:r w:rsidRPr="00FF328B">
        <w:t>Basse température</w:t>
      </w:r>
      <w:r w:rsidRPr="00FF328B">
        <w:tab/>
      </w:r>
      <w:r w:rsidRPr="00FF328B">
        <w:tab/>
        <w:t xml:space="preserve">Annexe 16, </w:t>
      </w:r>
      <w:r>
        <w:t>paragraphe </w:t>
      </w:r>
      <w:r w:rsidRPr="00FF328B">
        <w:t>7.</w:t>
      </w:r>
      <w:bookmarkEnd w:id="311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12" w:name="bookmark_337"/>
      <w:r w:rsidRPr="00FF328B">
        <w:t>Compatibilité avec le GPL</w:t>
      </w:r>
      <w:r w:rsidRPr="00FF328B">
        <w:tab/>
      </w:r>
      <w:r w:rsidRPr="00FF328B">
        <w:tab/>
        <w:t xml:space="preserve">Annexe 16, </w:t>
      </w:r>
      <w:r>
        <w:t>paragraphe </w:t>
      </w:r>
      <w:r w:rsidRPr="00FF328B">
        <w:t>11</w:t>
      </w:r>
      <w:r w:rsidR="008270FA" w:rsidRPr="008270FA">
        <w:rPr>
          <w:rStyle w:val="FootnoteReference"/>
          <w:sz w:val="20"/>
          <w:vertAlign w:val="baseline"/>
        </w:rPr>
        <w:t>**</w:t>
      </w:r>
      <w:r w:rsidRPr="00FF328B">
        <w:t>.</w:t>
      </w:r>
      <w:bookmarkEnd w:id="312"/>
    </w:p>
    <w:p w:rsidR="002875EA" w:rsidRPr="00FF328B" w:rsidRDefault="002875EA" w:rsidP="002875EA">
      <w:pPr>
        <w:pStyle w:val="SingleTxtG"/>
        <w:tabs>
          <w:tab w:val="left" w:pos="5103"/>
        </w:tabs>
        <w:ind w:left="3402" w:hanging="1134"/>
        <w:rPr>
          <w:rFonts w:eastAsia="MS Mincho"/>
          <w:bCs/>
          <w:spacing w:val="-2"/>
        </w:rPr>
      </w:pPr>
      <w:bookmarkStart w:id="313" w:name="bookmark_338"/>
      <w:r w:rsidRPr="00FF328B">
        <w:t>Résistance à la corrosion</w:t>
      </w:r>
      <w:r w:rsidRPr="00FF328B">
        <w:tab/>
        <w:t xml:space="preserve">Annexe 16, </w:t>
      </w:r>
      <w:r>
        <w:t>paragraphe </w:t>
      </w:r>
      <w:r w:rsidRPr="00FF328B">
        <w:t>12</w:t>
      </w:r>
      <w:r w:rsidRPr="00AC51DD">
        <w:rPr>
          <w:rStyle w:val="FootnoteReference"/>
        </w:rPr>
        <w:footnoteReference w:id="5"/>
      </w:r>
      <w:r w:rsidRPr="00FF328B">
        <w:t>.</w:t>
      </w:r>
      <w:bookmarkEnd w:id="313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314" w:name="bookmark_341"/>
      <w:r>
        <w:t>6.3</w:t>
      </w:r>
      <w:r w:rsidRPr="00FF328B">
        <w:tab/>
        <w:t>Prescriptions spécifiques pour les tuyaux à gaz et leurs raccords</w:t>
      </w:r>
      <w:bookmarkEnd w:id="314"/>
      <w:r>
        <w:t> :</w:t>
      </w:r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315" w:name="bookmark_342"/>
      <w:r>
        <w:t>6.3.1</w:t>
      </w:r>
      <w:r w:rsidRPr="00FF328B">
        <w:tab/>
      </w:r>
      <w:bookmarkEnd w:id="315"/>
      <w:r w:rsidRPr="00FF328B">
        <w:t>Épreuve d</w:t>
      </w:r>
      <w:r>
        <w:t>’</w:t>
      </w:r>
      <w:r w:rsidRPr="00FF328B">
        <w:t>endurance</w:t>
      </w:r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316" w:name="bookmark_343"/>
      <w:r w:rsidRPr="00FF328B">
        <w:tab/>
        <w:t>Les tuyaux à gaz et leurs raccords doivent être soumis à une épreuve d</w:t>
      </w:r>
      <w:r>
        <w:t>’</w:t>
      </w:r>
      <w:r w:rsidRPr="00FF328B">
        <w:t xml:space="preserve">endurance </w:t>
      </w:r>
      <w:r>
        <w:t>de 100 </w:t>
      </w:r>
      <w:r w:rsidRPr="00FF328B">
        <w:t>000 cycles.</w:t>
      </w:r>
      <w:bookmarkEnd w:id="316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317" w:name="bookmark_344"/>
      <w:r w:rsidRPr="00FF328B">
        <w:tab/>
        <w:t>Un cycle consiste en l</w:t>
      </w:r>
      <w:r>
        <w:t>’</w:t>
      </w:r>
      <w:r w:rsidRPr="00FF328B">
        <w:t>application d</w:t>
      </w:r>
      <w:r>
        <w:t>’</w:t>
      </w:r>
      <w:r w:rsidRPr="00FF328B">
        <w:t>une pres</w:t>
      </w:r>
      <w:r>
        <w:t>sion progressive à partir de 15 </w:t>
      </w:r>
      <w:r w:rsidRPr="00FF328B">
        <w:t>% de la pression de travail.</w:t>
      </w:r>
      <w:bookmarkEnd w:id="317"/>
    </w:p>
    <w:p w:rsidR="002875EA" w:rsidRPr="00FF328B" w:rsidRDefault="002875EA" w:rsidP="002875EA">
      <w:pPr>
        <w:pStyle w:val="SingleTxtG"/>
        <w:ind w:left="2268" w:hanging="1134"/>
        <w:rPr>
          <w:rFonts w:eastAsia="MS Mincho"/>
          <w:bCs/>
          <w:spacing w:val="-2"/>
        </w:rPr>
      </w:pPr>
      <w:bookmarkStart w:id="318" w:name="bookmark_345"/>
      <w:r w:rsidRPr="00FF328B">
        <w:tab/>
        <w:t>Après l</w:t>
      </w:r>
      <w:r>
        <w:t>’</w:t>
      </w:r>
      <w:r w:rsidRPr="00FF328B">
        <w:t>épreuve d</w:t>
      </w:r>
      <w:r>
        <w:t>’</w:t>
      </w:r>
      <w:r w:rsidRPr="00FF328B">
        <w:t xml:space="preserve">endurance, les tuyaux à gaz et </w:t>
      </w:r>
      <w:proofErr w:type="gramStart"/>
      <w:r w:rsidRPr="00FF328B">
        <w:t>leur raccords</w:t>
      </w:r>
      <w:proofErr w:type="gramEnd"/>
      <w:r w:rsidRPr="00FF328B">
        <w:t xml:space="preserve"> doivent être soumis à l</w:t>
      </w:r>
      <w:r>
        <w:t>’</w:t>
      </w:r>
      <w:r w:rsidRPr="00FF328B">
        <w:t>épreuve d</w:t>
      </w:r>
      <w:r>
        <w:t>’</w:t>
      </w:r>
      <w:r w:rsidRPr="00FF328B">
        <w:t>étanchéité décrite aux paragraph</w:t>
      </w:r>
      <w:r>
        <w:t>es </w:t>
      </w:r>
      <w:r w:rsidRPr="00FF328B">
        <w:t>5, 6 et 7 de l</w:t>
      </w:r>
      <w:r>
        <w:t>’</w:t>
      </w:r>
      <w:r w:rsidRPr="00FF328B">
        <w:t>annexe</w:t>
      </w:r>
      <w:r>
        <w:t> </w:t>
      </w:r>
      <w:r w:rsidRPr="00FF328B">
        <w:t>16 et à l</w:t>
      </w:r>
      <w:r>
        <w:t>’</w:t>
      </w:r>
      <w:r w:rsidRPr="00FF328B">
        <w:t>épreuve de surpres</w:t>
      </w:r>
      <w:r>
        <w:t>sion conformément au paragraphe </w:t>
      </w:r>
      <w:r w:rsidRPr="00FF328B">
        <w:t>4 de l</w:t>
      </w:r>
      <w:r>
        <w:t>’</w:t>
      </w:r>
      <w:r w:rsidRPr="00FF328B">
        <w:t>annexe</w:t>
      </w:r>
      <w:r>
        <w:t> </w:t>
      </w:r>
      <w:r w:rsidRPr="00FF328B">
        <w:t>16.</w:t>
      </w:r>
      <w:bookmarkEnd w:id="318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319" w:name="bookmark_346"/>
      <w:r w:rsidRPr="003E25D3">
        <w:t>6.3.2</w:t>
      </w:r>
      <w:r w:rsidRPr="00FF328B">
        <w:tab/>
        <w:t>Épreuve de pliage d</w:t>
      </w:r>
      <w:r>
        <w:t>’</w:t>
      </w:r>
      <w:r w:rsidRPr="00FF328B">
        <w:t>un tuyau à gaz</w:t>
      </w:r>
      <w:bookmarkEnd w:id="319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20" w:name="bookmark_347"/>
      <w:r w:rsidRPr="00FF328B">
        <w:tab/>
        <w:t xml:space="preserve">Le tuyau à gaz doit être éprouvé selon la procédure et les critères ci-après : </w:t>
      </w:r>
      <w:bookmarkEnd w:id="320"/>
    </w:p>
    <w:p w:rsidR="002875EA" w:rsidRPr="00FF328B" w:rsidRDefault="008270FA" w:rsidP="002875EA">
      <w:pPr>
        <w:pStyle w:val="SingleTxtG"/>
        <w:ind w:left="2835" w:hanging="567"/>
        <w:rPr>
          <w:rFonts w:eastAsia="MS Mincho"/>
          <w:bCs/>
          <w:spacing w:val="-2"/>
        </w:rPr>
      </w:pPr>
      <w:bookmarkStart w:id="321" w:name="bookmark_348"/>
      <w:r>
        <w:t>a)</w:t>
      </w:r>
      <w:r w:rsidR="002875EA" w:rsidRPr="00FF328B">
        <w:tab/>
        <w:t>Sélectionner un mandrin d</w:t>
      </w:r>
      <w:r w:rsidR="002875EA">
        <w:t>’</w:t>
      </w:r>
      <w:r w:rsidR="002875EA" w:rsidRPr="00FF328B">
        <w:t>un diamètre extérieur conforme aux paramètres énoncés dans le tableau ci-dessous</w:t>
      </w:r>
      <w:bookmarkEnd w:id="321"/>
      <w:r w:rsidR="002875EA">
        <w:t> :</w:t>
      </w:r>
    </w:p>
    <w:tbl>
      <w:tblPr>
        <w:tblW w:w="6237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2875EA" w:rsidRPr="009A1E2F" w:rsidTr="002875EA">
        <w:trPr>
          <w:cantSplit/>
          <w:tblHeader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75EA" w:rsidRPr="009A1E2F" w:rsidRDefault="002875EA" w:rsidP="002875EA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bookmarkStart w:id="322" w:name="bookmark_349"/>
            <w:r w:rsidRPr="009A1E2F">
              <w:rPr>
                <w:i/>
                <w:iCs/>
                <w:sz w:val="16"/>
                <w:szCs w:val="16"/>
              </w:rPr>
              <w:t>Diamètre extérieur</w:t>
            </w:r>
            <w:bookmarkEnd w:id="322"/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75EA" w:rsidRPr="009A1E2F" w:rsidRDefault="002875EA" w:rsidP="002875EA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bookmarkStart w:id="323" w:name="bookmark_350"/>
            <w:r w:rsidRPr="009A1E2F">
              <w:rPr>
                <w:i/>
                <w:iCs/>
                <w:sz w:val="16"/>
                <w:szCs w:val="16"/>
              </w:rPr>
              <w:t>Diamètre du mandrin</w:t>
            </w:r>
            <w:bookmarkEnd w:id="323"/>
          </w:p>
        </w:tc>
      </w:tr>
      <w:tr w:rsidR="002875EA" w:rsidRPr="009A1E2F" w:rsidTr="002875EA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2875EA" w:rsidRPr="009A1E2F" w:rsidRDefault="002875EA" w:rsidP="002875EA">
            <w:pPr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bookmarkStart w:id="324" w:name="bookmark_351"/>
            <w:r w:rsidRPr="009A1E2F">
              <w:rPr>
                <w:sz w:val="18"/>
                <w:szCs w:val="18"/>
              </w:rPr>
              <w:t>≤ 8 mm</w:t>
            </w:r>
            <w:bookmarkEnd w:id="324"/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75EA" w:rsidRPr="009A1E2F" w:rsidRDefault="002875EA" w:rsidP="002875EA">
            <w:pPr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bookmarkStart w:id="325" w:name="bookmark_352"/>
            <w:r w:rsidRPr="009A1E2F">
              <w:rPr>
                <w:sz w:val="18"/>
                <w:szCs w:val="18"/>
              </w:rPr>
              <w:t>Trois fois le diamètre extérieur du tuyau à gaz</w:t>
            </w:r>
            <w:bookmarkEnd w:id="325"/>
          </w:p>
        </w:tc>
      </w:tr>
      <w:tr w:rsidR="002875EA" w:rsidRPr="009A1E2F" w:rsidTr="002875EA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875EA" w:rsidRPr="009A1E2F" w:rsidRDefault="002875EA" w:rsidP="002875EA">
            <w:pPr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bookmarkStart w:id="326" w:name="bookmark_353"/>
            <w:r w:rsidRPr="009A1E2F">
              <w:rPr>
                <w:sz w:val="18"/>
                <w:szCs w:val="18"/>
              </w:rPr>
              <w:t>˃ 8 mm</w:t>
            </w:r>
            <w:bookmarkEnd w:id="326"/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2875EA" w:rsidRPr="009A1E2F" w:rsidRDefault="002875EA" w:rsidP="002875EA">
            <w:pPr>
              <w:spacing w:before="60" w:after="60" w:line="220" w:lineRule="exact"/>
              <w:ind w:left="57" w:right="57"/>
              <w:rPr>
                <w:sz w:val="18"/>
                <w:szCs w:val="18"/>
                <w:vertAlign w:val="superscript"/>
              </w:rPr>
            </w:pPr>
            <w:bookmarkStart w:id="327" w:name="bookmark_354"/>
            <w:r w:rsidRPr="009A1E2F">
              <w:rPr>
                <w:sz w:val="18"/>
                <w:szCs w:val="18"/>
              </w:rPr>
              <w:t>Cinq fois le diamètre extérieur du tuyau à gaz</w:t>
            </w:r>
            <w:bookmarkEnd w:id="327"/>
          </w:p>
        </w:tc>
      </w:tr>
    </w:tbl>
    <w:p w:rsidR="002875EA" w:rsidRPr="00FF328B" w:rsidRDefault="008270FA" w:rsidP="002875EA">
      <w:pPr>
        <w:pStyle w:val="SingleTxtG"/>
        <w:spacing w:before="240"/>
        <w:ind w:left="2835" w:hanging="567"/>
        <w:rPr>
          <w:rFonts w:eastAsia="MS Mincho"/>
          <w:bCs/>
          <w:spacing w:val="-2"/>
        </w:rPr>
      </w:pPr>
      <w:bookmarkStart w:id="328" w:name="bookmark_355"/>
      <w:r>
        <w:t>b)</w:t>
      </w:r>
      <w:r w:rsidR="002875EA" w:rsidRPr="00FF328B">
        <w:tab/>
        <w:t xml:space="preserve">Plier une fois le tuyau à gaz sur </w:t>
      </w:r>
      <w:r w:rsidR="002875EA">
        <w:t>le mandrin de sorte à former un </w:t>
      </w:r>
      <w:r w:rsidR="002875EA" w:rsidRPr="00FF328B">
        <w:t>U</w:t>
      </w:r>
      <w:bookmarkEnd w:id="328"/>
      <w:r w:rsidR="007E08DE">
        <w:t> ;</w:t>
      </w:r>
    </w:p>
    <w:p w:rsidR="002875EA" w:rsidRPr="00FF328B" w:rsidRDefault="008270FA" w:rsidP="002875EA">
      <w:pPr>
        <w:pStyle w:val="SingleTxtG"/>
        <w:ind w:left="2835" w:hanging="567"/>
        <w:rPr>
          <w:rFonts w:eastAsia="MS Mincho"/>
          <w:bCs/>
          <w:spacing w:val="-2"/>
        </w:rPr>
      </w:pPr>
      <w:bookmarkStart w:id="329" w:name="bookmark_356"/>
      <w:r>
        <w:t>c)</w:t>
      </w:r>
      <w:r w:rsidR="002875EA" w:rsidRPr="00FF328B">
        <w:tab/>
        <w:t>Obturer le tuyau à gaz à ses extrémités et le soumettre à l</w:t>
      </w:r>
      <w:r w:rsidR="002875EA">
        <w:t>’</w:t>
      </w:r>
      <w:r w:rsidR="002875EA" w:rsidRPr="00FF328B">
        <w:t>épreuve de surpres</w:t>
      </w:r>
      <w:r w:rsidR="002875EA">
        <w:t>sion conformément au paragraphe </w:t>
      </w:r>
      <w:r w:rsidR="002875EA" w:rsidRPr="00FF328B">
        <w:t>4 de l</w:t>
      </w:r>
      <w:r w:rsidR="002875EA">
        <w:t>’annexe </w:t>
      </w:r>
      <w:r w:rsidR="002875EA" w:rsidRPr="00FF328B">
        <w:t>16.</w:t>
      </w:r>
      <w:bookmarkEnd w:id="329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30" w:name="bookmark_357"/>
      <w:r w:rsidRPr="00FF328B">
        <w:tab/>
        <w:t>Une fois cette épreuve réalisée, le tuyau à gaz doit être soumis à l</w:t>
      </w:r>
      <w:r>
        <w:t>’</w:t>
      </w:r>
      <w:r w:rsidRPr="00FF328B">
        <w:t>épreuve d</w:t>
      </w:r>
      <w:r>
        <w:t>’</w:t>
      </w:r>
      <w:r w:rsidRPr="00FF328B">
        <w:t>étanchéité décrite aux paragraphes 5, 6 et 7 de l</w:t>
      </w:r>
      <w:r>
        <w:t>’annexe </w:t>
      </w:r>
      <w:r w:rsidRPr="00FF328B">
        <w:t xml:space="preserve">16. </w:t>
      </w:r>
      <w:bookmarkEnd w:id="330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331" w:name="bookmark_358"/>
      <w:r>
        <w:t>6.3.3</w:t>
      </w:r>
      <w:r w:rsidRPr="00FF328B">
        <w:tab/>
        <w:t>Résistance à la torsion</w:t>
      </w:r>
      <w:bookmarkEnd w:id="331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32" w:name="bookmark_359"/>
      <w:r w:rsidRPr="00FF328B">
        <w:tab/>
        <w:t>Un raccord conçu pour être relié directement à des connecteurs filetés doit être capable de résister, sans se déformer, se rompre ou fuir, à un couple d</w:t>
      </w:r>
      <w:r>
        <w:t>’une valeur égale à 150 </w:t>
      </w:r>
      <w:r w:rsidRPr="00FF328B">
        <w:t>% de la valeur nominale d</w:t>
      </w:r>
      <w:r>
        <w:t>’</w:t>
      </w:r>
      <w:r w:rsidRPr="00FF328B">
        <w:t>installation spécifiée par le fabricant, selon la procédure d</w:t>
      </w:r>
      <w:r>
        <w:t>’</w:t>
      </w:r>
      <w:r w:rsidRPr="00FF328B">
        <w:t>épreuve suivante</w:t>
      </w:r>
      <w:bookmarkEnd w:id="332"/>
      <w:r>
        <w:t> :</w:t>
      </w:r>
    </w:p>
    <w:p w:rsidR="002875EA" w:rsidRPr="00FF328B" w:rsidRDefault="008270FA" w:rsidP="002875EA">
      <w:pPr>
        <w:pStyle w:val="SingleTxtG"/>
        <w:ind w:left="2835" w:hanging="567"/>
        <w:rPr>
          <w:rFonts w:eastAsia="MS Mincho"/>
          <w:bCs/>
          <w:spacing w:val="-2"/>
        </w:rPr>
      </w:pPr>
      <w:bookmarkStart w:id="333" w:name="bookmark_360"/>
      <w:r>
        <w:t>a)</w:t>
      </w:r>
      <w:r w:rsidR="002875EA" w:rsidRPr="00FF328B">
        <w:tab/>
        <w:t>Réaliser l</w:t>
      </w:r>
      <w:r w:rsidR="002875EA">
        <w:t>’</w:t>
      </w:r>
      <w:r w:rsidR="002875EA" w:rsidRPr="00FF328B">
        <w:t>épreuve sur un organe non utilisé, en appliquant le couple le long du raccord</w:t>
      </w:r>
      <w:bookmarkEnd w:id="333"/>
      <w:r w:rsidR="002875EA">
        <w:t> ;</w:t>
      </w:r>
    </w:p>
    <w:p w:rsidR="002875EA" w:rsidRPr="00FF328B" w:rsidRDefault="008270FA" w:rsidP="002875EA">
      <w:pPr>
        <w:pStyle w:val="SingleTxtG"/>
        <w:ind w:left="2835" w:hanging="567"/>
        <w:rPr>
          <w:rFonts w:eastAsia="MS Mincho"/>
          <w:bCs/>
          <w:spacing w:val="-2"/>
        </w:rPr>
      </w:pPr>
      <w:bookmarkStart w:id="334" w:name="bookmark_361"/>
      <w:r>
        <w:t>b)</w:t>
      </w:r>
      <w:r w:rsidR="002875EA" w:rsidRPr="00FF328B">
        <w:tab/>
        <w:t>Dans le cas d</w:t>
      </w:r>
      <w:r w:rsidR="002875EA">
        <w:t>’</w:t>
      </w:r>
      <w:r w:rsidR="002875EA" w:rsidRPr="00FF328B">
        <w:t>un organe doté d</w:t>
      </w:r>
      <w:r w:rsidR="002875EA">
        <w:t>’</w:t>
      </w:r>
      <w:r w:rsidR="002875EA" w:rsidRPr="00FF328B">
        <w:t xml:space="preserve">un ou de plusieurs connecteurs filetés, appliquer le couple pendant </w:t>
      </w:r>
      <w:r w:rsidR="002875EA">
        <w:t xml:space="preserve">quinze </w:t>
      </w:r>
      <w:r w:rsidR="002875EA" w:rsidRPr="00FF328B">
        <w:t>minutes, puis arrêter, et retirer l</w:t>
      </w:r>
      <w:r w:rsidR="002875EA">
        <w:t>’</w:t>
      </w:r>
      <w:r w:rsidR="002875EA" w:rsidRPr="00FF328B">
        <w:t>organe pour l</w:t>
      </w:r>
      <w:r w:rsidR="002875EA">
        <w:t>’</w:t>
      </w:r>
      <w:r w:rsidR="002875EA" w:rsidRPr="00FF328B">
        <w:t>examiner afin d</w:t>
      </w:r>
      <w:r w:rsidR="002875EA">
        <w:t>’</w:t>
      </w:r>
      <w:r w:rsidR="002875EA" w:rsidRPr="00FF328B">
        <w:t>y détecter toute déformation ou dégradation</w:t>
      </w:r>
      <w:bookmarkEnd w:id="334"/>
      <w:r w:rsidR="002875EA">
        <w:t> ;</w:t>
      </w:r>
    </w:p>
    <w:p w:rsidR="002875EA" w:rsidRPr="00FF328B" w:rsidRDefault="008270FA" w:rsidP="002875EA">
      <w:pPr>
        <w:pStyle w:val="SingleTxtG"/>
        <w:ind w:left="2835" w:hanging="567"/>
        <w:rPr>
          <w:rFonts w:eastAsia="MS Mincho"/>
          <w:bCs/>
          <w:spacing w:val="-2"/>
        </w:rPr>
      </w:pPr>
      <w:bookmarkStart w:id="335" w:name="bookmark_362"/>
      <w:r>
        <w:t>c)</w:t>
      </w:r>
      <w:r w:rsidR="002875EA" w:rsidRPr="00FF328B">
        <w:tab/>
        <w:t>Réaliser l</w:t>
      </w:r>
      <w:r w:rsidR="002875EA">
        <w:t>’</w:t>
      </w:r>
      <w:r w:rsidR="002875EA" w:rsidRPr="00FF328B">
        <w:t>épreuve d</w:t>
      </w:r>
      <w:r w:rsidR="002875EA">
        <w:t>’</w:t>
      </w:r>
      <w:r w:rsidR="002875EA" w:rsidRPr="00FF328B">
        <w:t>étanchéité conformément aux paragraphes 5, 6 et</w:t>
      </w:r>
      <w:r w:rsidR="002875EA">
        <w:t> </w:t>
      </w:r>
      <w:r w:rsidR="002875EA" w:rsidRPr="00FF328B">
        <w:t>7 de l</w:t>
      </w:r>
      <w:r w:rsidR="002875EA">
        <w:t>’annexe </w:t>
      </w:r>
      <w:r w:rsidR="002875EA" w:rsidRPr="00FF328B">
        <w:t>16</w:t>
      </w:r>
      <w:bookmarkEnd w:id="335"/>
      <w:r w:rsidR="00A25DC5">
        <w:t> ;</w:t>
      </w:r>
    </w:p>
    <w:p w:rsidR="002875EA" w:rsidRPr="00FF328B" w:rsidRDefault="002875EA" w:rsidP="002875EA">
      <w:pPr>
        <w:pStyle w:val="SingleTxtG"/>
        <w:ind w:left="2835" w:hanging="567"/>
        <w:rPr>
          <w:rFonts w:eastAsia="MS Mincho"/>
          <w:bCs/>
          <w:spacing w:val="-2"/>
        </w:rPr>
      </w:pPr>
      <w:bookmarkStart w:id="336" w:name="bookmark_363"/>
      <w:r w:rsidRPr="00FF328B">
        <w:lastRenderedPageBreak/>
        <w:t>d)</w:t>
      </w:r>
      <w:r w:rsidRPr="00FF328B">
        <w:tab/>
        <w:t>Réaliser l</w:t>
      </w:r>
      <w:r>
        <w:t>’</w:t>
      </w:r>
      <w:r w:rsidRPr="00FF328B">
        <w:t>épreuve de surpression conformément au paragraphe 4 de l</w:t>
      </w:r>
      <w:r>
        <w:t>’annexe </w:t>
      </w:r>
      <w:r w:rsidRPr="00FF328B">
        <w:t>16.</w:t>
      </w:r>
      <w:bookmarkEnd w:id="336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337" w:name="bookmark_364"/>
      <w:r>
        <w:t>6.3.4</w:t>
      </w:r>
      <w:r w:rsidRPr="00FF328B">
        <w:tab/>
        <w:t>Épreuve de vibration</w:t>
      </w:r>
      <w:bookmarkEnd w:id="337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38" w:name="bookmark_365"/>
      <w:r w:rsidRPr="00FF328B">
        <w:tab/>
        <w:t>Faire vibrer le tuyau à gaz et ses raccords conformément</w:t>
      </w:r>
      <w:r>
        <w:t xml:space="preserve"> </w:t>
      </w:r>
      <w:r w:rsidRPr="00FF328B">
        <w:t>aux conditions d</w:t>
      </w:r>
      <w:r>
        <w:t>’</w:t>
      </w:r>
      <w:r w:rsidRPr="00FF328B">
        <w:t>essai décrites dans le paragraphe 10.5.4 de l</w:t>
      </w:r>
      <w:r>
        <w:t>’annexe </w:t>
      </w:r>
      <w:r w:rsidRPr="00FF328B">
        <w:t>16 (</w:t>
      </w:r>
      <w:r w:rsidR="00C21EEE">
        <w:t>p</w:t>
      </w:r>
      <w:r w:rsidRPr="00FF328B">
        <w:t>rocédure A).</w:t>
      </w:r>
      <w:bookmarkEnd w:id="338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39" w:name="bookmark_366"/>
      <w:r w:rsidRPr="00FF328B">
        <w:tab/>
        <w:t>Après cette épreuve, les tuyaux à gaz et leurs raccords doivent être soumis à l</w:t>
      </w:r>
      <w:r>
        <w:t>’</w:t>
      </w:r>
      <w:r w:rsidRPr="00FF328B">
        <w:t>épreuve d</w:t>
      </w:r>
      <w:r>
        <w:t>’</w:t>
      </w:r>
      <w:r w:rsidRPr="00FF328B">
        <w:t>étanchéité</w:t>
      </w:r>
      <w:r>
        <w:t xml:space="preserve"> décrite aux paragraphes </w:t>
      </w:r>
      <w:r w:rsidRPr="00FF328B">
        <w:t>5, 6 et 7 de l</w:t>
      </w:r>
      <w:r>
        <w:t>’annexe </w:t>
      </w:r>
      <w:r w:rsidRPr="00FF328B">
        <w:t>16</w:t>
      </w:r>
      <w:r>
        <w:t xml:space="preserve"> </w:t>
      </w:r>
      <w:r w:rsidRPr="00FF328B">
        <w:t>et</w:t>
      </w:r>
      <w:r>
        <w:t xml:space="preserve"> </w:t>
      </w:r>
      <w:r w:rsidRPr="00FF328B">
        <w:t>à l</w:t>
      </w:r>
      <w:r>
        <w:t>’</w:t>
      </w:r>
      <w:r w:rsidRPr="00FF328B">
        <w:t>épreuve de surpression conformément au paragraphe 4 de l</w:t>
      </w:r>
      <w:r>
        <w:t>’annexe </w:t>
      </w:r>
      <w:r w:rsidRPr="00FF328B">
        <w:t>16.</w:t>
      </w:r>
      <w:bookmarkEnd w:id="339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340" w:name="bookmark_367"/>
      <w:r>
        <w:t>6.3.5</w:t>
      </w:r>
      <w:r w:rsidRPr="00FF328B">
        <w:tab/>
        <w:t>Traction</w:t>
      </w:r>
      <w:bookmarkEnd w:id="340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41" w:name="bookmark_368"/>
      <w:r w:rsidRPr="00FF328B">
        <w:tab/>
        <w:t>Le tuyau à gaz et son (ses) raccord(s) doivent être éprouvés selon la procédure et les critères d</w:t>
      </w:r>
      <w:r>
        <w:t>’</w:t>
      </w:r>
      <w:r w:rsidRPr="00FF328B">
        <w:t>acceptation ci-après</w:t>
      </w:r>
      <w:bookmarkEnd w:id="341"/>
      <w:r>
        <w:t> :</w:t>
      </w:r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42" w:name="bookmark_369"/>
      <w:r w:rsidRPr="00FF328B">
        <w:tab/>
        <w:t>Fixer le raccord à éprouver dans un montage d</w:t>
      </w:r>
      <w:r>
        <w:t>’</w:t>
      </w:r>
      <w:r w:rsidRPr="00FF328B">
        <w:t>essai approprié, puis appliquer statiquement une charge de traction le long de l</w:t>
      </w:r>
      <w:r>
        <w:t>’</w:t>
      </w:r>
      <w:r w:rsidRPr="00FF328B">
        <w:t xml:space="preserve">axe du tuyau à gaz, à </w:t>
      </w:r>
      <w:r>
        <w:t>une valeur ne dépassant pas 250 </w:t>
      </w:r>
      <w:r w:rsidRPr="00FF328B">
        <w:t>N/min, jusqu</w:t>
      </w:r>
      <w:r>
        <w:t>’</w:t>
      </w:r>
      <w:r w:rsidRPr="00FF328B">
        <w:t>à ce que le tuyau se dissocie du (des) raccord(s).</w:t>
      </w:r>
      <w:bookmarkEnd w:id="342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43" w:name="bookmark_370"/>
      <w:r w:rsidRPr="00FF328B">
        <w:tab/>
        <w:t>La force F, exprimée en newtons, nécessaire pour séparer le tuyau à gaz de son (ses) raccord(s), doit être calculée comme suit</w:t>
      </w:r>
      <w:bookmarkEnd w:id="343"/>
      <w:r>
        <w:t> :</w:t>
      </w:r>
    </w:p>
    <w:p w:rsidR="002875EA" w:rsidRPr="00FF328B" w:rsidRDefault="00663B01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44" w:name="bookmark_371"/>
      <w:r>
        <w:tab/>
        <w:t>F</w:t>
      </w:r>
      <w:r w:rsidR="002875EA">
        <w:tab/>
        <w:t>= (π ∙ d2 · P) / </w:t>
      </w:r>
      <w:r w:rsidR="002875EA" w:rsidRPr="00FF328B">
        <w:t>10</w:t>
      </w:r>
      <w:bookmarkEnd w:id="344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45" w:name="bookmark_372"/>
      <w:r w:rsidRPr="00FF328B">
        <w:tab/>
      </w:r>
      <w:proofErr w:type="gramStart"/>
      <w:r w:rsidRPr="00FF328B">
        <w:t>où</w:t>
      </w:r>
      <w:bookmarkEnd w:id="345"/>
      <w:proofErr w:type="gramEnd"/>
      <w:r w:rsidRPr="00FF328B">
        <w:t> :</w:t>
      </w:r>
    </w:p>
    <w:p w:rsidR="002875EA" w:rsidRPr="00FF328B" w:rsidRDefault="00663B01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46" w:name="bookmark_373"/>
      <w:r>
        <w:tab/>
      </w:r>
      <w:proofErr w:type="gramStart"/>
      <w:r>
        <w:t>d</w:t>
      </w:r>
      <w:proofErr w:type="gramEnd"/>
      <w:r w:rsidR="002875EA">
        <w:tab/>
      </w:r>
      <w:r w:rsidR="002875EA" w:rsidRPr="00FF328B">
        <w:t>est le diamètre intérieur, en millimètres</w:t>
      </w:r>
      <w:bookmarkEnd w:id="346"/>
      <w:r w:rsidR="002875EA">
        <w:t> ;</w:t>
      </w:r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47" w:name="bookmark_374"/>
      <w:r w:rsidRPr="00FF328B">
        <w:tab/>
        <w:t>P</w:t>
      </w:r>
      <w:r>
        <w:tab/>
      </w:r>
      <w:r w:rsidRPr="00FF328B">
        <w:t>est la pression maximale de fonctionnement, en bars.</w:t>
      </w:r>
      <w:bookmarkEnd w:id="347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rFonts w:eastAsia="MS Mincho"/>
          <w:bCs/>
          <w:spacing w:val="-2"/>
        </w:rPr>
      </w:pPr>
      <w:bookmarkStart w:id="348" w:name="bookmark_375"/>
      <w:r>
        <w:t>6.3.6</w:t>
      </w:r>
      <w:r w:rsidRPr="00FF328B">
        <w:tab/>
        <w:t>Compatibilité des éléments en laiton</w:t>
      </w:r>
      <w:bookmarkEnd w:id="348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49" w:name="bookmark_376"/>
      <w:r w:rsidRPr="00FF328B">
        <w:tab/>
        <w:t>Tous les tuyaux à gaz et tous les raccords comprenant des composants en laiton doivent être soumis à l</w:t>
      </w:r>
      <w:r>
        <w:t>’</w:t>
      </w:r>
      <w:r w:rsidRPr="00FF328B">
        <w:t>épreuve de compatibilité des éléments en laiton conformément aux dispositions du paragraphe 12.2 de l</w:t>
      </w:r>
      <w:r>
        <w:t>’annexe </w:t>
      </w:r>
      <w:r w:rsidRPr="00FF328B">
        <w:t>16.</w:t>
      </w:r>
      <w:bookmarkEnd w:id="349"/>
    </w:p>
    <w:p w:rsidR="002875EA" w:rsidRPr="00FF328B" w:rsidRDefault="002875EA" w:rsidP="002875EA">
      <w:pPr>
        <w:pStyle w:val="SingleTxtG"/>
        <w:ind w:left="2268"/>
        <w:rPr>
          <w:rFonts w:eastAsia="MS Mincho"/>
          <w:bCs/>
          <w:spacing w:val="-2"/>
        </w:rPr>
      </w:pPr>
      <w:bookmarkStart w:id="350" w:name="bookmark_377"/>
      <w:r w:rsidRPr="00FF328B">
        <w:tab/>
        <w:t>Après cette épreuve, les tuyaux à gaz et leurs raccords doivent être soumis à l</w:t>
      </w:r>
      <w:r>
        <w:t>’</w:t>
      </w:r>
      <w:r w:rsidRPr="00FF328B">
        <w:t>épreuve d</w:t>
      </w:r>
      <w:r>
        <w:t>’</w:t>
      </w:r>
      <w:r w:rsidRPr="00FF328B">
        <w:t>étanchéité décrite aux parag</w:t>
      </w:r>
      <w:r>
        <w:t>raphes </w:t>
      </w:r>
      <w:r w:rsidRPr="00FF328B">
        <w:t>5, 6 et 7 de l</w:t>
      </w:r>
      <w:r>
        <w:t>’annexe </w:t>
      </w:r>
      <w:r w:rsidRPr="00FF328B">
        <w:t>16 et à l</w:t>
      </w:r>
      <w:r>
        <w:t>’</w:t>
      </w:r>
      <w:r w:rsidRPr="00FF328B">
        <w:t>épreuve de surpres</w:t>
      </w:r>
      <w:r>
        <w:t>sion conformément au paragraphe </w:t>
      </w:r>
      <w:r w:rsidRPr="00FF328B">
        <w:t>4 de l</w:t>
      </w:r>
      <w:r>
        <w:t>’</w:t>
      </w:r>
      <w:r w:rsidRPr="00FF328B">
        <w:t>annexe 16.</w:t>
      </w:r>
      <w:bookmarkEnd w:id="350"/>
      <w:r>
        <w:t> »</w:t>
      </w:r>
      <w:r w:rsidR="00C21EEE">
        <w:t>.</w:t>
      </w:r>
    </w:p>
    <w:p w:rsidR="002875EA" w:rsidRPr="00FF328B" w:rsidRDefault="002875EA" w:rsidP="002875EA">
      <w:pPr>
        <w:pStyle w:val="SingleTxtG"/>
        <w:keepNext/>
        <w:keepLines/>
      </w:pPr>
      <w:bookmarkStart w:id="351" w:name="bookmark_378"/>
      <w:r w:rsidRPr="00FF328B">
        <w:rPr>
          <w:i/>
          <w:iCs/>
        </w:rPr>
        <w:t>L</w:t>
      </w:r>
      <w:r>
        <w:rPr>
          <w:i/>
          <w:iCs/>
        </w:rPr>
        <w:t>’annexe </w:t>
      </w:r>
      <w:r w:rsidRPr="00FF328B">
        <w:rPr>
          <w:i/>
          <w:iCs/>
        </w:rPr>
        <w:t xml:space="preserve">15 </w:t>
      </w:r>
      <w:r w:rsidRPr="00FF328B">
        <w:t>devient l</w:t>
      </w:r>
      <w:r>
        <w:t>’annexe </w:t>
      </w:r>
      <w:r w:rsidRPr="00FF328B">
        <w:t>16, à laquelle s</w:t>
      </w:r>
      <w:r>
        <w:t>’</w:t>
      </w:r>
      <w:r w:rsidRPr="00FF328B">
        <w:t xml:space="preserve">ajoutent </w:t>
      </w:r>
      <w:r>
        <w:t>les nouveaux paragraphes 9.7 et </w:t>
      </w:r>
      <w:r w:rsidRPr="00FF328B">
        <w:t>9.7.1, libellés comme suit</w:t>
      </w:r>
      <w:bookmarkEnd w:id="351"/>
      <w:r>
        <w:t> :</w:t>
      </w:r>
    </w:p>
    <w:p w:rsidR="002875EA" w:rsidRPr="00FF328B" w:rsidRDefault="002875EA" w:rsidP="002875EA">
      <w:pPr>
        <w:pStyle w:val="SingleTxtG"/>
        <w:keepNext/>
        <w:keepLines/>
        <w:ind w:left="2268" w:hanging="1134"/>
      </w:pPr>
      <w:bookmarkStart w:id="352" w:name="bookmark_379"/>
      <w:r w:rsidRPr="00FF328B">
        <w:t>«</w:t>
      </w:r>
      <w:r>
        <w:t> 9.7</w:t>
      </w:r>
      <w:r w:rsidRPr="00FF328B">
        <w:tab/>
        <w:t>Essai d</w:t>
      </w:r>
      <w:r>
        <w:t>’</w:t>
      </w:r>
      <w:r w:rsidRPr="00FF328B">
        <w:t>endurance pour les soupapes antiretour des équipements GPL interconnectés</w:t>
      </w:r>
      <w:bookmarkEnd w:id="352"/>
    </w:p>
    <w:p w:rsidR="002875EA" w:rsidRPr="00FF328B" w:rsidRDefault="002875EA" w:rsidP="002875EA">
      <w:pPr>
        <w:pStyle w:val="SingleTxtG"/>
        <w:keepNext/>
        <w:keepLines/>
        <w:ind w:left="2268" w:hanging="1134"/>
      </w:pPr>
      <w:bookmarkStart w:id="353" w:name="bookmark_380"/>
      <w:r>
        <w:t>9.7.1</w:t>
      </w:r>
      <w:r w:rsidRPr="00FF328B">
        <w:tab/>
        <w:t>La soupape antiretour do</w:t>
      </w:r>
      <w:r>
        <w:t>it être capable de supporter 20</w:t>
      </w:r>
      <w:r w:rsidR="00663B01">
        <w:t> 000 </w:t>
      </w:r>
      <w:r w:rsidRPr="00FF328B">
        <w:t xml:space="preserve">cycles de fonctionnement et </w:t>
      </w:r>
      <w:r>
        <w:t>24 </w:t>
      </w:r>
      <w:r w:rsidRPr="00FF328B">
        <w:t>h au débit de battement lorsqu</w:t>
      </w:r>
      <w:r>
        <w:t>’</w:t>
      </w:r>
      <w:r w:rsidRPr="00FF328B">
        <w:t>elle est éprouvée conformément à la procédure ci-dessous :</w:t>
      </w:r>
      <w:bookmarkEnd w:id="353"/>
    </w:p>
    <w:p w:rsidR="002875EA" w:rsidRPr="00FF328B" w:rsidRDefault="002875EA" w:rsidP="002875EA">
      <w:pPr>
        <w:pStyle w:val="SingleTxtG"/>
        <w:ind w:left="2835" w:hanging="567"/>
      </w:pPr>
      <w:bookmarkStart w:id="354" w:name="bookmark_381"/>
      <w:r w:rsidRPr="00FF328B">
        <w:t>a)</w:t>
      </w:r>
      <w:r w:rsidRPr="00FF328B">
        <w:tab/>
        <w:t>La soupape antiretour est placée sur un montage d</w:t>
      </w:r>
      <w:r>
        <w:t>’essai et une pression égale à 3 000 </w:t>
      </w:r>
      <w:r w:rsidRPr="00FF328B">
        <w:t>kPa, ou à</w:t>
      </w:r>
      <w:r>
        <w:t xml:space="preserve"> </w:t>
      </w:r>
      <w:r w:rsidRPr="00FF328B">
        <w:t>WP, en fonction de la classe de pression de la soupape, est appliquée à l</w:t>
      </w:r>
      <w:r>
        <w:t>’</w:t>
      </w:r>
      <w:r w:rsidRPr="00FF328B">
        <w:t>orifice d</w:t>
      </w:r>
      <w:r>
        <w:t>’</w:t>
      </w:r>
      <w:r w:rsidRPr="00FF328B">
        <w:t>entrée, puis on laisse la pression se décharger par l</w:t>
      </w:r>
      <w:r>
        <w:t>’</w:t>
      </w:r>
      <w:r w:rsidRPr="00FF328B">
        <w:t>orifice de sortie. On abaisse la pression à l</w:t>
      </w:r>
      <w:r>
        <w:t>’</w:t>
      </w:r>
      <w:r w:rsidRPr="00FF328B">
        <w:t>orifice de sortie à une valeur compri</w:t>
      </w:r>
      <w:r>
        <w:t>se entre 0 et un maximum de 0,5 </w:t>
      </w:r>
      <w:r w:rsidRPr="00FF328B">
        <w:t>fois la valeur ci-dessus avant le cycle suivant</w:t>
      </w:r>
      <w:bookmarkEnd w:id="354"/>
      <w:r>
        <w:t> ;</w:t>
      </w:r>
    </w:p>
    <w:p w:rsidR="002875EA" w:rsidRPr="00FF328B" w:rsidRDefault="002875EA" w:rsidP="002875EA">
      <w:pPr>
        <w:pStyle w:val="SingleTxtG"/>
        <w:ind w:left="2835" w:hanging="567"/>
      </w:pPr>
      <w:bookmarkStart w:id="355" w:name="bookmark_382"/>
      <w:r>
        <w:t>b)</w:t>
      </w:r>
      <w:r>
        <w:tab/>
        <w:t>Après avoir été soumise à 20</w:t>
      </w:r>
      <w:r w:rsidR="00663B01">
        <w:t> </w:t>
      </w:r>
      <w:r w:rsidRPr="00FF328B">
        <w:t>000</w:t>
      </w:r>
      <w:r w:rsidR="00663B01">
        <w:t> </w:t>
      </w:r>
      <w:r w:rsidRPr="00FF328B">
        <w:t>cycles de fonctionnement, la soupape an</w:t>
      </w:r>
      <w:r>
        <w:t>tiretour est soumise pendant 24 </w:t>
      </w:r>
      <w:r w:rsidRPr="00FF328B">
        <w:t>h au débit causant l</w:t>
      </w:r>
      <w:r>
        <w:t>’</w:t>
      </w:r>
      <w:r w:rsidRPr="00FF328B">
        <w:t>effet de battement maximum.</w:t>
      </w:r>
      <w:bookmarkEnd w:id="355"/>
    </w:p>
    <w:p w:rsidR="002875EA" w:rsidRPr="00FF328B" w:rsidRDefault="002875EA" w:rsidP="002875EA">
      <w:pPr>
        <w:pStyle w:val="SingleTxtG"/>
        <w:ind w:left="2268"/>
      </w:pPr>
      <w:bookmarkStart w:id="356" w:name="bookmark_383"/>
      <w:r w:rsidRPr="00FF328B">
        <w:tab/>
        <w:t>Après cet essai, la soupape antiretour doit satisfaire aux prescriptions des essais d</w:t>
      </w:r>
      <w:r>
        <w:t>’étanchéité des paragraphes </w:t>
      </w:r>
      <w:r w:rsidRPr="00FF328B">
        <w:t>5 et 8 ci-dessus.</w:t>
      </w:r>
      <w:bookmarkEnd w:id="356"/>
    </w:p>
    <w:p w:rsidR="002875EA" w:rsidRPr="00FF328B" w:rsidRDefault="002875EA" w:rsidP="002875EA">
      <w:pPr>
        <w:pStyle w:val="SingleTxtG"/>
        <w:ind w:left="2268"/>
      </w:pPr>
      <w:bookmarkStart w:id="357" w:name="bookmark_384"/>
      <w:r w:rsidRPr="00FF328B">
        <w:tab/>
        <w:t>Toute défaillance quelle qu</w:t>
      </w:r>
      <w:r>
        <w:t>’</w:t>
      </w:r>
      <w:r w:rsidRPr="00FF328B">
        <w:t>elle soit au cours de l</w:t>
      </w:r>
      <w:r>
        <w:t>’</w:t>
      </w:r>
      <w:r w:rsidRPr="00FF328B">
        <w:t>essai entraîne l</w:t>
      </w:r>
      <w:r>
        <w:t>’</w:t>
      </w:r>
      <w:r w:rsidRPr="00FF328B">
        <w:t>échec de l</w:t>
      </w:r>
      <w:r>
        <w:t>’</w:t>
      </w:r>
      <w:r w:rsidRPr="00FF328B">
        <w:t xml:space="preserve">essai. </w:t>
      </w:r>
      <w:bookmarkEnd w:id="357"/>
    </w:p>
    <w:p w:rsidR="002875EA" w:rsidRPr="00FF328B" w:rsidRDefault="002875EA" w:rsidP="002875EA">
      <w:pPr>
        <w:pStyle w:val="SingleTxtG"/>
        <w:ind w:left="2268"/>
      </w:pPr>
      <w:bookmarkStart w:id="358" w:name="bookmark_385"/>
      <w:r w:rsidRPr="00FF328B">
        <w:lastRenderedPageBreak/>
        <w:tab/>
        <w:t>Toutes les parties du dispositif doivent demeurer en place et fonctionner correctement après l</w:t>
      </w:r>
      <w:r>
        <w:t>’</w:t>
      </w:r>
      <w:r w:rsidRPr="00FF328B">
        <w:t>essai.</w:t>
      </w:r>
      <w:bookmarkEnd w:id="358"/>
    </w:p>
    <w:p w:rsidR="002875EA" w:rsidRPr="00FF328B" w:rsidRDefault="002875EA" w:rsidP="002875EA">
      <w:pPr>
        <w:pStyle w:val="SingleTxtG"/>
        <w:ind w:left="2268"/>
      </w:pPr>
      <w:bookmarkStart w:id="359" w:name="bookmark_386"/>
      <w:r w:rsidRPr="00FF328B">
        <w:tab/>
        <w:t>Après cet essai, la soupape antiretour doit satisfaire aux prescriptions des essais de surpres</w:t>
      </w:r>
      <w:r>
        <w:t>sion conformément au paragraphe </w:t>
      </w:r>
      <w:r w:rsidRPr="00FF328B">
        <w:t>4.</w:t>
      </w:r>
      <w:bookmarkEnd w:id="359"/>
      <w:r>
        <w:t> »</w:t>
      </w:r>
      <w:r w:rsidR="00C21EEE">
        <w:t>.</w:t>
      </w:r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360" w:name="bookmark_387"/>
      <w:r w:rsidRPr="00FF328B">
        <w:rPr>
          <w:i/>
          <w:iCs/>
        </w:rPr>
        <w:t>L</w:t>
      </w:r>
      <w:r>
        <w:rPr>
          <w:i/>
          <w:iCs/>
        </w:rPr>
        <w:t>’</w:t>
      </w:r>
      <w:r w:rsidRPr="00FF328B">
        <w:rPr>
          <w:i/>
          <w:iCs/>
        </w:rPr>
        <w:t>annexe 16</w:t>
      </w:r>
      <w:r w:rsidRPr="00FF328B">
        <w:t xml:space="preserve"> devient l</w:t>
      </w:r>
      <w:r>
        <w:t>’</w:t>
      </w:r>
      <w:r w:rsidRPr="00FF328B">
        <w:t>a</w:t>
      </w:r>
      <w:r>
        <w:t>nnexe </w:t>
      </w:r>
      <w:r w:rsidRPr="00FF328B">
        <w:t>17.</w:t>
      </w:r>
      <w:bookmarkEnd w:id="360"/>
    </w:p>
    <w:p w:rsidR="002875EA" w:rsidRPr="00FF328B" w:rsidRDefault="002875EA" w:rsidP="002875EA">
      <w:pPr>
        <w:pStyle w:val="SingleTxtG"/>
        <w:rPr>
          <w:rFonts w:eastAsia="MS Mincho"/>
          <w:bCs/>
          <w:spacing w:val="-2"/>
        </w:rPr>
      </w:pPr>
      <w:bookmarkStart w:id="361" w:name="bookmark_388"/>
      <w:r w:rsidRPr="00FF328B">
        <w:rPr>
          <w:i/>
          <w:iCs/>
        </w:rPr>
        <w:t>L</w:t>
      </w:r>
      <w:r>
        <w:rPr>
          <w:i/>
          <w:iCs/>
        </w:rPr>
        <w:t>’</w:t>
      </w:r>
      <w:r w:rsidRPr="00FF328B">
        <w:rPr>
          <w:i/>
          <w:iCs/>
        </w:rPr>
        <w:t>annexe 17</w:t>
      </w:r>
      <w:r w:rsidRPr="00FF328B">
        <w:t xml:space="preserve"> devient l</w:t>
      </w:r>
      <w:r>
        <w:t>’annexe </w:t>
      </w:r>
      <w:r w:rsidRPr="00FF328B">
        <w:t>18.</w:t>
      </w:r>
      <w:bookmarkEnd w:id="361"/>
    </w:p>
    <w:p w:rsidR="002875EA" w:rsidRPr="00FF328B" w:rsidRDefault="002875EA" w:rsidP="002875EA">
      <w:pPr>
        <w:pStyle w:val="SingleTxtG"/>
      </w:pPr>
      <w:bookmarkStart w:id="362" w:name="bookmark_389"/>
      <w:r w:rsidRPr="008C4768">
        <w:rPr>
          <w:i/>
        </w:rPr>
        <w:t>Ajouter une nouvelle annexe 19</w:t>
      </w:r>
      <w:r w:rsidRPr="00FF328B">
        <w:t>, libellée comme suit</w:t>
      </w:r>
      <w:bookmarkEnd w:id="362"/>
      <w:r>
        <w:t> :</w:t>
      </w:r>
    </w:p>
    <w:p w:rsidR="002875EA" w:rsidRPr="00FF328B" w:rsidRDefault="002875EA" w:rsidP="00663B01">
      <w:pPr>
        <w:pStyle w:val="HChG"/>
      </w:pPr>
      <w:bookmarkStart w:id="363" w:name="bookmark_390"/>
      <w:r w:rsidRPr="00C21EEE">
        <w:rPr>
          <w:b w:val="0"/>
          <w:sz w:val="20"/>
        </w:rPr>
        <w:t>«</w:t>
      </w:r>
      <w:r w:rsidRPr="007929EC">
        <w:t> </w:t>
      </w:r>
      <w:r>
        <w:t>Annexe </w:t>
      </w:r>
      <w:r w:rsidRPr="00FF328B">
        <w:t>19</w:t>
      </w:r>
      <w:bookmarkEnd w:id="363"/>
    </w:p>
    <w:p w:rsidR="002875EA" w:rsidRPr="00FF328B" w:rsidRDefault="002875EA" w:rsidP="002875EA">
      <w:pPr>
        <w:pStyle w:val="HChG"/>
      </w:pPr>
      <w:bookmarkStart w:id="364" w:name="bookmark_391"/>
      <w:r w:rsidRPr="00FF328B">
        <w:tab/>
      </w:r>
      <w:r w:rsidRPr="00FF328B">
        <w:tab/>
        <w:t>Dispositions relatives à la compatibilité des organes et parties métalliques et non métalliques avec l</w:t>
      </w:r>
      <w:r>
        <w:t>’</w:t>
      </w:r>
      <w:r w:rsidRPr="00FF328B">
        <w:t>essence</w:t>
      </w:r>
      <w:bookmarkEnd w:id="364"/>
    </w:p>
    <w:p w:rsidR="002875EA" w:rsidRPr="00FF328B" w:rsidRDefault="002875EA" w:rsidP="002875EA">
      <w:pPr>
        <w:pStyle w:val="SingleTxtG"/>
        <w:keepNext/>
        <w:ind w:left="2268" w:hanging="1134"/>
      </w:pPr>
      <w:bookmarkStart w:id="365" w:name="bookmark_392"/>
      <w:r w:rsidRPr="00FF328B">
        <w:t>1.</w:t>
      </w:r>
      <w:r w:rsidRPr="00FF328B">
        <w:tab/>
        <w:t>Prescriptions applicables aux organes et parties métalliques et non métalliques</w:t>
      </w:r>
      <w:bookmarkEnd w:id="365"/>
    </w:p>
    <w:p w:rsidR="002875EA" w:rsidRPr="00FF328B" w:rsidRDefault="002875EA" w:rsidP="002875EA">
      <w:pPr>
        <w:pStyle w:val="SingleTxtG"/>
        <w:keepNext/>
        <w:ind w:left="2268" w:hanging="1134"/>
      </w:pPr>
      <w:bookmarkStart w:id="366" w:name="bookmark_393"/>
      <w:r>
        <w:t>1.1</w:t>
      </w:r>
      <w:r w:rsidRPr="00FF328B">
        <w:tab/>
        <w:t>Les organes ou parties non métalliques susceptibles d</w:t>
      </w:r>
      <w:r>
        <w:t>’</w:t>
      </w:r>
      <w:r w:rsidRPr="00FF328B">
        <w:t>entrer en contact avec de l</w:t>
      </w:r>
      <w:r>
        <w:t>’</w:t>
      </w:r>
      <w:r w:rsidRPr="00FF328B">
        <w:t>essence ne doivent pas présenter, lorsque cela est le cas, un changement excessif de volume ou une perte de poids excessive.</w:t>
      </w:r>
      <w:bookmarkEnd w:id="366"/>
    </w:p>
    <w:p w:rsidR="002875EA" w:rsidRPr="00FF328B" w:rsidRDefault="002875EA" w:rsidP="002875EA">
      <w:pPr>
        <w:pStyle w:val="SingleTxtG"/>
        <w:ind w:left="2268" w:hanging="1134"/>
        <w:rPr>
          <w:bCs/>
        </w:rPr>
      </w:pPr>
      <w:bookmarkStart w:id="367" w:name="bookmark_394"/>
      <w:r>
        <w:tab/>
      </w:r>
      <w:r w:rsidRPr="00FF328B">
        <w:t>La résistance à l</w:t>
      </w:r>
      <w:r>
        <w:t>’</w:t>
      </w:r>
      <w:r w:rsidRPr="00FF328B">
        <w:t>essence doit êtr</w:t>
      </w:r>
      <w:r>
        <w:t>e déterminée selon la norme ISO </w:t>
      </w:r>
      <w:r w:rsidRPr="00FF328B">
        <w:t>1817 dans les conditions suivantes</w:t>
      </w:r>
      <w:bookmarkEnd w:id="367"/>
      <w:r>
        <w:t> :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68" w:name="bookmark_395"/>
      <w:r>
        <w:t>a)</w:t>
      </w:r>
      <w:r>
        <w:tab/>
        <w:t>Milieu </w:t>
      </w:r>
      <w:r w:rsidRPr="00FF328B">
        <w:t>: essence (E10) conforme aux prescriptions de l</w:t>
      </w:r>
      <w:r>
        <w:t>’annexe </w:t>
      </w:r>
      <w:r w:rsidRPr="00FF328B">
        <w:t xml:space="preserve">10 du Règlement </w:t>
      </w:r>
      <w:r>
        <w:t xml:space="preserve">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FF328B">
        <w:t>83</w:t>
      </w:r>
      <w:r>
        <w:t> </w:t>
      </w:r>
      <w:r w:rsidRPr="00FF328B">
        <w:t>;</w:t>
      </w:r>
      <w:bookmarkEnd w:id="368"/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69" w:name="bookmark_396"/>
      <w:r>
        <w:t>b)</w:t>
      </w:r>
      <w:r>
        <w:tab/>
        <w:t>Température </w:t>
      </w:r>
      <w:r w:rsidRPr="00FF328B">
        <w:t>: 23</w:t>
      </w:r>
      <w:r>
        <w:t> </w:t>
      </w:r>
      <w:r w:rsidRPr="00FF328B">
        <w:t>°</w:t>
      </w:r>
      <w:r>
        <w:t>C (tolérance selon la norme ISO 1817) </w:t>
      </w:r>
      <w:r w:rsidRPr="00FF328B">
        <w:t>;</w:t>
      </w:r>
      <w:bookmarkEnd w:id="369"/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70" w:name="bookmark_397"/>
      <w:r w:rsidRPr="00FF328B">
        <w:t>c)</w:t>
      </w:r>
      <w:r w:rsidRPr="00FF328B">
        <w:tab/>
        <w:t>Durée d</w:t>
      </w:r>
      <w:r>
        <w:t>’immersion : 72 </w:t>
      </w:r>
      <w:r w:rsidRPr="00FF328B">
        <w:t>h.</w:t>
      </w:r>
      <w:bookmarkEnd w:id="370"/>
    </w:p>
    <w:p w:rsidR="002875EA" w:rsidRPr="00FF328B" w:rsidRDefault="002875EA" w:rsidP="002875EA">
      <w:pPr>
        <w:pStyle w:val="SingleTxtG"/>
        <w:keepNext/>
        <w:ind w:left="2268" w:hanging="1134"/>
        <w:rPr>
          <w:bCs/>
        </w:rPr>
      </w:pPr>
      <w:bookmarkStart w:id="371" w:name="bookmark_398"/>
      <w:r>
        <w:t>1.1.1</w:t>
      </w:r>
      <w:r w:rsidRPr="00FF328B">
        <w:tab/>
        <w:t>Prescriptions applicables aux organes et parties non métalliques</w:t>
      </w:r>
      <w:bookmarkEnd w:id="371"/>
      <w:r>
        <w:t> :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72" w:name="bookmark_399"/>
      <w:r w:rsidRPr="00FF328B">
        <w:t>Ch</w:t>
      </w:r>
      <w:r>
        <w:t>angement maximal de volume : 20 </w:t>
      </w:r>
      <w:r w:rsidRPr="00FF328B">
        <w:t>%</w:t>
      </w:r>
      <w:bookmarkEnd w:id="372"/>
      <w:r>
        <w:t> ;</w:t>
      </w:r>
    </w:p>
    <w:p w:rsidR="002875EA" w:rsidRPr="00FF328B" w:rsidRDefault="002875EA" w:rsidP="002875EA">
      <w:pPr>
        <w:pStyle w:val="SingleTxtG"/>
        <w:ind w:left="2268"/>
        <w:rPr>
          <w:bCs/>
        </w:rPr>
      </w:pPr>
      <w:bookmarkStart w:id="373" w:name="bookmark_400"/>
      <w:r w:rsidRPr="00FF328B">
        <w:t>Après exposition à l</w:t>
      </w:r>
      <w:r>
        <w:t>’air à 40 °C pendant 48 </w:t>
      </w:r>
      <w:r w:rsidRPr="00FF328B">
        <w:t>h, la masse ne doit pas avoir diminué de plus de 5</w:t>
      </w:r>
      <w:r>
        <w:t> </w:t>
      </w:r>
      <w:r w:rsidRPr="00FF328B">
        <w:t>% par rapport à la masse initiale.</w:t>
      </w:r>
      <w:bookmarkEnd w:id="373"/>
    </w:p>
    <w:p w:rsidR="002875EA" w:rsidRPr="00FF328B" w:rsidRDefault="002875EA" w:rsidP="002875EA">
      <w:pPr>
        <w:pStyle w:val="SingleTxtG"/>
        <w:keepNext/>
        <w:ind w:left="2268" w:hanging="1134"/>
      </w:pPr>
      <w:bookmarkStart w:id="374" w:name="bookmark_401"/>
      <w:r>
        <w:t>1.2</w:t>
      </w:r>
      <w:r w:rsidRPr="00FF328B">
        <w:tab/>
        <w:t>Les organes ou parties métalliques susceptibles d</w:t>
      </w:r>
      <w:r>
        <w:t>’</w:t>
      </w:r>
      <w:r w:rsidRPr="00FF328B">
        <w:t>entrer en contact avec de l</w:t>
      </w:r>
      <w:r>
        <w:t>’</w:t>
      </w:r>
      <w:r w:rsidRPr="00FF328B">
        <w:t>essence doivent avoir une résistance permanente à l</w:t>
      </w:r>
      <w:r>
        <w:t>’</w:t>
      </w:r>
      <w:r w:rsidRPr="00FF328B">
        <w:t>essence. Les parties métalliques doivent être protégées de manière permanente contre la corrosion (revêtement, fini de surface, combinaison de matériaux) et satisfaire aux prescriptions du paragraphe</w:t>
      </w:r>
      <w:r>
        <w:t> </w:t>
      </w:r>
      <w:r w:rsidRPr="00FF328B">
        <w:t>12 de l</w:t>
      </w:r>
      <w:r>
        <w:t>’</w:t>
      </w:r>
      <w:r w:rsidRPr="00FF328B">
        <w:t>annexe</w:t>
      </w:r>
      <w:r>
        <w:t> </w:t>
      </w:r>
      <w:r w:rsidRPr="00FF328B">
        <w:t>16.</w:t>
      </w:r>
      <w:bookmarkEnd w:id="374"/>
      <w:r>
        <w:t> »</w:t>
      </w:r>
      <w:r w:rsidR="000F6FD6">
        <w:t>.</w:t>
      </w:r>
    </w:p>
    <w:p w:rsidR="002875EA" w:rsidRPr="00FF328B" w:rsidRDefault="002875EA" w:rsidP="002875EA">
      <w:pPr>
        <w:keepNext/>
        <w:keepLines/>
        <w:tabs>
          <w:tab w:val="left" w:pos="2835"/>
          <w:tab w:val="left" w:pos="8505"/>
        </w:tabs>
        <w:ind w:left="2268" w:right="1134" w:hanging="1134"/>
        <w:jc w:val="both"/>
        <w:rPr>
          <w:i/>
        </w:rPr>
      </w:pPr>
      <w:bookmarkStart w:id="375" w:name="bookmark_402"/>
      <w:r>
        <w:rPr>
          <w:i/>
          <w:iCs/>
        </w:rPr>
        <w:t>Ajouter une nouvelle annexe </w:t>
      </w:r>
      <w:r w:rsidRPr="00FF328B">
        <w:rPr>
          <w:i/>
          <w:iCs/>
        </w:rPr>
        <w:t>20</w:t>
      </w:r>
      <w:r w:rsidRPr="00FF328B">
        <w:t>, libellée comme suit</w:t>
      </w:r>
      <w:bookmarkEnd w:id="375"/>
      <w:r>
        <w:t> :</w:t>
      </w:r>
    </w:p>
    <w:p w:rsidR="002875EA" w:rsidRPr="00FF328B" w:rsidRDefault="002875EA" w:rsidP="00663B01">
      <w:pPr>
        <w:pStyle w:val="HChG"/>
      </w:pPr>
      <w:bookmarkStart w:id="376" w:name="bookmark_403"/>
      <w:r w:rsidRPr="007929EC">
        <w:rPr>
          <w:sz w:val="20"/>
        </w:rPr>
        <w:t>«</w:t>
      </w:r>
      <w:r>
        <w:t> Annexe </w:t>
      </w:r>
      <w:r w:rsidRPr="00FF328B">
        <w:t>20</w:t>
      </w:r>
      <w:bookmarkEnd w:id="376"/>
    </w:p>
    <w:p w:rsidR="002875EA" w:rsidRPr="00FF328B" w:rsidRDefault="002875EA" w:rsidP="002875EA">
      <w:pPr>
        <w:pStyle w:val="HChG"/>
      </w:pPr>
      <w:bookmarkStart w:id="377" w:name="bookmark_404"/>
      <w:r w:rsidRPr="00FF328B">
        <w:tab/>
      </w:r>
      <w:r w:rsidRPr="00FF328B">
        <w:tab/>
        <w:t>Dispositions relatives aux équipements GPL interconnectés</w:t>
      </w:r>
      <w:bookmarkEnd w:id="377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bCs/>
        </w:rPr>
      </w:pPr>
      <w:bookmarkStart w:id="378" w:name="bookmark_405"/>
      <w:r w:rsidRPr="00FF328B">
        <w:t>1.</w:t>
      </w:r>
      <w:r w:rsidRPr="00FF328B">
        <w:tab/>
        <w:t>Documentation</w:t>
      </w:r>
      <w:bookmarkEnd w:id="378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bCs/>
        </w:rPr>
      </w:pPr>
      <w:bookmarkStart w:id="379" w:name="bookmark_406"/>
      <w:r>
        <w:t>1.1</w:t>
      </w:r>
      <w:r w:rsidRPr="00FF328B">
        <w:tab/>
        <w:t>La documentation suivante sera communiquée à l</w:t>
      </w:r>
      <w:r>
        <w:t>’</w:t>
      </w:r>
      <w:r w:rsidRPr="00FF328B">
        <w:t>autorité d</w:t>
      </w:r>
      <w:r>
        <w:t>’</w:t>
      </w:r>
      <w:r w:rsidRPr="00FF328B">
        <w:t>homologation de type et au service technique</w:t>
      </w:r>
      <w:bookmarkEnd w:id="379"/>
      <w:r>
        <w:t> :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80" w:name="bookmark_407"/>
      <w:r w:rsidRPr="00FF328B">
        <w:t>a)</w:t>
      </w:r>
      <w:r w:rsidRPr="00FF328B">
        <w:tab/>
        <w:t>Une liste de toutes les parties de l</w:t>
      </w:r>
      <w:r>
        <w:t>’</w:t>
      </w:r>
      <w:r w:rsidRPr="00FF328B">
        <w:t>équipement spé</w:t>
      </w:r>
      <w:r>
        <w:t>cifique mentionné au paragraphe </w:t>
      </w:r>
      <w:r w:rsidRPr="00FF328B">
        <w:t>2.2 du présent Règlement, y compris la documentation d</w:t>
      </w:r>
      <w:r>
        <w:t>’</w:t>
      </w:r>
      <w:r w:rsidRPr="00FF328B">
        <w:t>homologation, qui font partie d</w:t>
      </w:r>
      <w:r w:rsidR="000F6FD6">
        <w:t xml:space="preserve">’un </w:t>
      </w:r>
      <w:r w:rsidR="000F6FD6" w:rsidRPr="000F6FD6">
        <w:t>“</w:t>
      </w:r>
      <w:r w:rsidR="000F6FD6">
        <w:t xml:space="preserve">bloc </w:t>
      </w:r>
      <w:proofErr w:type="spellStart"/>
      <w:r w:rsidR="000F6FD6">
        <w:t>multiorganes</w:t>
      </w:r>
      <w:proofErr w:type="spellEnd"/>
      <w:r w:rsidR="000F6FD6" w:rsidRPr="006C38F5">
        <w:t>”</w:t>
      </w:r>
      <w:r w:rsidRPr="00FF328B">
        <w:t>, comme défini au paragraphe 2.23 du présent Règlement, s</w:t>
      </w:r>
      <w:r>
        <w:t>’il existe dans le </w:t>
      </w:r>
      <w:r w:rsidRPr="00FF328B">
        <w:t>système</w:t>
      </w:r>
      <w:bookmarkEnd w:id="380"/>
      <w:r>
        <w:t> ;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81" w:name="bookmark_408"/>
      <w:r w:rsidRPr="00FF328B">
        <w:lastRenderedPageBreak/>
        <w:t>b)</w:t>
      </w:r>
      <w:r w:rsidRPr="00FF328B">
        <w:tab/>
        <w:t>La description des moyens permettant d</w:t>
      </w:r>
      <w:r>
        <w:t>’</w:t>
      </w:r>
      <w:r w:rsidRPr="00FF328B">
        <w:t>assurer le respect des prescriptions énoncées au paragraphe 17.13.2.3 du présent Règlement, y compris tous les équipements, les paramètres surveillés, les facteurs pertinents et les critères et mesures appliqués</w:t>
      </w:r>
      <w:bookmarkEnd w:id="381"/>
      <w:r>
        <w:t> ;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82" w:name="bookmark_409"/>
      <w:r w:rsidRPr="00FF328B">
        <w:t>c)</w:t>
      </w:r>
      <w:r w:rsidRPr="00FF328B">
        <w:tab/>
        <w:t>Un diagramme de décision présentant les stratégies utilisées pour satisfaire aux prescriptions énoncées au paragraphe 17.13.2.3 du présent Règlement.</w:t>
      </w:r>
      <w:bookmarkEnd w:id="382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bCs/>
        </w:rPr>
      </w:pPr>
      <w:bookmarkStart w:id="383" w:name="bookmark_410"/>
      <w:r w:rsidRPr="00FF328B">
        <w:t>2.</w:t>
      </w:r>
      <w:r w:rsidRPr="00FF328B">
        <w:tab/>
        <w:t>Procédures d</w:t>
      </w:r>
      <w:r>
        <w:t>’</w:t>
      </w:r>
      <w:r w:rsidRPr="00FF328B">
        <w:t>essai</w:t>
      </w:r>
      <w:bookmarkEnd w:id="383"/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bCs/>
        </w:rPr>
      </w:pPr>
      <w:bookmarkStart w:id="384" w:name="bookmark_411"/>
      <w:r>
        <w:t>2.1</w:t>
      </w:r>
      <w:r w:rsidRPr="00FF328B">
        <w:tab/>
        <w:t>Afin de vérifier le respect des prescriptions du paragraphe 17.13.2.3 du présent Règlement, il convient de soumettre un véhicule à l</w:t>
      </w:r>
      <w:r>
        <w:t>’</w:t>
      </w:r>
      <w:r w:rsidRPr="00FF328B">
        <w:t>essai suivant</w:t>
      </w:r>
      <w:bookmarkEnd w:id="384"/>
      <w:r>
        <w:t> :</w:t>
      </w:r>
    </w:p>
    <w:p w:rsidR="002875EA" w:rsidRPr="00FF328B" w:rsidRDefault="002875EA" w:rsidP="002875EA">
      <w:pPr>
        <w:pStyle w:val="SingleTxtG"/>
        <w:keepNext/>
        <w:keepLines/>
        <w:ind w:left="2268" w:hanging="1134"/>
        <w:rPr>
          <w:bCs/>
        </w:rPr>
      </w:pPr>
      <w:bookmarkStart w:id="385" w:name="bookmark_412"/>
      <w:r>
        <w:tab/>
      </w:r>
      <w:r w:rsidRPr="00FF328B">
        <w:t>Procédure d</w:t>
      </w:r>
      <w:r>
        <w:t>’</w:t>
      </w:r>
      <w:r w:rsidRPr="00FF328B">
        <w:t>essai</w:t>
      </w:r>
      <w:bookmarkEnd w:id="385"/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86" w:name="bookmark_413"/>
      <w:r w:rsidRPr="00FF328B">
        <w:t>a)</w:t>
      </w:r>
      <w:r w:rsidRPr="00FF328B">
        <w:tab/>
        <w:t>Installer l</w:t>
      </w:r>
      <w:r>
        <w:t>’</w:t>
      </w:r>
      <w:r w:rsidRPr="00FF328B">
        <w:t>équipement GPL sur le véhicule</w:t>
      </w:r>
      <w:bookmarkEnd w:id="386"/>
      <w:r>
        <w:t> ;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87" w:name="bookmark_414"/>
      <w:r w:rsidRPr="00FF328B">
        <w:t>b)</w:t>
      </w:r>
      <w:r w:rsidRPr="00FF328B">
        <w:tab/>
        <w:t>Remplir le r</w:t>
      </w:r>
      <w:r>
        <w:t>éservoir à GPL avec au moins 10 </w:t>
      </w:r>
      <w:r w:rsidRPr="00FF328B">
        <w:t>l de carburant</w:t>
      </w:r>
      <w:bookmarkEnd w:id="387"/>
      <w:r>
        <w:t> ;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88" w:name="bookmark_415"/>
      <w:r w:rsidRPr="00FF328B">
        <w:t>c)</w:t>
      </w:r>
      <w:r w:rsidRPr="00FF328B">
        <w:tab/>
        <w:t>Régler le système de sélection du carburant sur le mode GPL</w:t>
      </w:r>
      <w:bookmarkEnd w:id="388"/>
      <w:r>
        <w:t> ;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89" w:name="bookmark_416"/>
      <w:r>
        <w:t>d)</w:t>
      </w:r>
      <w:r>
        <w:tab/>
      </w:r>
      <w:r w:rsidRPr="00FF328B">
        <w:t>Faire tourner le moteur au régime de ralenti le plus bas</w:t>
      </w:r>
      <w:bookmarkEnd w:id="389"/>
      <w:r>
        <w:t> ;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90" w:name="bookmark_417"/>
      <w:r w:rsidRPr="00FF328B">
        <w:t>e)</w:t>
      </w:r>
      <w:r w:rsidRPr="00FF328B">
        <w:tab/>
        <w:t>Passer du mode GPL au mode essence et inversement</w:t>
      </w:r>
      <w:bookmarkEnd w:id="390"/>
      <w:r>
        <w:t> ;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91" w:name="bookmark_418"/>
      <w:r w:rsidRPr="00FF328B">
        <w:t>f)</w:t>
      </w:r>
      <w:r w:rsidRPr="00FF328B">
        <w:tab/>
        <w:t>Répéter l</w:t>
      </w:r>
      <w:r>
        <w:t>’action </w:t>
      </w:r>
      <w:r w:rsidRPr="00FF328B">
        <w:t>e) jusqu</w:t>
      </w:r>
      <w:r>
        <w:t>’</w:t>
      </w:r>
      <w:r w:rsidRPr="00FF328B">
        <w:t>à ce que la désactivation du mode essence devienne permanente.</w:t>
      </w:r>
      <w:bookmarkEnd w:id="391"/>
    </w:p>
    <w:p w:rsidR="002875EA" w:rsidRPr="00FF328B" w:rsidRDefault="002875EA" w:rsidP="002875EA">
      <w:pPr>
        <w:pStyle w:val="SingleTxtG"/>
        <w:keepNext/>
        <w:keepLines/>
        <w:ind w:left="2835" w:hanging="567"/>
        <w:rPr>
          <w:bCs/>
        </w:rPr>
      </w:pPr>
      <w:bookmarkStart w:id="392" w:name="bookmark_419"/>
      <w:r w:rsidRPr="00FF328B">
        <w:t>Interprétation de l</w:t>
      </w:r>
      <w:r>
        <w:t>’</w:t>
      </w:r>
      <w:r w:rsidRPr="00FF328B">
        <w:t>essai</w:t>
      </w:r>
      <w:bookmarkEnd w:id="392"/>
    </w:p>
    <w:p w:rsidR="002875EA" w:rsidRPr="00FF328B" w:rsidRDefault="002875EA" w:rsidP="002875EA">
      <w:pPr>
        <w:pStyle w:val="SingleTxtG"/>
        <w:keepNext/>
        <w:keepLines/>
        <w:ind w:left="2268"/>
        <w:rPr>
          <w:bCs/>
        </w:rPr>
      </w:pPr>
      <w:bookmarkStart w:id="393" w:name="bookmark_420"/>
      <w:r w:rsidRPr="00FF328B">
        <w:t>Les critères appliqués pour l</w:t>
      </w:r>
      <w:r>
        <w:t>’</w:t>
      </w:r>
      <w:r w:rsidRPr="00FF328B">
        <w:t>interprétation des résultats de l</w:t>
      </w:r>
      <w:r>
        <w:t>’</w:t>
      </w:r>
      <w:r w:rsidRPr="00FF328B">
        <w:t>essai sont les suivants</w:t>
      </w:r>
      <w:bookmarkEnd w:id="393"/>
      <w:r>
        <w:t> :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94" w:name="bookmark_421"/>
      <w:proofErr w:type="spellStart"/>
      <w:r>
        <w:t>Nsw</w:t>
      </w:r>
      <w:proofErr w:type="spellEnd"/>
      <w:r>
        <w:t xml:space="preserve"> &lt; 0,16 * Vin / </w:t>
      </w:r>
      <w:proofErr w:type="spellStart"/>
      <w:r w:rsidRPr="00FF328B">
        <w:t>Vsw</w:t>
      </w:r>
      <w:bookmarkEnd w:id="394"/>
      <w:proofErr w:type="spellEnd"/>
    </w:p>
    <w:p w:rsidR="002875EA" w:rsidRPr="00FF328B" w:rsidRDefault="002875EA" w:rsidP="002875EA">
      <w:pPr>
        <w:pStyle w:val="SingleTxtG"/>
        <w:keepNext/>
        <w:keepLines/>
        <w:ind w:left="2835" w:hanging="567"/>
        <w:rPr>
          <w:bCs/>
        </w:rPr>
      </w:pPr>
      <w:bookmarkStart w:id="395" w:name="bookmark_422"/>
      <w:proofErr w:type="gramStart"/>
      <w:r w:rsidRPr="00FF328B">
        <w:t>où</w:t>
      </w:r>
      <w:bookmarkEnd w:id="395"/>
      <w:proofErr w:type="gramEnd"/>
      <w:r>
        <w:t> :</w:t>
      </w:r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96" w:name="bookmark_423"/>
      <w:proofErr w:type="spellStart"/>
      <w:r w:rsidRPr="00FF328B">
        <w:t>Nsw</w:t>
      </w:r>
      <w:proofErr w:type="spellEnd"/>
      <w:r w:rsidRPr="00FF328B">
        <w:t xml:space="preserve"> =</w:t>
      </w:r>
      <w:r w:rsidRPr="00FF328B">
        <w:tab/>
        <w:t>nombre d</w:t>
      </w:r>
      <w:r>
        <w:t>’</w:t>
      </w:r>
      <w:r w:rsidRPr="00FF328B">
        <w:t>opérations de passage du mode GPL au mode essence et inversement jusqu</w:t>
      </w:r>
      <w:r>
        <w:t>’</w:t>
      </w:r>
      <w:r w:rsidRPr="00FF328B">
        <w:t>à ce que l</w:t>
      </w:r>
      <w:r>
        <w:t>’</w:t>
      </w:r>
      <w:r w:rsidRPr="00FF328B">
        <w:t>inactivation du mode essence devienne permanente.</w:t>
      </w:r>
      <w:bookmarkEnd w:id="396"/>
    </w:p>
    <w:p w:rsidR="002875EA" w:rsidRPr="00FF328B" w:rsidRDefault="002875EA" w:rsidP="002875EA">
      <w:pPr>
        <w:pStyle w:val="SingleTxtG"/>
        <w:ind w:left="2835" w:hanging="567"/>
        <w:rPr>
          <w:bCs/>
        </w:rPr>
      </w:pPr>
      <w:bookmarkStart w:id="397" w:name="bookmark_424"/>
      <w:proofErr w:type="spellStart"/>
      <w:r w:rsidRPr="00FF328B">
        <w:t>Vsw</w:t>
      </w:r>
      <w:proofErr w:type="spellEnd"/>
      <w:r w:rsidRPr="00FF328B">
        <w:t xml:space="preserve"> =</w:t>
      </w:r>
      <w:r w:rsidRPr="00FF328B">
        <w:tab/>
        <w:t>volume d</w:t>
      </w:r>
      <w:r>
        <w:t>’</w:t>
      </w:r>
      <w:r w:rsidRPr="00FF328B">
        <w:t>essence qui a reflué dans le réservoir à GPL par opération de passage d</w:t>
      </w:r>
      <w:r>
        <w:t>’</w:t>
      </w:r>
      <w:r w:rsidRPr="00FF328B">
        <w:t>un mode à un autre, tel que mesuré conformément au paragraphe 6.1 de l</w:t>
      </w:r>
      <w:r>
        <w:t>’</w:t>
      </w:r>
      <w:r w:rsidRPr="00FF328B">
        <w:t>annexe 14 du présent Règlement.</w:t>
      </w:r>
      <w:bookmarkEnd w:id="397"/>
    </w:p>
    <w:p w:rsidR="005F0207" w:rsidRDefault="002875EA" w:rsidP="002875EA">
      <w:pPr>
        <w:pStyle w:val="SingleTxtG"/>
        <w:ind w:left="2835" w:hanging="567"/>
      </w:pPr>
      <w:bookmarkStart w:id="398" w:name="bookmark_425"/>
      <w:r w:rsidRPr="00FF328B">
        <w:t>Vin =</w:t>
      </w:r>
      <w:r w:rsidRPr="00FF328B">
        <w:tab/>
        <w:t>volume initial de GPL</w:t>
      </w:r>
      <w:r>
        <w:t xml:space="preserve"> conformément au paragraphe 2.1 </w:t>
      </w:r>
      <w:r w:rsidRPr="00FF328B">
        <w:t>b) de la présente annexe.</w:t>
      </w:r>
      <w:bookmarkEnd w:id="398"/>
      <w:r>
        <w:t> »</w:t>
      </w:r>
      <w:r w:rsidR="006C38F5">
        <w:t>.</w:t>
      </w:r>
    </w:p>
    <w:p w:rsidR="002875EA" w:rsidRPr="002875EA" w:rsidRDefault="002875EA" w:rsidP="002875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75EA" w:rsidRPr="002875EA" w:rsidSect="00147EE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DD" w:rsidRDefault="002700DD"/>
  </w:endnote>
  <w:endnote w:type="continuationSeparator" w:id="0">
    <w:p w:rsidR="002700DD" w:rsidRDefault="002700DD">
      <w:pPr>
        <w:pStyle w:val="Footer"/>
      </w:pPr>
    </w:p>
  </w:endnote>
  <w:endnote w:type="continuationNotice" w:id="1">
    <w:p w:rsidR="002700DD" w:rsidRPr="00C451B9" w:rsidRDefault="002700D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DD" w:rsidRPr="00147EE2" w:rsidRDefault="002700DD" w:rsidP="00147EE2">
    <w:pPr>
      <w:pStyle w:val="Footer"/>
      <w:tabs>
        <w:tab w:val="right" w:pos="9638"/>
      </w:tabs>
    </w:pPr>
    <w:r w:rsidRPr="00147EE2">
      <w:rPr>
        <w:b/>
        <w:sz w:val="18"/>
      </w:rPr>
      <w:fldChar w:fldCharType="begin"/>
    </w:r>
    <w:r w:rsidRPr="00147EE2">
      <w:rPr>
        <w:b/>
        <w:sz w:val="18"/>
      </w:rPr>
      <w:instrText xml:space="preserve"> PAGE  \* MERGEFORMAT </w:instrText>
    </w:r>
    <w:r w:rsidRPr="00147EE2">
      <w:rPr>
        <w:b/>
        <w:sz w:val="18"/>
      </w:rPr>
      <w:fldChar w:fldCharType="separate"/>
    </w:r>
    <w:r w:rsidRPr="00147EE2">
      <w:rPr>
        <w:b/>
        <w:noProof/>
        <w:sz w:val="18"/>
      </w:rPr>
      <w:t>2</w:t>
    </w:r>
    <w:r w:rsidRPr="00147EE2">
      <w:rPr>
        <w:b/>
        <w:sz w:val="18"/>
      </w:rPr>
      <w:fldChar w:fldCharType="end"/>
    </w:r>
    <w:r>
      <w:rPr>
        <w:b/>
        <w:sz w:val="18"/>
      </w:rPr>
      <w:tab/>
    </w:r>
    <w:r>
      <w:t>GE.18-18562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DD" w:rsidRPr="00147EE2" w:rsidRDefault="002700DD" w:rsidP="00147EE2">
    <w:pPr>
      <w:pStyle w:val="Footer"/>
      <w:tabs>
        <w:tab w:val="right" w:pos="9638"/>
      </w:tabs>
      <w:rPr>
        <w:b/>
        <w:sz w:val="18"/>
      </w:rPr>
    </w:pPr>
    <w:r>
      <w:t>GE.18-18562</w:t>
    </w:r>
    <w:r>
      <w:tab/>
    </w:r>
    <w:r w:rsidRPr="00147EE2">
      <w:rPr>
        <w:b/>
        <w:sz w:val="18"/>
      </w:rPr>
      <w:fldChar w:fldCharType="begin"/>
    </w:r>
    <w:r w:rsidRPr="00147EE2">
      <w:rPr>
        <w:b/>
        <w:sz w:val="18"/>
      </w:rPr>
      <w:instrText xml:space="preserve"> PAGE  \* MERGEFORMAT </w:instrText>
    </w:r>
    <w:r w:rsidRPr="00147EE2">
      <w:rPr>
        <w:b/>
        <w:sz w:val="18"/>
      </w:rPr>
      <w:fldChar w:fldCharType="separate"/>
    </w:r>
    <w:r w:rsidRPr="00147EE2">
      <w:rPr>
        <w:b/>
        <w:noProof/>
        <w:sz w:val="18"/>
      </w:rPr>
      <w:t>3</w:t>
    </w:r>
    <w:r w:rsidRPr="00147E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DD" w:rsidRPr="00147EE2" w:rsidRDefault="002700DD" w:rsidP="00147EE2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18562  (</w:t>
    </w:r>
    <w:proofErr w:type="gramEnd"/>
    <w:r>
      <w:rPr>
        <w:sz w:val="20"/>
      </w:rPr>
      <w:t>F)    141118    110119</w:t>
    </w:r>
    <w:r>
      <w:rPr>
        <w:sz w:val="20"/>
      </w:rPr>
      <w:br/>
    </w:r>
    <w:r w:rsidRPr="00147EE2">
      <w:rPr>
        <w:rFonts w:ascii="C39T30Lfz" w:hAnsi="C39T30Lfz"/>
        <w:sz w:val="56"/>
      </w:rPr>
      <w:t></w:t>
    </w:r>
    <w:r w:rsidRPr="00147EE2">
      <w:rPr>
        <w:rFonts w:ascii="C39T30Lfz" w:hAnsi="C39T30Lfz"/>
        <w:sz w:val="56"/>
      </w:rPr>
      <w:t></w:t>
    </w:r>
    <w:r w:rsidRPr="00147EE2">
      <w:rPr>
        <w:rFonts w:ascii="C39T30Lfz" w:hAnsi="C39T30Lfz"/>
        <w:sz w:val="56"/>
      </w:rPr>
      <w:t></w:t>
    </w:r>
    <w:r w:rsidRPr="00147EE2">
      <w:rPr>
        <w:rFonts w:ascii="C39T30Lfz" w:hAnsi="C39T30Lfz"/>
        <w:sz w:val="56"/>
      </w:rPr>
      <w:t></w:t>
    </w:r>
    <w:r w:rsidRPr="00147EE2">
      <w:rPr>
        <w:rFonts w:ascii="C39T30Lfz" w:hAnsi="C39T30Lfz"/>
        <w:sz w:val="56"/>
      </w:rPr>
      <w:t></w:t>
    </w:r>
    <w:r w:rsidRPr="00147EE2">
      <w:rPr>
        <w:rFonts w:ascii="C39T30Lfz" w:hAnsi="C39T30Lfz"/>
        <w:sz w:val="56"/>
      </w:rPr>
      <w:t></w:t>
    </w:r>
    <w:r w:rsidRPr="00147EE2">
      <w:rPr>
        <w:rFonts w:ascii="C39T30Lfz" w:hAnsi="C39T30Lfz"/>
        <w:sz w:val="56"/>
      </w:rPr>
      <w:t></w:t>
    </w:r>
    <w:r w:rsidRPr="00147EE2">
      <w:rPr>
        <w:rFonts w:ascii="C39T30Lfz" w:hAnsi="C39T30Lfz"/>
        <w:sz w:val="56"/>
      </w:rPr>
      <w:t></w:t>
    </w:r>
    <w:r w:rsidRPr="00147EE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66/Rev.4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6/Rev.4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DD" w:rsidRPr="00D27D5E" w:rsidRDefault="002700D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00DD" w:rsidRPr="00D171D4" w:rsidRDefault="002700D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700DD" w:rsidRPr="00C451B9" w:rsidRDefault="002700DD" w:rsidP="00C451B9">
      <w:pPr>
        <w:spacing w:line="240" w:lineRule="auto"/>
        <w:rPr>
          <w:sz w:val="2"/>
          <w:szCs w:val="2"/>
        </w:rPr>
      </w:pPr>
    </w:p>
  </w:footnote>
  <w:footnote w:id="2">
    <w:p w:rsidR="002700DD" w:rsidRPr="00591072" w:rsidRDefault="002700DD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Pr="00591072">
        <w:t>Anciens titres de l’Accord :</w:t>
      </w:r>
    </w:p>
    <w:p w:rsidR="002700DD" w:rsidRPr="00591072" w:rsidRDefault="002700DD" w:rsidP="00591072">
      <w:pPr>
        <w:pStyle w:val="FootnoteText"/>
      </w:pPr>
      <w:r w:rsidRPr="00147EE2">
        <w:tab/>
      </w:r>
      <w:r w:rsidRPr="00147EE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2700DD" w:rsidRPr="00591072" w:rsidRDefault="002700DD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2700DD" w:rsidRPr="00442E31" w:rsidRDefault="002700DD">
      <w:pPr>
        <w:pStyle w:val="FootnoteText"/>
      </w:pPr>
    </w:p>
  </w:footnote>
  <w:footnote w:id="3">
    <w:p w:rsidR="002700DD" w:rsidRPr="008270FA" w:rsidRDefault="002700DD">
      <w:pPr>
        <w:pStyle w:val="FootnoteText"/>
      </w:pPr>
      <w:r>
        <w:rPr>
          <w:rStyle w:val="FootnoteReference"/>
        </w:rPr>
        <w:tab/>
      </w:r>
      <w:r w:rsidRPr="008270F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Parties non métalliques seulement.</w:t>
      </w:r>
    </w:p>
  </w:footnote>
  <w:footnote w:id="4">
    <w:p w:rsidR="002700DD" w:rsidRPr="00CC7FDB" w:rsidRDefault="002700DD" w:rsidP="002875EA">
      <w:pPr>
        <w:pStyle w:val="FootnoteText"/>
      </w:pPr>
      <w:r w:rsidRPr="00376859">
        <w:rPr>
          <w:lang w:val="fr-FR"/>
        </w:rPr>
        <w:tab/>
      </w:r>
      <w:r w:rsidRPr="00FF328B">
        <w:rPr>
          <w:rStyle w:val="FootnoteReference"/>
        </w:rPr>
        <w:footnoteRef/>
      </w:r>
      <w:r>
        <w:tab/>
        <w:t>Parties métalliques seulement.</w:t>
      </w:r>
    </w:p>
  </w:footnote>
  <w:footnote w:id="5">
    <w:p w:rsidR="002700DD" w:rsidRPr="006D0E2C" w:rsidRDefault="002700DD" w:rsidP="002875EA">
      <w:pPr>
        <w:pStyle w:val="FootnoteText"/>
        <w:rPr>
          <w:rFonts w:eastAsia="MS Mincho"/>
        </w:rPr>
      </w:pPr>
      <w:r w:rsidRPr="00CC7FDB">
        <w:tab/>
      </w:r>
      <w:r w:rsidRPr="00FF328B">
        <w:rPr>
          <w:rStyle w:val="FootnoteReference"/>
        </w:rPr>
        <w:footnoteRef/>
      </w:r>
      <w:r>
        <w:tab/>
        <w:t>Parties métalliques seulement.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DD" w:rsidRPr="00147EE2" w:rsidRDefault="002700DD">
    <w:pPr>
      <w:pStyle w:val="Header"/>
      <w:rPr>
        <w:lang w:val="en-US"/>
      </w:rPr>
    </w:pPr>
    <w:r>
      <w:fldChar w:fldCharType="begin"/>
    </w:r>
    <w:r w:rsidRPr="00147EE2">
      <w:rPr>
        <w:lang w:val="en-US"/>
      </w:rPr>
      <w:instrText xml:space="preserve"> TITLE  \* MERGEFORMAT </w:instrText>
    </w:r>
    <w:r>
      <w:fldChar w:fldCharType="separate"/>
    </w:r>
    <w:r w:rsidR="002C34E4">
      <w:rPr>
        <w:lang w:val="en-US"/>
      </w:rPr>
      <w:t>E/ECE/324/Rev.1/Add.66/Rev.4/Amend.1</w:t>
    </w:r>
    <w:r>
      <w:fldChar w:fldCharType="end"/>
    </w:r>
    <w:r w:rsidRPr="00147EE2">
      <w:rPr>
        <w:lang w:val="en-US"/>
      </w:rPr>
      <w:br/>
    </w:r>
    <w:r>
      <w:fldChar w:fldCharType="begin"/>
    </w:r>
    <w:r w:rsidRPr="00147EE2">
      <w:rPr>
        <w:lang w:val="en-US"/>
      </w:rPr>
      <w:instrText xml:space="preserve"> KEYWORDS  \* MERGEFORMAT </w:instrText>
    </w:r>
    <w:r>
      <w:fldChar w:fldCharType="separate"/>
    </w:r>
    <w:r w:rsidR="002C34E4">
      <w:rPr>
        <w:lang w:val="en-US"/>
      </w:rPr>
      <w:t>E/ECE/TRANS/505/Rev.1/Add.66/Rev.4/Amend.1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DD" w:rsidRPr="00147EE2" w:rsidRDefault="002700DD" w:rsidP="00147EE2">
    <w:pPr>
      <w:pStyle w:val="Header"/>
      <w:jc w:val="right"/>
      <w:rPr>
        <w:lang w:val="en-US"/>
      </w:rPr>
    </w:pPr>
    <w:r>
      <w:fldChar w:fldCharType="begin"/>
    </w:r>
    <w:r w:rsidRPr="00147EE2">
      <w:rPr>
        <w:lang w:val="en-US"/>
      </w:rPr>
      <w:instrText xml:space="preserve"> TITLE  \* MERGEFORMAT </w:instrText>
    </w:r>
    <w:r>
      <w:fldChar w:fldCharType="separate"/>
    </w:r>
    <w:r w:rsidR="002C34E4">
      <w:rPr>
        <w:lang w:val="en-US"/>
      </w:rPr>
      <w:t>E/ECE/324/Rev.1/Add.66/Rev.4/Amend.1</w:t>
    </w:r>
    <w:r>
      <w:fldChar w:fldCharType="end"/>
    </w:r>
    <w:r w:rsidRPr="00147EE2">
      <w:rPr>
        <w:lang w:val="en-US"/>
      </w:rPr>
      <w:br/>
    </w:r>
    <w:r>
      <w:fldChar w:fldCharType="begin"/>
    </w:r>
    <w:r w:rsidRPr="00147EE2">
      <w:rPr>
        <w:lang w:val="en-US"/>
      </w:rPr>
      <w:instrText xml:space="preserve"> KEYWORDS  \* MERGEFORMAT </w:instrText>
    </w:r>
    <w:r>
      <w:fldChar w:fldCharType="separate"/>
    </w:r>
    <w:r w:rsidR="002C34E4">
      <w:rPr>
        <w:lang w:val="en-US"/>
      </w:rPr>
      <w:t>E/ECE/TRANS/505/Rev.1/Add.66/Rev.4/Amend.1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2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D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4A72"/>
    <w:rsid w:val="000A6B7E"/>
    <w:rsid w:val="000B20D3"/>
    <w:rsid w:val="000C6CDB"/>
    <w:rsid w:val="000D5C25"/>
    <w:rsid w:val="000E4F06"/>
    <w:rsid w:val="000E5601"/>
    <w:rsid w:val="000E5602"/>
    <w:rsid w:val="000F41F2"/>
    <w:rsid w:val="000F6FD6"/>
    <w:rsid w:val="0010373B"/>
    <w:rsid w:val="0011415F"/>
    <w:rsid w:val="00125446"/>
    <w:rsid w:val="001358D9"/>
    <w:rsid w:val="00141E26"/>
    <w:rsid w:val="00143EB9"/>
    <w:rsid w:val="00147EE2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3193"/>
    <w:rsid w:val="001D7F8A"/>
    <w:rsid w:val="001E0447"/>
    <w:rsid w:val="001E1495"/>
    <w:rsid w:val="001E34CB"/>
    <w:rsid w:val="001E3DC9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3DEE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00DD"/>
    <w:rsid w:val="00271E41"/>
    <w:rsid w:val="00284C19"/>
    <w:rsid w:val="00286E23"/>
    <w:rsid w:val="002875EA"/>
    <w:rsid w:val="002876A1"/>
    <w:rsid w:val="00287CA6"/>
    <w:rsid w:val="00287E79"/>
    <w:rsid w:val="002928F9"/>
    <w:rsid w:val="00294D5B"/>
    <w:rsid w:val="0029791D"/>
    <w:rsid w:val="002A2A2C"/>
    <w:rsid w:val="002A5D07"/>
    <w:rsid w:val="002C34E4"/>
    <w:rsid w:val="002D25CA"/>
    <w:rsid w:val="002D3DA4"/>
    <w:rsid w:val="002E2F5C"/>
    <w:rsid w:val="002E5D1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0416"/>
    <w:rsid w:val="00372A7A"/>
    <w:rsid w:val="00372D1D"/>
    <w:rsid w:val="00374106"/>
    <w:rsid w:val="0037679A"/>
    <w:rsid w:val="0038047C"/>
    <w:rsid w:val="00390EEF"/>
    <w:rsid w:val="00394410"/>
    <w:rsid w:val="003976D5"/>
    <w:rsid w:val="00397D77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17C99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1560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E7"/>
    <w:rsid w:val="006434FD"/>
    <w:rsid w:val="00643814"/>
    <w:rsid w:val="006439EC"/>
    <w:rsid w:val="00645090"/>
    <w:rsid w:val="00647059"/>
    <w:rsid w:val="00647162"/>
    <w:rsid w:val="0065029A"/>
    <w:rsid w:val="006553F9"/>
    <w:rsid w:val="006565D9"/>
    <w:rsid w:val="00661E96"/>
    <w:rsid w:val="00663B01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C38F5"/>
    <w:rsid w:val="006D0E2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E08DE"/>
    <w:rsid w:val="007F1867"/>
    <w:rsid w:val="007F1EC4"/>
    <w:rsid w:val="007F55CB"/>
    <w:rsid w:val="007F768E"/>
    <w:rsid w:val="008021D4"/>
    <w:rsid w:val="008149F9"/>
    <w:rsid w:val="008245B7"/>
    <w:rsid w:val="008270FA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5DC5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1EEE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0578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06A"/>
    <w:rsid w:val="00DC4F43"/>
    <w:rsid w:val="00DC7D30"/>
    <w:rsid w:val="00DC7F3A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A6EFF"/>
    <w:rsid w:val="00EB77B9"/>
    <w:rsid w:val="00EB7D07"/>
    <w:rsid w:val="00ED3A26"/>
    <w:rsid w:val="00EF13DD"/>
    <w:rsid w:val="00EF3B43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D0BA34C-9DF2-444E-B343-F3BEF231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iPriority w:val="99"/>
    <w:rsid w:val="0048687D"/>
    <w:rPr>
      <w:color w:val="0000FF"/>
      <w:u w:val="none"/>
    </w:rPr>
  </w:style>
  <w:style w:type="character" w:styleId="FollowedHyperlink">
    <w:name w:val="FollowedHyperlink"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styleId="CommentReference">
    <w:name w:val="annotation reference"/>
    <w:rsid w:val="00287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5EA"/>
    <w:rPr>
      <w:rFonts w:eastAsia="Calibri"/>
      <w:sz w:val="24"/>
      <w:lang w:val="fr-FR"/>
    </w:rPr>
  </w:style>
  <w:style w:type="character" w:customStyle="1" w:styleId="CommentTextChar">
    <w:name w:val="Comment Text Char"/>
    <w:basedOn w:val="DefaultParagraphFont"/>
    <w:link w:val="CommentText"/>
    <w:rsid w:val="002875EA"/>
    <w:rPr>
      <w:rFonts w:eastAsia="Calibri"/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287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5EA"/>
    <w:rPr>
      <w:rFonts w:eastAsia="Calibri"/>
      <w:b/>
      <w:bCs/>
      <w:sz w:val="24"/>
      <w:lang w:val="fr-FR"/>
    </w:rPr>
  </w:style>
  <w:style w:type="character" w:customStyle="1" w:styleId="HChGChar">
    <w:name w:val="_ H _Ch_G Char"/>
    <w:link w:val="HChG"/>
    <w:rsid w:val="002875EA"/>
    <w:rPr>
      <w:rFonts w:eastAsiaTheme="minorHAnsi"/>
      <w:b/>
      <w:sz w:val="28"/>
      <w:lang w:val="fr-CH"/>
    </w:rPr>
  </w:style>
  <w:style w:type="paragraph" w:customStyle="1" w:styleId="Para">
    <w:name w:val="Para"/>
    <w:basedOn w:val="Normal"/>
    <w:qFormat/>
    <w:rsid w:val="002875EA"/>
    <w:pPr>
      <w:widowControl w:val="0"/>
      <w:suppressAutoHyphens w:val="0"/>
      <w:kinsoku/>
      <w:overflowPunct/>
      <w:autoSpaceDE/>
      <w:autoSpaceDN/>
      <w:adjustRightInd/>
      <w:snapToGrid/>
      <w:spacing w:after="120" w:line="240" w:lineRule="exact"/>
      <w:ind w:left="2268" w:right="1134" w:hanging="1134"/>
      <w:jc w:val="both"/>
    </w:pPr>
    <w:rPr>
      <w:rFonts w:eastAsia="Times New Roman"/>
      <w:lang w:val="en-US"/>
    </w:rPr>
  </w:style>
  <w:style w:type="character" w:customStyle="1" w:styleId="H1GChar">
    <w:name w:val="_ H_1_G Char"/>
    <w:link w:val="H1G"/>
    <w:rsid w:val="002875EA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5107</Words>
  <Characters>29111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E/ECE/324/Rev.1/Add.66/Rev.4/Amend.1</vt:lpstr>
      <vt:lpstr>E/ECE/324/Rev.1/Add.66/Rev.4/Amend.1</vt:lpstr>
    </vt:vector>
  </TitlesOfParts>
  <Company>CSD</Company>
  <LinksUpToDate>false</LinksUpToDate>
  <CharactersWithSpaces>34150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E/ECE/324/Rev.1/Add.66/Rev.4/Amend.1</dc:title>
  <dc:creator>Maud DARICHE</dc:creator>
  <cp:keywords>E/ECE/TRANS/505/Rev.1/Add.66/Rev.4/Amend.1</cp:keywords>
  <cp:lastModifiedBy>Marie-Claude Collet</cp:lastModifiedBy>
  <cp:revision>3</cp:revision>
  <cp:lastPrinted>2019-01-11T15:26:00Z</cp:lastPrinted>
  <dcterms:created xsi:type="dcterms:W3CDTF">2019-01-11T15:26:00Z</dcterms:created>
  <dcterms:modified xsi:type="dcterms:W3CDTF">2019-01-11T15:27:00Z</dcterms:modified>
</cp:coreProperties>
</file>