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C47A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D8A" w:rsidRPr="00936D8A" w:rsidRDefault="00936D8A" w:rsidP="00936D8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36D8A">
              <w:rPr>
                <w:sz w:val="40"/>
                <w:lang w:val="en-US"/>
              </w:rPr>
              <w:t>E</w:t>
            </w:r>
            <w:r w:rsidRPr="00936D8A">
              <w:rPr>
                <w:lang w:val="en-US"/>
              </w:rPr>
              <w:t>/ECE/324/Rev.1/Add.53/Rev.3/Amend.4−</w:t>
            </w:r>
            <w:r w:rsidRPr="00936D8A">
              <w:rPr>
                <w:sz w:val="40"/>
                <w:lang w:val="en-US"/>
              </w:rPr>
              <w:t>E</w:t>
            </w:r>
            <w:r w:rsidRPr="00936D8A">
              <w:rPr>
                <w:lang w:val="en-US"/>
              </w:rPr>
              <w:t>/ECE/TRANS/505/Rev.1/Add.53/Rev.3/Amend.4</w:t>
            </w:r>
            <w:r w:rsidR="002E0DBB" w:rsidRPr="002E0DBB">
              <w:rPr>
                <w:rStyle w:val="FootnoteReference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36D8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36D8A" w:rsidP="00A27C92">
            <w:pPr>
              <w:spacing w:before="480" w:line="240" w:lineRule="exact"/>
            </w:pPr>
            <w:r>
              <w:t>26 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936D8A">
        <w:rPr>
          <w:spacing w:val="3"/>
        </w:rPr>
        <w:t xml:space="preserve">Concernant l’adoption </w:t>
      </w:r>
      <w:r w:rsidR="00936D8A" w:rsidRPr="00936D8A">
        <w:rPr>
          <w:spacing w:val="3"/>
          <w:lang w:val="fr-FR"/>
        </w:rPr>
        <w:t>de Règlements techniques harmonisés</w:t>
      </w:r>
      <w:r w:rsidR="00936D8A" w:rsidRPr="004D7093">
        <w:rPr>
          <w:lang w:val="fr-FR"/>
        </w:rPr>
        <w:t xml:space="preserve"> </w:t>
      </w:r>
      <w:r w:rsidR="00936D8A">
        <w:rPr>
          <w:lang w:val="fr-FR"/>
        </w:rPr>
        <w:br/>
      </w:r>
      <w:r w:rsidR="00936D8A" w:rsidRPr="004D7093">
        <w:rPr>
          <w:lang w:val="fr-FR"/>
        </w:rPr>
        <w:t xml:space="preserve">de l’ONU applicables aux véhicules à roues et aux équipements </w:t>
      </w:r>
      <w:r w:rsidR="00936D8A">
        <w:rPr>
          <w:lang w:val="fr-FR"/>
        </w:rPr>
        <w:br/>
      </w:r>
      <w:r w:rsidR="00936D8A" w:rsidRPr="004D7093">
        <w:rPr>
          <w:lang w:val="fr-FR"/>
        </w:rPr>
        <w:t xml:space="preserve">et pièces susceptibles d’être montés ou utilisés sur les véhicules </w:t>
      </w:r>
      <w:r w:rsidR="00936D8A">
        <w:rPr>
          <w:lang w:val="fr-FR"/>
        </w:rPr>
        <w:br/>
      </w:r>
      <w:r w:rsidR="00936D8A" w:rsidRPr="00936D8A">
        <w:rPr>
          <w:spacing w:val="3"/>
          <w:lang w:val="fr-FR"/>
        </w:rPr>
        <w:t>à roues et les conditions de reconnaissance réciproque des</w:t>
      </w:r>
      <w:r w:rsidR="00936D8A" w:rsidRPr="004D7093">
        <w:rPr>
          <w:lang w:val="fr-FR"/>
        </w:rPr>
        <w:t xml:space="preserve"> homologations délivrées conformément à ces Règlements</w:t>
      </w:r>
      <w:r w:rsidR="002E0DBB" w:rsidRPr="002E0DBB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936D8A">
        <w:t> </w:t>
      </w:r>
      <w:r w:rsidR="00936D8A">
        <w:rPr>
          <w:lang w:val="fr-FR"/>
        </w:rPr>
        <w:t>3, y </w:t>
      </w:r>
      <w:r w:rsidR="00936D8A" w:rsidRPr="004D7093">
        <w:rPr>
          <w:lang w:val="fr-FR"/>
        </w:rPr>
        <w:t>compris les amendements entrés en vigueur le 14</w:t>
      </w:r>
      <w:r w:rsidR="00936D8A">
        <w:rPr>
          <w:lang w:val="fr-FR"/>
        </w:rPr>
        <w:t> septembre</w:t>
      </w:r>
      <w:r w:rsidR="00936D8A" w:rsidRPr="004D7093">
        <w:rPr>
          <w:lang w:val="fr-FR"/>
        </w:rPr>
        <w:t xml:space="preserve">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936D8A">
        <w:t xml:space="preserve">Additif 53 − </w:t>
      </w:r>
      <w:r w:rsidR="00421A10" w:rsidRPr="006549FF">
        <w:t>Règlement</w:t>
      </w:r>
      <w:r w:rsidR="00421A10">
        <w:t xml:space="preserve"> </w:t>
      </w:r>
      <w:r w:rsidR="0005519D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36D8A">
        <w:t>54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936D8A">
        <w:t>Révision 3 − Amendement 4</w:t>
      </w:r>
    </w:p>
    <w:p w:rsidR="00936D8A" w:rsidRPr="00936D8A" w:rsidRDefault="00936D8A" w:rsidP="00936D8A">
      <w:pPr>
        <w:pStyle w:val="SingleTxtG"/>
        <w:rPr>
          <w:lang w:val="fr-FR"/>
        </w:rPr>
      </w:pPr>
      <w:r w:rsidRPr="00936D8A">
        <w:rPr>
          <w:lang w:val="fr-FR"/>
        </w:rPr>
        <w:t>Complément 22 à la version originale du Règlement − Date d’entrée en vigueur : 10 février 2018</w:t>
      </w:r>
    </w:p>
    <w:p w:rsidR="00936D8A" w:rsidRPr="00067712" w:rsidRDefault="00936D8A" w:rsidP="00936D8A">
      <w:pPr>
        <w:pStyle w:val="H1G"/>
        <w:rPr>
          <w:lang w:val="fr-FR"/>
        </w:rPr>
      </w:pPr>
      <w:r w:rsidRPr="00067712">
        <w:rPr>
          <w:lang w:val="fr-FR"/>
        </w:rPr>
        <w:tab/>
      </w:r>
      <w:r w:rsidRPr="00067712">
        <w:rPr>
          <w:lang w:val="fr-FR"/>
        </w:rPr>
        <w:tab/>
      </w:r>
      <w:r w:rsidRPr="00AA4DD3">
        <w:rPr>
          <w:lang w:val="fr-FR"/>
        </w:rPr>
        <w:t xml:space="preserve">Prescriptions uniformes relatives à l’homologation </w:t>
      </w:r>
      <w:r w:rsidRPr="00067712">
        <w:rPr>
          <w:lang w:val="fr-FR"/>
        </w:rPr>
        <w:t>des pneumatiques pour véhicules utilitaires et leurs remorques</w:t>
      </w:r>
    </w:p>
    <w:p w:rsidR="00936D8A" w:rsidRDefault="00936D8A" w:rsidP="00936D8A">
      <w:pPr>
        <w:pStyle w:val="SingleTxtG"/>
      </w:pPr>
      <w:r w:rsidRPr="00771154">
        <w:rPr>
          <w:spacing w:val="-4"/>
          <w:lang w:val="fr-FR" w:eastAsia="en-GB"/>
        </w:rPr>
        <w:t xml:space="preserve">Le présent document est communiqué uniquement à titre d’information. Le texte authentique, </w:t>
      </w:r>
      <w:r w:rsidRPr="00936D8A">
        <w:rPr>
          <w:spacing w:val="1"/>
          <w:lang w:val="fr-FR" w:eastAsia="en-GB"/>
        </w:rPr>
        <w:t>juridiquement contraignant, est celui du document ECE/TRANS/WP.29/2017/68.</w:t>
      </w:r>
    </w:p>
    <w:p w:rsidR="00936D8A" w:rsidRDefault="00936D8A" w:rsidP="00936D8A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87151" wp14:editId="2CD01761">
                <wp:simplePos x="0" y="0"/>
                <wp:positionH relativeFrom="margin">
                  <wp:posOffset>258793</wp:posOffset>
                </wp:positionH>
                <wp:positionV relativeFrom="margin">
                  <wp:posOffset>6373674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9A9C093" wp14:editId="204D7FD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936D8A" w:rsidP="00C652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8715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.4pt;margin-top:501.85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9A9C093" wp14:editId="204D7FD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936D8A" w:rsidP="00C6525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6D8A" w:rsidRDefault="00936D8A" w:rsidP="00936D8A">
      <w:pPr>
        <w:pStyle w:val="SingleTxtG"/>
        <w:sectPr w:rsidR="00936D8A" w:rsidSect="00936D8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:rsidR="00936D8A" w:rsidRPr="00067712" w:rsidRDefault="00936D8A" w:rsidP="00936D8A">
      <w:pPr>
        <w:pStyle w:val="SingleTxtG"/>
        <w:rPr>
          <w:lang w:val="fr-FR"/>
        </w:rPr>
      </w:pPr>
      <w:r w:rsidRPr="00067712">
        <w:rPr>
          <w:i/>
          <w:lang w:val="fr-FR"/>
        </w:rPr>
        <w:lastRenderedPageBreak/>
        <w:t xml:space="preserve">Le paragraphe 2.17.1.3.1 </w:t>
      </w:r>
      <w:r w:rsidRPr="00067712">
        <w:rPr>
          <w:lang w:val="fr-FR"/>
        </w:rPr>
        <w:t>devient le paragraphe 2.20.1.3.1.</w:t>
      </w:r>
    </w:p>
    <w:p w:rsidR="00936D8A" w:rsidRPr="00067712" w:rsidRDefault="00936D8A" w:rsidP="00936D8A">
      <w:pPr>
        <w:pStyle w:val="SingleTxtG"/>
        <w:rPr>
          <w:lang w:val="fr-FR"/>
        </w:rPr>
      </w:pPr>
      <w:r w:rsidRPr="00067712">
        <w:rPr>
          <w:i/>
          <w:lang w:val="fr-FR"/>
        </w:rPr>
        <w:t>Paragraphe 3.1.5</w:t>
      </w:r>
      <w:r w:rsidRPr="00067712">
        <w:rPr>
          <w:lang w:val="fr-FR"/>
        </w:rPr>
        <w:t>, lire :</w:t>
      </w:r>
    </w:p>
    <w:p w:rsidR="00936D8A" w:rsidRPr="00067712" w:rsidRDefault="00936D8A" w:rsidP="00936D8A">
      <w:pPr>
        <w:pStyle w:val="SingleTxtG"/>
        <w:ind w:left="2098" w:hanging="964"/>
        <w:rPr>
          <w:lang w:val="fr-FR"/>
        </w:rPr>
      </w:pPr>
      <w:r w:rsidRPr="00067712">
        <w:rPr>
          <w:lang w:val="fr-FR"/>
        </w:rPr>
        <w:t>« 3.1.5</w:t>
      </w:r>
      <w:r w:rsidRPr="00067712">
        <w:rPr>
          <w:lang w:val="fr-FR"/>
        </w:rPr>
        <w:tab/>
        <w:t xml:space="preserve">L’inscription M+S, M.S ou M&amp;S lorsqu’il s’agit d’un pneumatique de la catégorie d’utilisation “pneumatique neige” ou d’un pneumatique de la catégorie d’utilisation “pneumatique pour applications spéciales” dont le fabricant déclare, au titre </w:t>
      </w:r>
      <w:r>
        <w:rPr>
          <w:lang w:val="fr-FR"/>
        </w:rPr>
        <w:t>de la disposition du paragraphe </w:t>
      </w:r>
      <w:r w:rsidRPr="00067712">
        <w:rPr>
          <w:lang w:val="fr-FR"/>
        </w:rPr>
        <w:t>4.1.3, qu’il répond également à la définition donnée au paragraphe 2.5.2. ».</w:t>
      </w:r>
    </w:p>
    <w:p w:rsidR="00936D8A" w:rsidRPr="00067712" w:rsidRDefault="00936D8A" w:rsidP="00936D8A">
      <w:pPr>
        <w:pStyle w:val="SingleTxtG"/>
        <w:rPr>
          <w:szCs w:val="24"/>
          <w:lang w:val="fr-FR"/>
        </w:rPr>
      </w:pPr>
      <w:r w:rsidRPr="00067712">
        <w:rPr>
          <w:i/>
          <w:szCs w:val="24"/>
          <w:lang w:val="fr-FR"/>
        </w:rPr>
        <w:t>Paragraphe 3.1.10</w:t>
      </w:r>
      <w:r w:rsidRPr="00067712">
        <w:rPr>
          <w:szCs w:val="24"/>
          <w:lang w:val="fr-FR"/>
        </w:rPr>
        <w:t>, lire (l’appel de note de bas de page 5 est supprimé) :</w:t>
      </w:r>
    </w:p>
    <w:p w:rsidR="00936D8A" w:rsidRPr="00067712" w:rsidRDefault="00936D8A" w:rsidP="00931281">
      <w:pPr>
        <w:pStyle w:val="SingleTxtG"/>
        <w:ind w:left="2098" w:hanging="964"/>
        <w:rPr>
          <w:b/>
          <w:szCs w:val="24"/>
          <w:lang w:val="fr-FR"/>
        </w:rPr>
      </w:pPr>
      <w:r w:rsidRPr="00067712">
        <w:rPr>
          <w:szCs w:val="24"/>
          <w:lang w:val="fr-FR"/>
        </w:rPr>
        <w:t>« 3.1.10</w:t>
      </w:r>
      <w:r w:rsidRPr="00067712">
        <w:rPr>
          <w:szCs w:val="24"/>
          <w:lang w:val="fr-FR"/>
        </w:rPr>
        <w:tab/>
        <w:t xml:space="preserve">L’indication de la pression de gonflage à adopter pour les essais d’endurance </w:t>
      </w:r>
      <w:r w:rsidRPr="00936D8A">
        <w:rPr>
          <w:lang w:val="fr-FR"/>
        </w:rPr>
        <w:t>charge</w:t>
      </w:r>
      <w:r w:rsidRPr="00067712">
        <w:rPr>
          <w:szCs w:val="24"/>
          <w:lang w:val="fr-FR"/>
        </w:rPr>
        <w:t>/vitesse par le moyen de l’indice “PSI”, comme expliqué à l’annexe 7, appendice</w:t>
      </w:r>
      <w:r>
        <w:rPr>
          <w:szCs w:val="24"/>
          <w:lang w:val="fr-FR"/>
        </w:rPr>
        <w:t xml:space="preserve"> 2. </w:t>
      </w:r>
      <w:r w:rsidRPr="00067712">
        <w:rPr>
          <w:szCs w:val="24"/>
          <w:lang w:val="fr-FR"/>
        </w:rPr>
        <w:t>Toutefois, cette indication, qui peut être apposée sur un seul flanc, ne deviendra obligatoire, sur un pneumatique présenté à l’homologation, que deux ans après la date d’entrée en vigueur du présent Règlement. ».</w:t>
      </w:r>
    </w:p>
    <w:p w:rsidR="00936D8A" w:rsidRPr="00067712" w:rsidRDefault="00936D8A" w:rsidP="00936D8A">
      <w:pPr>
        <w:pStyle w:val="SingleTxtG"/>
        <w:rPr>
          <w:lang w:val="fr-FR"/>
        </w:rPr>
      </w:pPr>
      <w:r w:rsidRPr="00067712">
        <w:rPr>
          <w:i/>
          <w:lang w:val="fr-FR"/>
        </w:rPr>
        <w:t>Paragraphe 6.1.5.3.3</w:t>
      </w:r>
      <w:r w:rsidRPr="00067712">
        <w:rPr>
          <w:lang w:val="fr-FR"/>
        </w:rPr>
        <w:t>, lire</w:t>
      </w:r>
      <w:r>
        <w:rPr>
          <w:lang w:val="fr-FR"/>
        </w:rPr>
        <w:t> </w:t>
      </w:r>
      <w:r w:rsidRPr="00067712">
        <w:rPr>
          <w:lang w:val="fr-FR"/>
        </w:rPr>
        <w:t>:</w:t>
      </w:r>
    </w:p>
    <w:p w:rsidR="00936D8A" w:rsidRPr="00067712" w:rsidRDefault="00936D8A" w:rsidP="00936D8A">
      <w:pPr>
        <w:pStyle w:val="SingleTxtG"/>
        <w:ind w:left="2098" w:hanging="964"/>
        <w:rPr>
          <w:lang w:val="fr-FR"/>
        </w:rPr>
      </w:pPr>
      <w:r w:rsidRPr="00936D8A">
        <w:rPr>
          <w:spacing w:val="-2"/>
          <w:lang w:val="fr-FR"/>
        </w:rPr>
        <w:t>« 6.1.5.3.3</w:t>
      </w:r>
      <w:r w:rsidRPr="00067712">
        <w:rPr>
          <w:lang w:val="fr-FR"/>
        </w:rPr>
        <w:tab/>
        <w:t>Pour les pneumatiques de la catégorie d’utilisation “pneumatique neige”, le diamètre extérieur ne doit pas dépasser la valeur suivante :</w:t>
      </w:r>
    </w:p>
    <w:p w:rsidR="00936D8A" w:rsidRPr="00067712" w:rsidRDefault="00936D8A" w:rsidP="00936D8A">
      <w:pPr>
        <w:pStyle w:val="SingleTxtG"/>
        <w:ind w:left="2098"/>
        <w:rPr>
          <w:lang w:val="fr-FR"/>
        </w:rPr>
      </w:pPr>
      <w:r w:rsidRPr="00067712">
        <w:rPr>
          <w:lang w:val="fr-FR"/>
        </w:rPr>
        <w:t>D</w:t>
      </w:r>
      <w:r w:rsidRPr="00067712">
        <w:rPr>
          <w:vertAlign w:val="subscript"/>
          <w:lang w:val="fr-FR"/>
        </w:rPr>
        <w:t>max,snow</w:t>
      </w:r>
      <w:r w:rsidRPr="00067712">
        <w:rPr>
          <w:lang w:val="fr-FR"/>
        </w:rPr>
        <w:t xml:space="preserve"> = 1,01 • D</w:t>
      </w:r>
      <w:r w:rsidRPr="00067712">
        <w:rPr>
          <w:vertAlign w:val="subscript"/>
          <w:lang w:val="fr-FR"/>
        </w:rPr>
        <w:t>max</w:t>
      </w:r>
      <w:r w:rsidRPr="00067712">
        <w:rPr>
          <w:lang w:val="fr-FR"/>
        </w:rPr>
        <w:tab/>
      </w:r>
      <w:r w:rsidRPr="00067712">
        <w:rPr>
          <w:lang w:val="fr-FR"/>
        </w:rPr>
        <w:tab/>
        <w:t>arrondie au millimètre le plus proche</w:t>
      </w:r>
    </w:p>
    <w:p w:rsidR="00936D8A" w:rsidRPr="00067712" w:rsidRDefault="00936D8A" w:rsidP="00931281">
      <w:pPr>
        <w:pStyle w:val="SingleTxtG"/>
        <w:ind w:left="2098"/>
        <w:rPr>
          <w:lang w:val="fr-FR"/>
        </w:rPr>
      </w:pPr>
      <w:r w:rsidRPr="00067712">
        <w:rPr>
          <w:lang w:val="fr-FR"/>
        </w:rPr>
        <w:t>où D</w:t>
      </w:r>
      <w:r w:rsidRPr="00936D8A">
        <w:rPr>
          <w:lang w:val="fr-FR"/>
        </w:rPr>
        <w:t>max</w:t>
      </w:r>
      <w:r w:rsidRPr="00067712">
        <w:rPr>
          <w:lang w:val="fr-FR"/>
        </w:rPr>
        <w:t xml:space="preserve"> est le diamètre extérieur maximal fixé conformément aux dispositions ci-dessus. ».</w:t>
      </w:r>
    </w:p>
    <w:p w:rsidR="00936D8A" w:rsidRPr="00067712" w:rsidRDefault="00936D8A" w:rsidP="00936D8A">
      <w:pPr>
        <w:pStyle w:val="SingleTxtG"/>
        <w:rPr>
          <w:lang w:val="fr-FR"/>
        </w:rPr>
      </w:pPr>
      <w:r>
        <w:rPr>
          <w:i/>
          <w:lang w:val="fr-FR"/>
        </w:rPr>
        <w:t>Paragraphe </w:t>
      </w:r>
      <w:r w:rsidRPr="00067712">
        <w:rPr>
          <w:i/>
          <w:lang w:val="fr-FR"/>
        </w:rPr>
        <w:t>11</w:t>
      </w:r>
      <w:r w:rsidR="0008319D">
        <w:rPr>
          <w:i/>
          <w:lang w:val="fr-FR"/>
        </w:rPr>
        <w:t>.</w:t>
      </w:r>
      <w:r w:rsidRPr="00067712">
        <w:rPr>
          <w:lang w:val="fr-FR"/>
        </w:rPr>
        <w:t>, lire :</w:t>
      </w:r>
    </w:p>
    <w:p w:rsidR="00936D8A" w:rsidRPr="00067712" w:rsidRDefault="00936D8A" w:rsidP="00936D8A">
      <w:pPr>
        <w:pStyle w:val="HChG"/>
        <w:ind w:left="2268"/>
        <w:rPr>
          <w:lang w:val="fr-FR"/>
        </w:rPr>
      </w:pPr>
      <w:r w:rsidRPr="00936D8A">
        <w:rPr>
          <w:b w:val="0"/>
          <w:sz w:val="20"/>
          <w:lang w:val="fr-FR"/>
        </w:rPr>
        <w:t>«</w:t>
      </w:r>
      <w:r>
        <w:rPr>
          <w:lang w:val="fr-FR"/>
        </w:rPr>
        <w:t> </w:t>
      </w:r>
      <w:r w:rsidRPr="00067712">
        <w:rPr>
          <w:lang w:val="fr-FR"/>
        </w:rPr>
        <w:t>11.</w:t>
      </w:r>
      <w:r w:rsidRPr="00067712">
        <w:rPr>
          <w:lang w:val="fr-FR"/>
        </w:rPr>
        <w:tab/>
      </w:r>
      <w:bookmarkStart w:id="1" w:name="A0_S11_"/>
      <w:r w:rsidRPr="00067712">
        <w:rPr>
          <w:lang w:val="fr-FR"/>
        </w:rPr>
        <w:t>Noms et adresses des services techniques chargés des essais d’homologation, des laboratoires d’essais et des autorités d’homologation de type</w:t>
      </w:r>
      <w:bookmarkEnd w:id="1"/>
      <w:r w:rsidRPr="00936D8A">
        <w:rPr>
          <w:b w:val="0"/>
          <w:sz w:val="20"/>
          <w:lang w:val="fr-FR"/>
        </w:rPr>
        <w:t> ».</w:t>
      </w:r>
    </w:p>
    <w:p w:rsidR="00936D8A" w:rsidRPr="00067712" w:rsidRDefault="00936D8A" w:rsidP="00936D8A">
      <w:pPr>
        <w:pStyle w:val="SingleTxtG"/>
        <w:rPr>
          <w:lang w:val="fr-FR"/>
        </w:rPr>
      </w:pPr>
      <w:r w:rsidRPr="00067712">
        <w:rPr>
          <w:i/>
          <w:lang w:val="fr-FR"/>
        </w:rPr>
        <w:t>Appendice 1, note 1</w:t>
      </w:r>
      <w:r w:rsidRPr="00067712">
        <w:rPr>
          <w:lang w:val="fr-FR"/>
        </w:rPr>
        <w:t>, lire :</w:t>
      </w:r>
    </w:p>
    <w:p w:rsidR="00936D8A" w:rsidRPr="00067712" w:rsidRDefault="00936D8A" w:rsidP="00936D8A">
      <w:pPr>
        <w:pStyle w:val="HChG"/>
        <w:rPr>
          <w:lang w:val="fr-FR"/>
        </w:rPr>
      </w:pPr>
      <w:bookmarkStart w:id="2" w:name="_Toc340666257"/>
      <w:bookmarkStart w:id="3" w:name="_Toc340745119"/>
      <w:r w:rsidRPr="00067712">
        <w:rPr>
          <w:lang w:val="fr-FR"/>
        </w:rPr>
        <w:tab/>
      </w:r>
      <w:r w:rsidRPr="00936D8A">
        <w:rPr>
          <w:b w:val="0"/>
          <w:sz w:val="20"/>
          <w:lang w:val="fr-FR"/>
        </w:rPr>
        <w:tab/>
        <w:t>«</w:t>
      </w:r>
      <w:r w:rsidRPr="00067712">
        <w:rPr>
          <w:lang w:val="fr-FR"/>
        </w:rPr>
        <w:t> Programme d’essai d’endurance</w:t>
      </w:r>
      <w:bookmarkEnd w:id="2"/>
      <w:bookmarkEnd w:id="3"/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363"/>
        <w:gridCol w:w="1363"/>
        <w:gridCol w:w="1391"/>
        <w:gridCol w:w="781"/>
        <w:gridCol w:w="1011"/>
        <w:gridCol w:w="1011"/>
      </w:tblGrid>
      <w:tr w:rsidR="00936D8A" w:rsidRPr="00067712" w:rsidTr="00573C11">
        <w:trPr>
          <w:trHeight w:val="636"/>
          <w:tblHeader/>
        </w:trPr>
        <w:tc>
          <w:tcPr>
            <w:tcW w:w="1584" w:type="dxa"/>
            <w:vMerge w:val="restart"/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Indice de charge</w:t>
            </w:r>
          </w:p>
        </w:tc>
        <w:tc>
          <w:tcPr>
            <w:tcW w:w="1363" w:type="dxa"/>
            <w:vMerge w:val="restart"/>
            <w:vAlign w:val="bottom"/>
            <w:hideMark/>
          </w:tcPr>
          <w:p w:rsidR="00936D8A" w:rsidRPr="00067712" w:rsidRDefault="00936D8A" w:rsidP="00BE24A2">
            <w:pPr>
              <w:spacing w:before="60" w:after="60" w:line="240" w:lineRule="auto"/>
              <w:ind w:left="57" w:right="57"/>
              <w:rPr>
                <w:i/>
                <w:sz w:val="16"/>
                <w:lang w:val="fr-FR"/>
              </w:rPr>
            </w:pPr>
            <w:r w:rsidRPr="00067712">
              <w:rPr>
                <w:i/>
                <w:sz w:val="16"/>
                <w:lang w:val="fr-FR"/>
              </w:rPr>
              <w:t xml:space="preserve">Symbole </w:t>
            </w:r>
            <w:r w:rsidRPr="00067712">
              <w:rPr>
                <w:i/>
                <w:sz w:val="16"/>
                <w:lang w:val="fr-FR"/>
              </w:rPr>
              <w:br/>
              <w:t xml:space="preserve">de la catégorie </w:t>
            </w:r>
            <w:r w:rsidRPr="00067712">
              <w:rPr>
                <w:i/>
                <w:sz w:val="16"/>
                <w:lang w:val="fr-FR"/>
              </w:rPr>
              <w:br/>
              <w:t>de vitesse du pneu</w:t>
            </w:r>
          </w:p>
        </w:tc>
        <w:tc>
          <w:tcPr>
            <w:tcW w:w="2754" w:type="dxa"/>
            <w:gridSpan w:val="2"/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Vitesse du tambour d’essai</w:t>
            </w:r>
          </w:p>
        </w:tc>
        <w:tc>
          <w:tcPr>
            <w:tcW w:w="2803" w:type="dxa"/>
            <w:gridSpan w:val="3"/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067712">
              <w:rPr>
                <w:i/>
                <w:sz w:val="16"/>
                <w:lang w:val="fr-FR"/>
              </w:rPr>
              <w:t xml:space="preserve">Force appliquée sur la roue </w:t>
            </w:r>
            <w:r w:rsidRPr="00067712">
              <w:rPr>
                <w:i/>
                <w:sz w:val="16"/>
                <w:lang w:val="fr-FR"/>
              </w:rPr>
              <w:br/>
              <w:t>en pourcentage de la charge correspondant à l’indice de charge</w:t>
            </w:r>
          </w:p>
        </w:tc>
      </w:tr>
      <w:tr w:rsidR="00936D8A" w:rsidTr="00573C11">
        <w:trPr>
          <w:trHeight w:val="490"/>
          <w:tblHeader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lang w:val="fr-FR" w:eastAsia="en-GB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lang w:val="fr-FR" w:eastAsia="en-GB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pacing w:before="60" w:after="6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Radial </w:t>
            </w:r>
            <w:r>
              <w:rPr>
                <w:i/>
                <w:sz w:val="16"/>
              </w:rPr>
              <w:br/>
              <w:t>km/h</w:t>
            </w:r>
            <w:r>
              <w:rPr>
                <w:i/>
                <w:sz w:val="16"/>
                <w:vertAlign w:val="superscript"/>
              </w:rPr>
              <w:t>-1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067712">
              <w:rPr>
                <w:i/>
                <w:sz w:val="16"/>
                <w:lang w:val="fr-FR"/>
              </w:rPr>
              <w:t xml:space="preserve">Diagonal </w:t>
            </w:r>
            <w:r w:rsidRPr="00067712">
              <w:rPr>
                <w:i/>
                <w:sz w:val="16"/>
                <w:lang w:val="fr-FR"/>
              </w:rPr>
              <w:br/>
              <w:t>et ceinturé croisé</w:t>
            </w:r>
            <w:r>
              <w:rPr>
                <w:i/>
                <w:sz w:val="16"/>
                <w:lang w:val="fr-FR"/>
              </w:rPr>
              <w:t xml:space="preserve"> </w:t>
            </w:r>
            <w:r w:rsidRPr="00067712">
              <w:rPr>
                <w:i/>
                <w:sz w:val="16"/>
                <w:lang w:val="fr-FR"/>
              </w:rPr>
              <w:br/>
              <w:t>km/h</w:t>
            </w:r>
            <w:r w:rsidRPr="00067712">
              <w:rPr>
                <w:i/>
                <w:sz w:val="16"/>
                <w:vertAlign w:val="superscript"/>
                <w:lang w:val="fr-FR"/>
              </w:rPr>
              <w:t>-1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 h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16 h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 h</w:t>
            </w:r>
          </w:p>
        </w:tc>
      </w:tr>
      <w:tr w:rsidR="00573C11" w:rsidTr="00573C11">
        <w:tc>
          <w:tcPr>
            <w:tcW w:w="1584" w:type="dxa"/>
            <w:tcBorders>
              <w:bottom w:val="nil"/>
            </w:tcBorders>
            <w:hideMark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122 et au-dessus</w:t>
            </w:r>
          </w:p>
        </w:tc>
        <w:tc>
          <w:tcPr>
            <w:tcW w:w="1363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63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391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  <w:r>
              <w:rPr>
                <w:sz w:val="18"/>
              </w:rPr>
              <w:t>66 %</w:t>
            </w:r>
          </w:p>
          <w:p w:rsidR="00573C11" w:rsidRDefault="00573C11" w:rsidP="00936D8A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  <w:r>
              <w:rPr>
                <w:sz w:val="18"/>
              </w:rPr>
              <w:t>84 %</w:t>
            </w:r>
          </w:p>
          <w:p w:rsidR="00573C11" w:rsidRDefault="00573C11" w:rsidP="00BE24A2">
            <w:pPr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101 %</w:t>
            </w: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val="en-US"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bottom w:val="nil"/>
            </w:tcBorders>
            <w:hideMark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121 et au-dessous</w:t>
            </w:r>
          </w:p>
        </w:tc>
        <w:tc>
          <w:tcPr>
            <w:tcW w:w="1363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63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391" w:type="dxa"/>
            <w:tcBorders>
              <w:bottom w:val="nil"/>
            </w:tcBorders>
            <w:vAlign w:val="bottom"/>
            <w:hideMark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803" w:type="dxa"/>
            <w:gridSpan w:val="3"/>
            <w:vMerge/>
            <w:vAlign w:val="bottom"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eastAsia="en-GB"/>
              </w:rPr>
            </w:pPr>
          </w:p>
        </w:tc>
      </w:tr>
      <w:tr w:rsidR="00573C11" w:rsidTr="00573C11">
        <w:tc>
          <w:tcPr>
            <w:tcW w:w="1584" w:type="dxa"/>
            <w:tcBorders>
              <w:top w:val="nil"/>
              <w:bottom w:val="nil"/>
            </w:tcBorders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803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573C11" w:rsidRDefault="00573C11" w:rsidP="00BE24A2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lang w:eastAsia="en-GB"/>
              </w:rPr>
            </w:pPr>
          </w:p>
        </w:tc>
      </w:tr>
      <w:tr w:rsidR="00936D8A" w:rsidTr="00573C11">
        <w:tc>
          <w:tcPr>
            <w:tcW w:w="1584" w:type="dxa"/>
            <w:tcBorders>
              <w:top w:val="nil"/>
              <w:bottom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eastAsia="en-GB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363" w:type="dxa"/>
            <w:tcBorders>
              <w:bottom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391" w:type="dxa"/>
            <w:tcBorders>
              <w:bottom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1" w:type="dxa"/>
            <w:tcBorders>
              <w:bottom w:val="nil"/>
            </w:tcBorders>
            <w:vAlign w:val="bottom"/>
            <w:hideMark/>
          </w:tcPr>
          <w:p w:rsidR="00936D8A" w:rsidRPr="00997F05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70 %</w:t>
            </w:r>
          </w:p>
        </w:tc>
        <w:tc>
          <w:tcPr>
            <w:tcW w:w="1011" w:type="dxa"/>
            <w:tcBorders>
              <w:bottom w:val="nil"/>
            </w:tcBorders>
            <w:vAlign w:val="bottom"/>
            <w:hideMark/>
          </w:tcPr>
          <w:p w:rsidR="00936D8A" w:rsidRPr="00997F05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88 %</w:t>
            </w:r>
          </w:p>
        </w:tc>
        <w:tc>
          <w:tcPr>
            <w:tcW w:w="1011" w:type="dxa"/>
            <w:tcBorders>
              <w:bottom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106 %</w:t>
            </w:r>
          </w:p>
        </w:tc>
      </w:tr>
      <w:tr w:rsidR="00936D8A" w:rsidTr="00573C11">
        <w:tc>
          <w:tcPr>
            <w:tcW w:w="1584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rPr>
                <w:sz w:val="18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4 h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6 h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</w:p>
        </w:tc>
      </w:tr>
      <w:tr w:rsidR="00936D8A" w:rsidTr="00573C11">
        <w:tc>
          <w:tcPr>
            <w:tcW w:w="1584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97 %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114 %</w:t>
            </w:r>
          </w:p>
        </w:tc>
      </w:tr>
      <w:tr w:rsidR="00936D8A" w:rsidTr="00573C11">
        <w:tc>
          <w:tcPr>
            <w:tcW w:w="1584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97 %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36D8A" w:rsidRDefault="00936D8A" w:rsidP="00573C11">
            <w:pPr>
              <w:keepNext/>
              <w:keepLines/>
              <w:jc w:val="center"/>
            </w:pPr>
            <w:r>
              <w:rPr>
                <w:sz w:val="18"/>
              </w:rPr>
              <w:t>114 </w:t>
            </w:r>
            <w:r w:rsidRPr="004C6458">
              <w:rPr>
                <w:sz w:val="18"/>
              </w:rPr>
              <w:t>%</w:t>
            </w:r>
          </w:p>
        </w:tc>
      </w:tr>
      <w:tr w:rsidR="00936D8A" w:rsidTr="00573C11">
        <w:tc>
          <w:tcPr>
            <w:tcW w:w="1584" w:type="dxa"/>
            <w:tcBorders>
              <w:top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  <w:lang w:eastAsia="en-GB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363" w:type="dxa"/>
            <w:tcBorders>
              <w:top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391" w:type="dxa"/>
            <w:tcBorders>
              <w:top w:val="nil"/>
            </w:tcBorders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1" w:type="dxa"/>
            <w:tcBorders>
              <w:top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  <w:tc>
          <w:tcPr>
            <w:tcW w:w="1011" w:type="dxa"/>
            <w:tcBorders>
              <w:top w:val="nil"/>
            </w:tcBorders>
            <w:vAlign w:val="bottom"/>
          </w:tcPr>
          <w:p w:rsidR="00936D8A" w:rsidRDefault="00936D8A" w:rsidP="00573C11">
            <w:pPr>
              <w:keepNext/>
              <w:keepLines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97 %</w:t>
            </w:r>
          </w:p>
        </w:tc>
        <w:tc>
          <w:tcPr>
            <w:tcW w:w="1011" w:type="dxa"/>
            <w:tcBorders>
              <w:top w:val="nil"/>
            </w:tcBorders>
          </w:tcPr>
          <w:p w:rsidR="00936D8A" w:rsidRDefault="00936D8A" w:rsidP="00573C11">
            <w:pPr>
              <w:keepNext/>
              <w:keepLines/>
              <w:jc w:val="center"/>
            </w:pPr>
            <w:r>
              <w:rPr>
                <w:sz w:val="18"/>
              </w:rPr>
              <w:t>114 </w:t>
            </w:r>
            <w:r w:rsidRPr="004C6458">
              <w:rPr>
                <w:sz w:val="18"/>
              </w:rPr>
              <w:t>%</w:t>
            </w:r>
          </w:p>
        </w:tc>
      </w:tr>
    </w:tbl>
    <w:p w:rsidR="00936D8A" w:rsidRPr="00C60148" w:rsidRDefault="00936D8A" w:rsidP="00936D8A">
      <w:pPr>
        <w:spacing w:before="120"/>
        <w:ind w:left="1134"/>
        <w:rPr>
          <w:sz w:val="18"/>
          <w:szCs w:val="18"/>
        </w:rPr>
      </w:pPr>
      <w:r w:rsidRPr="0051359D">
        <w:rPr>
          <w:i/>
          <w:sz w:val="18"/>
          <w:szCs w:val="18"/>
        </w:rPr>
        <w:t>Notes</w:t>
      </w:r>
      <w:r w:rsidRPr="00C60148">
        <w:rPr>
          <w:sz w:val="18"/>
          <w:szCs w:val="18"/>
        </w:rPr>
        <w:t> :</w:t>
      </w:r>
    </w:p>
    <w:p w:rsidR="00936D8A" w:rsidRPr="00067712" w:rsidRDefault="00936D8A" w:rsidP="00936D8A">
      <w:pPr>
        <w:spacing w:after="240"/>
        <w:ind w:left="1134"/>
        <w:rPr>
          <w:sz w:val="18"/>
          <w:szCs w:val="18"/>
          <w:lang w:val="fr-FR"/>
        </w:rPr>
      </w:pPr>
      <w:r w:rsidRPr="00067712">
        <w:rPr>
          <w:sz w:val="18"/>
          <w:szCs w:val="18"/>
          <w:lang w:val="fr-FR"/>
        </w:rPr>
        <w:t>1)  Il est recommandé d’essayer les pneumatiques “pour applications spéciales” (voir le paragraphe 2.1.3 du présent Règlement) à une vitesse égale à 85 % de la vitesse prescrite pour les pneumatiques normaux équivalents.</w:t>
      </w:r>
      <w:r w:rsidRPr="00936D8A">
        <w:rPr>
          <w:lang w:val="fr-FR"/>
        </w:rPr>
        <w:t> ».</w:t>
      </w:r>
    </w:p>
    <w:p w:rsidR="00936D8A" w:rsidRPr="005321F3" w:rsidRDefault="00936D8A" w:rsidP="00936D8A">
      <w:pPr>
        <w:pStyle w:val="SingleTxtG"/>
        <w:rPr>
          <w:lang w:val="fr-FR"/>
        </w:rPr>
      </w:pPr>
      <w:r w:rsidRPr="00936D8A">
        <w:rPr>
          <w:i/>
          <w:lang w:val="fr-FR"/>
        </w:rPr>
        <w:t>Annexe 3</w:t>
      </w:r>
      <w:r>
        <w:rPr>
          <w:lang w:val="fr-FR"/>
        </w:rPr>
        <w:t>,</w:t>
      </w:r>
    </w:p>
    <w:p w:rsidR="00936D8A" w:rsidRPr="005321F3" w:rsidRDefault="00936D8A" w:rsidP="00936D8A">
      <w:pPr>
        <w:pStyle w:val="SingleTxtG"/>
        <w:rPr>
          <w:lang w:val="fr-FR"/>
        </w:rPr>
      </w:pPr>
      <w:r w:rsidRPr="00936D8A">
        <w:rPr>
          <w:i/>
          <w:lang w:val="fr-FR"/>
        </w:rPr>
        <w:t>Tableau</w:t>
      </w:r>
      <w:r w:rsidRPr="005321F3">
        <w:rPr>
          <w:lang w:val="fr-FR"/>
        </w:rPr>
        <w:t>, lire :</w:t>
      </w:r>
    </w:p>
    <w:p w:rsidR="00936D8A" w:rsidRDefault="00936D8A" w:rsidP="00936D8A">
      <w:pPr>
        <w:pStyle w:val="SingleTxtG"/>
        <w:rPr>
          <w:lang w:val="fr-FR"/>
        </w:rPr>
      </w:pPr>
      <w:r w:rsidRPr="005321F3">
        <w:rPr>
          <w:lang w:val="fr-FR"/>
        </w:rPr>
        <w:t>« </w:t>
      </w:r>
    </w:p>
    <w:tbl>
      <w:tblPr>
        <w:tblW w:w="850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6833"/>
      </w:tblGrid>
      <w:tr w:rsidR="00936D8A" w:rsidRPr="00067712" w:rsidTr="00BE24A2">
        <w:trPr>
          <w:tblHeader/>
        </w:trPr>
        <w:tc>
          <w:tcPr>
            <w:tcW w:w="1448" w:type="dxa"/>
            <w:vAlign w:val="bottom"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-564" w:right="113"/>
              <w:rPr>
                <w:i/>
                <w:sz w:val="16"/>
                <w:szCs w:val="18"/>
                <w:lang w:val="fr-FR" w:eastAsia="zh-CN"/>
              </w:rPr>
            </w:pPr>
          </w:p>
        </w:tc>
        <w:tc>
          <w:tcPr>
            <w:tcW w:w="5917" w:type="dxa"/>
            <w:vAlign w:val="center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i/>
                <w:sz w:val="16"/>
                <w:szCs w:val="18"/>
                <w:lang w:val="fr-FR"/>
              </w:rPr>
            </w:pPr>
            <w:r w:rsidRPr="00067712">
              <w:rPr>
                <w:i/>
                <w:sz w:val="16"/>
                <w:szCs w:val="18"/>
                <w:lang w:val="fr-FR"/>
              </w:rPr>
              <w:t>Hauteurs minimales des inscriptions (mm)</w:t>
            </w:r>
          </w:p>
        </w:tc>
      </w:tr>
      <w:tr w:rsidR="00936D8A" w:rsidRPr="005321F3" w:rsidTr="00BE24A2">
        <w:tc>
          <w:tcPr>
            <w:tcW w:w="1448" w:type="dxa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rPr>
                <w:szCs w:val="18"/>
                <w:lang w:val="fr-FR"/>
              </w:rPr>
            </w:pPr>
            <w:r w:rsidRPr="005321F3">
              <w:rPr>
                <w:lang w:val="fr-FR"/>
              </w:rPr>
              <w:t>b</w:t>
            </w:r>
          </w:p>
        </w:tc>
        <w:tc>
          <w:tcPr>
            <w:tcW w:w="5917" w:type="dxa"/>
            <w:vAlign w:val="center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strike/>
                <w:szCs w:val="18"/>
                <w:lang w:val="fr-FR"/>
              </w:rPr>
            </w:pPr>
            <w:r w:rsidRPr="005321F3">
              <w:rPr>
                <w:lang w:val="fr-FR"/>
              </w:rPr>
              <w:t>6</w:t>
            </w:r>
          </w:p>
        </w:tc>
      </w:tr>
      <w:tr w:rsidR="00936D8A" w:rsidRPr="005321F3" w:rsidTr="00BE24A2">
        <w:tc>
          <w:tcPr>
            <w:tcW w:w="1448" w:type="dxa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rPr>
                <w:szCs w:val="18"/>
                <w:lang w:val="fr-FR"/>
              </w:rPr>
            </w:pPr>
            <w:r w:rsidRPr="005321F3">
              <w:rPr>
                <w:lang w:val="fr-FR"/>
              </w:rPr>
              <w:t>c</w:t>
            </w:r>
          </w:p>
        </w:tc>
        <w:tc>
          <w:tcPr>
            <w:tcW w:w="5917" w:type="dxa"/>
            <w:vAlign w:val="center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szCs w:val="18"/>
                <w:lang w:val="fr-FR"/>
              </w:rPr>
            </w:pPr>
            <w:r w:rsidRPr="005321F3">
              <w:rPr>
                <w:lang w:val="fr-FR"/>
              </w:rPr>
              <w:t>4</w:t>
            </w:r>
          </w:p>
        </w:tc>
      </w:tr>
      <w:tr w:rsidR="00936D8A" w:rsidRPr="005321F3" w:rsidTr="00BE24A2">
        <w:tc>
          <w:tcPr>
            <w:tcW w:w="1448" w:type="dxa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rPr>
                <w:szCs w:val="18"/>
                <w:lang w:val="fr-FR"/>
              </w:rPr>
            </w:pPr>
            <w:r w:rsidRPr="005321F3">
              <w:rPr>
                <w:lang w:val="fr-FR"/>
              </w:rPr>
              <w:t>d</w:t>
            </w:r>
          </w:p>
        </w:tc>
        <w:tc>
          <w:tcPr>
            <w:tcW w:w="5917" w:type="dxa"/>
            <w:vAlign w:val="center"/>
            <w:hideMark/>
          </w:tcPr>
          <w:p w:rsidR="00936D8A" w:rsidRPr="005321F3" w:rsidRDefault="00936D8A" w:rsidP="00BE24A2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szCs w:val="18"/>
                <w:lang w:val="fr-FR"/>
              </w:rPr>
            </w:pPr>
            <w:r w:rsidRPr="005321F3">
              <w:rPr>
                <w:lang w:val="fr-FR"/>
              </w:rPr>
              <w:t>6</w:t>
            </w:r>
          </w:p>
        </w:tc>
      </w:tr>
    </w:tbl>
    <w:p w:rsidR="00936D8A" w:rsidRPr="005321F3" w:rsidRDefault="00936D8A" w:rsidP="00936D8A">
      <w:pPr>
        <w:pStyle w:val="SingleTxtG"/>
        <w:spacing w:before="120" w:after="240"/>
        <w:ind w:right="0"/>
        <w:jc w:val="right"/>
        <w:rPr>
          <w:lang w:val="fr-FR"/>
        </w:rPr>
      </w:pPr>
      <w:r>
        <w:rPr>
          <w:lang w:val="fr-FR"/>
        </w:rPr>
        <w:t> </w:t>
      </w:r>
      <w:r w:rsidRPr="005321F3">
        <w:rPr>
          <w:lang w:val="fr-FR"/>
        </w:rPr>
        <w:t>».</w:t>
      </w:r>
    </w:p>
    <w:p w:rsidR="00936D8A" w:rsidRPr="005321F3" w:rsidRDefault="00936D8A" w:rsidP="00936D8A">
      <w:pPr>
        <w:pStyle w:val="SingleTxtG"/>
        <w:rPr>
          <w:lang w:val="fr-FR"/>
        </w:rPr>
      </w:pPr>
      <w:r w:rsidRPr="005321F3">
        <w:rPr>
          <w:i/>
          <w:lang w:val="fr-FR"/>
        </w:rPr>
        <w:t>Annexe 5</w:t>
      </w:r>
      <w:r>
        <w:rPr>
          <w:lang w:val="fr-FR"/>
        </w:rPr>
        <w:t>,</w:t>
      </w:r>
    </w:p>
    <w:p w:rsidR="00936D8A" w:rsidRPr="00067712" w:rsidRDefault="00936D8A" w:rsidP="00936D8A">
      <w:pPr>
        <w:pStyle w:val="SingleTxtG"/>
        <w:rPr>
          <w:lang w:val="fr-FR"/>
        </w:rPr>
      </w:pPr>
      <w:r w:rsidRPr="00067712">
        <w:rPr>
          <w:i/>
          <w:lang w:val="fr-FR"/>
        </w:rPr>
        <w:t>Deuxième partie, tableau B</w:t>
      </w:r>
      <w:r w:rsidRPr="00067712">
        <w:rPr>
          <w:lang w:val="fr-FR"/>
        </w:rPr>
        <w:t>, ajouter les rubriques suivantes</w:t>
      </w:r>
      <w:r>
        <w:rPr>
          <w:lang w:val="fr-FR"/>
        </w:rPr>
        <w:t> </w:t>
      </w:r>
      <w:r w:rsidRPr="00067712">
        <w:rPr>
          <w:lang w:val="fr-FR"/>
        </w:rPr>
        <w:t>:</w:t>
      </w:r>
    </w:p>
    <w:p w:rsidR="00936D8A" w:rsidRDefault="00936D8A" w:rsidP="00936D8A">
      <w:pPr>
        <w:pStyle w:val="SingleTxtG"/>
      </w:pPr>
      <w:r>
        <w:t>« </w:t>
      </w:r>
    </w:p>
    <w:tbl>
      <w:tblPr>
        <w:tblW w:w="850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216"/>
        <w:gridCol w:w="1333"/>
        <w:gridCol w:w="1406"/>
        <w:gridCol w:w="1471"/>
        <w:gridCol w:w="1307"/>
      </w:tblGrid>
      <w:tr w:rsidR="00936D8A" w:rsidRPr="00067712" w:rsidTr="00BE24A2">
        <w:trPr>
          <w:tblHeader/>
        </w:trPr>
        <w:tc>
          <w:tcPr>
            <w:tcW w:w="1772" w:type="dxa"/>
            <w:vAlign w:val="bottom"/>
            <w:hideMark/>
          </w:tcPr>
          <w:p w:rsidR="00936D8A" w:rsidRPr="00067712" w:rsidRDefault="00936D8A" w:rsidP="00936D8A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8"/>
                <w:lang w:val="fr-FR"/>
              </w:rPr>
            </w:pPr>
            <w:r w:rsidRPr="00067712">
              <w:rPr>
                <w:i/>
                <w:sz w:val="16"/>
                <w:szCs w:val="18"/>
                <w:lang w:val="fr-FR"/>
              </w:rPr>
              <w:t xml:space="preserve">Désignation de </w:t>
            </w:r>
            <w:r>
              <w:rPr>
                <w:i/>
                <w:sz w:val="16"/>
                <w:szCs w:val="18"/>
                <w:lang w:val="fr-FR"/>
              </w:rPr>
              <w:br/>
            </w:r>
            <w:r w:rsidRPr="00067712">
              <w:rPr>
                <w:i/>
                <w:sz w:val="16"/>
                <w:szCs w:val="18"/>
                <w:lang w:val="fr-FR"/>
              </w:rPr>
              <w:t>la</w:t>
            </w:r>
            <w:r>
              <w:rPr>
                <w:i/>
                <w:sz w:val="16"/>
                <w:szCs w:val="18"/>
                <w:lang w:val="fr-FR"/>
              </w:rPr>
              <w:t xml:space="preserve"> </w:t>
            </w:r>
            <w:r w:rsidRPr="00067712">
              <w:rPr>
                <w:i/>
                <w:sz w:val="16"/>
                <w:szCs w:val="18"/>
                <w:lang w:val="fr-FR"/>
              </w:rPr>
              <w:t>dimension du pneumatique (+)</w:t>
            </w:r>
          </w:p>
        </w:tc>
        <w:tc>
          <w:tcPr>
            <w:tcW w:w="1216" w:type="dxa"/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8"/>
                <w:lang w:val="fr-FR"/>
              </w:rPr>
            </w:pPr>
            <w:r w:rsidRPr="00067712">
              <w:rPr>
                <w:i/>
                <w:sz w:val="16"/>
                <w:szCs w:val="18"/>
                <w:lang w:val="fr-FR"/>
              </w:rPr>
              <w:t xml:space="preserve">Code </w:t>
            </w:r>
            <w:r w:rsidRPr="00067712">
              <w:rPr>
                <w:i/>
                <w:sz w:val="16"/>
                <w:szCs w:val="18"/>
                <w:lang w:val="fr-FR"/>
              </w:rPr>
              <w:br/>
              <w:t xml:space="preserve">de la largeur théorique </w:t>
            </w:r>
            <w:r w:rsidRPr="00067712">
              <w:rPr>
                <w:i/>
                <w:sz w:val="16"/>
                <w:szCs w:val="18"/>
                <w:lang w:val="fr-FR"/>
              </w:rPr>
              <w:br/>
              <w:t>de la jante</w:t>
            </w:r>
          </w:p>
        </w:tc>
        <w:tc>
          <w:tcPr>
            <w:tcW w:w="1333" w:type="dxa"/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Diamètre nominal de la jante </w:t>
            </w:r>
            <w:r>
              <w:rPr>
                <w:i/>
                <w:sz w:val="16"/>
                <w:szCs w:val="18"/>
              </w:rPr>
              <w:br/>
              <w:t>d (mm)</w:t>
            </w:r>
          </w:p>
        </w:tc>
        <w:tc>
          <w:tcPr>
            <w:tcW w:w="2877" w:type="dxa"/>
            <w:gridSpan w:val="2"/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8"/>
                <w:lang w:val="fr-FR"/>
              </w:rPr>
            </w:pPr>
            <w:r w:rsidRPr="00067712">
              <w:rPr>
                <w:i/>
                <w:sz w:val="16"/>
                <w:szCs w:val="18"/>
                <w:lang w:val="fr-FR"/>
              </w:rPr>
              <w:t>Diamètre hors tout</w:t>
            </w:r>
            <w:r>
              <w:rPr>
                <w:i/>
                <w:sz w:val="16"/>
                <w:szCs w:val="18"/>
                <w:lang w:val="fr-FR"/>
              </w:rPr>
              <w:t xml:space="preserve"> </w:t>
            </w:r>
            <w:r w:rsidRPr="00067712">
              <w:rPr>
                <w:i/>
                <w:sz w:val="16"/>
                <w:szCs w:val="18"/>
                <w:lang w:val="fr-FR"/>
              </w:rPr>
              <w:br/>
              <w:t>D (mm)</w:t>
            </w:r>
          </w:p>
        </w:tc>
        <w:tc>
          <w:tcPr>
            <w:tcW w:w="1307" w:type="dxa"/>
            <w:vAlign w:val="bottom"/>
            <w:hideMark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8"/>
                <w:lang w:val="fr-FR"/>
              </w:rPr>
            </w:pPr>
            <w:r w:rsidRPr="00067712">
              <w:rPr>
                <w:i/>
                <w:sz w:val="16"/>
                <w:szCs w:val="18"/>
                <w:lang w:val="fr-FR"/>
              </w:rPr>
              <w:t xml:space="preserve">Grosseur </w:t>
            </w:r>
            <w:r w:rsidRPr="00067712">
              <w:rPr>
                <w:i/>
                <w:sz w:val="16"/>
                <w:szCs w:val="18"/>
                <w:lang w:val="fr-FR"/>
              </w:rPr>
              <w:br/>
              <w:t>du boudin</w:t>
            </w:r>
            <w:r>
              <w:rPr>
                <w:i/>
                <w:sz w:val="16"/>
                <w:szCs w:val="18"/>
                <w:lang w:val="fr-FR"/>
              </w:rPr>
              <w:t xml:space="preserve"> </w:t>
            </w:r>
            <w:r w:rsidRPr="00067712">
              <w:rPr>
                <w:i/>
                <w:sz w:val="16"/>
                <w:szCs w:val="18"/>
                <w:lang w:val="fr-FR"/>
              </w:rPr>
              <w:br/>
              <w:t>S (mm)</w:t>
            </w:r>
          </w:p>
        </w:tc>
      </w:tr>
      <w:tr w:rsidR="00936D8A" w:rsidTr="00BE24A2">
        <w:tc>
          <w:tcPr>
            <w:tcW w:w="1772" w:type="dxa"/>
            <w:tcBorders>
              <w:bottom w:val="single" w:sz="4" w:space="0" w:color="auto"/>
            </w:tcBorders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 w:eastAsia="fr-BE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 w:eastAsia="fr-BE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bottom"/>
          </w:tcPr>
          <w:p w:rsidR="00936D8A" w:rsidRPr="00067712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 w:eastAsia="fr-BE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Normal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  <w:hideMark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Neige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eastAsia="fr-BE"/>
              </w:rPr>
            </w:pPr>
          </w:p>
        </w:tc>
      </w:tr>
      <w:tr w:rsidR="00936D8A" w:rsidTr="00BE24A2">
        <w:tc>
          <w:tcPr>
            <w:tcW w:w="1772" w:type="dxa"/>
            <w:tcBorders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>
              <w:rPr>
                <w:sz w:val="18"/>
                <w:szCs w:val="18"/>
                <w:lang w:eastAsia="fr-BE"/>
              </w:rPr>
              <w:t>…</w:t>
            </w:r>
          </w:p>
        </w:tc>
        <w:tc>
          <w:tcPr>
            <w:tcW w:w="1216" w:type="dxa"/>
            <w:tcBorders>
              <w:bottom w:val="nil"/>
            </w:tcBorders>
            <w:vAlign w:val="bottom"/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bottom"/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7" w:type="dxa"/>
            <w:tcBorders>
              <w:bottom w:val="nil"/>
            </w:tcBorders>
            <w:vAlign w:val="bottom"/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eastAsia="fr-BE"/>
              </w:rPr>
            </w:pPr>
          </w:p>
        </w:tc>
      </w:tr>
      <w:tr w:rsidR="00936D8A" w:rsidTr="00BE24A2">
        <w:tc>
          <w:tcPr>
            <w:tcW w:w="1772" w:type="dxa"/>
            <w:tcBorders>
              <w:top w:val="nil"/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9F619E"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11.50R20LT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9,00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508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826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832</w:t>
            </w: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  <w:lang w:eastAsia="fr-BE"/>
              </w:rPr>
              <w:t>290</w:t>
            </w:r>
          </w:p>
        </w:tc>
      </w:tr>
      <w:tr w:rsidR="00936D8A" w:rsidTr="00BE24A2">
        <w:tc>
          <w:tcPr>
            <w:tcW w:w="1772" w:type="dxa"/>
            <w:tcBorders>
              <w:top w:val="nil"/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9F619E"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11.50R17LT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9,00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432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877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883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  <w:lang w:eastAsia="fr-BE"/>
              </w:rPr>
              <w:t>290</w:t>
            </w:r>
          </w:p>
        </w:tc>
      </w:tr>
      <w:tr w:rsidR="00936D8A" w:rsidTr="00BE24A2">
        <w:tc>
          <w:tcPr>
            <w:tcW w:w="1772" w:type="dxa"/>
            <w:tcBorders>
              <w:top w:val="nil"/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9F619E"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F619E">
              <w:rPr>
                <w:sz w:val="18"/>
                <w:szCs w:val="18"/>
                <w:lang w:val="en-US"/>
              </w:rPr>
              <w:t>13.50R26LT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11,00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660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928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934</w:t>
            </w: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  <w:lang w:eastAsia="fr-BE"/>
              </w:rPr>
              <w:t>345</w:t>
            </w:r>
          </w:p>
        </w:tc>
      </w:tr>
      <w:tr w:rsidR="00936D8A" w:rsidTr="00BE24A2">
        <w:tc>
          <w:tcPr>
            <w:tcW w:w="1772" w:type="dxa"/>
            <w:tcBorders>
              <w:top w:val="nil"/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>
              <w:rPr>
                <w:sz w:val="18"/>
                <w:szCs w:val="18"/>
              </w:rPr>
              <w:t>36 x 15.50R20LT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12,50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508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902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908</w:t>
            </w: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  <w:lang w:eastAsia="fr-BE"/>
              </w:rPr>
              <w:t>395</w:t>
            </w:r>
          </w:p>
        </w:tc>
      </w:tr>
      <w:tr w:rsidR="00936D8A" w:rsidTr="00BE24A2">
        <w:tc>
          <w:tcPr>
            <w:tcW w:w="1772" w:type="dxa"/>
            <w:tcBorders>
              <w:top w:val="nil"/>
              <w:bottom w:val="nil"/>
            </w:tcBorders>
          </w:tcPr>
          <w:p w:rsidR="00936D8A" w:rsidRPr="009F619E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>
              <w:rPr>
                <w:sz w:val="18"/>
                <w:szCs w:val="18"/>
              </w:rPr>
              <w:t>40 x 15.50R26LT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12,50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</w:rPr>
              <w:t>660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1 004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573C11">
              <w:rPr>
                <w:sz w:val="18"/>
                <w:szCs w:val="18"/>
              </w:rPr>
              <w:t>1 010</w:t>
            </w: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  <w:r w:rsidRPr="00573C11">
              <w:rPr>
                <w:sz w:val="18"/>
                <w:szCs w:val="18"/>
                <w:lang w:eastAsia="fr-BE"/>
              </w:rPr>
              <w:t>395</w:t>
            </w:r>
          </w:p>
        </w:tc>
      </w:tr>
      <w:tr w:rsidR="00936D8A" w:rsidTr="00BE24A2">
        <w:tc>
          <w:tcPr>
            <w:tcW w:w="1772" w:type="dxa"/>
            <w:tcBorders>
              <w:top w:val="nil"/>
            </w:tcBorders>
          </w:tcPr>
          <w:p w:rsidR="00936D8A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16" w:type="dxa"/>
            <w:tcBorders>
              <w:top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</w:tcBorders>
            <w:vAlign w:val="bottom"/>
          </w:tcPr>
          <w:p w:rsidR="00936D8A" w:rsidRPr="00573C11" w:rsidRDefault="00936D8A" w:rsidP="00BE24A2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eastAsia="fr-BE"/>
              </w:rPr>
            </w:pPr>
          </w:p>
        </w:tc>
      </w:tr>
    </w:tbl>
    <w:p w:rsidR="005F0207" w:rsidRDefault="00936D8A" w:rsidP="00936D8A">
      <w:pPr>
        <w:pStyle w:val="SingleTxtG"/>
        <w:spacing w:before="120" w:after="240"/>
        <w:ind w:right="0"/>
        <w:jc w:val="right"/>
      </w:pPr>
      <w:r>
        <w:t> ».</w:t>
      </w:r>
    </w:p>
    <w:p w:rsidR="00936D8A" w:rsidRPr="00936D8A" w:rsidRDefault="00936D8A" w:rsidP="00936D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6D8A" w:rsidRPr="00936D8A" w:rsidSect="009C70B5">
      <w:headerReference w:type="even" r:id="rId14"/>
      <w:endnotePr>
        <w:numFmt w:val="decimal"/>
      </w:endnotePr>
      <w:type w:val="evenPage"/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E7" w:rsidRDefault="000551E7"/>
  </w:endnote>
  <w:endnote w:type="continuationSeparator" w:id="0">
    <w:p w:rsidR="000551E7" w:rsidRDefault="000551E7">
      <w:pPr>
        <w:pStyle w:val="Footer"/>
      </w:pPr>
    </w:p>
  </w:endnote>
  <w:endnote w:type="continuationNotice" w:id="1">
    <w:p w:rsidR="000551E7" w:rsidRPr="00C451B9" w:rsidRDefault="000551E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8A" w:rsidRPr="00936D8A" w:rsidRDefault="00936D8A" w:rsidP="00936D8A">
    <w:pPr>
      <w:pStyle w:val="Footer"/>
      <w:tabs>
        <w:tab w:val="right" w:pos="9638"/>
      </w:tabs>
    </w:pPr>
    <w:r w:rsidRPr="00936D8A">
      <w:rPr>
        <w:b/>
        <w:sz w:val="18"/>
      </w:rPr>
      <w:fldChar w:fldCharType="begin"/>
    </w:r>
    <w:r w:rsidRPr="00936D8A">
      <w:rPr>
        <w:b/>
        <w:sz w:val="18"/>
      </w:rPr>
      <w:instrText xml:space="preserve"> PAGE  \* MERGEFORMAT </w:instrText>
    </w:r>
    <w:r w:rsidRPr="00936D8A">
      <w:rPr>
        <w:b/>
        <w:sz w:val="18"/>
      </w:rPr>
      <w:fldChar w:fldCharType="separate"/>
    </w:r>
    <w:r w:rsidR="000346D8">
      <w:rPr>
        <w:b/>
        <w:noProof/>
        <w:sz w:val="18"/>
      </w:rPr>
      <w:t>2</w:t>
    </w:r>
    <w:r w:rsidRPr="00936D8A">
      <w:rPr>
        <w:b/>
        <w:sz w:val="18"/>
      </w:rPr>
      <w:fldChar w:fldCharType="end"/>
    </w:r>
    <w:r>
      <w:rPr>
        <w:b/>
        <w:sz w:val="18"/>
      </w:rPr>
      <w:tab/>
    </w:r>
    <w:r>
      <w:t>GE.18-06620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8A" w:rsidRPr="00936D8A" w:rsidRDefault="00936D8A" w:rsidP="00936D8A">
    <w:pPr>
      <w:pStyle w:val="Footer"/>
      <w:tabs>
        <w:tab w:val="right" w:pos="9638"/>
      </w:tabs>
      <w:rPr>
        <w:b/>
        <w:sz w:val="18"/>
      </w:rPr>
    </w:pPr>
    <w:r>
      <w:t>GE.18-06620</w:t>
    </w:r>
    <w:r>
      <w:tab/>
    </w:r>
    <w:r w:rsidRPr="00936D8A">
      <w:rPr>
        <w:b/>
        <w:sz w:val="18"/>
      </w:rPr>
      <w:fldChar w:fldCharType="begin"/>
    </w:r>
    <w:r w:rsidRPr="00936D8A">
      <w:rPr>
        <w:b/>
        <w:sz w:val="18"/>
      </w:rPr>
      <w:instrText xml:space="preserve"> PAGE  \* MERGEFORMAT </w:instrText>
    </w:r>
    <w:r w:rsidRPr="00936D8A">
      <w:rPr>
        <w:b/>
        <w:sz w:val="18"/>
      </w:rPr>
      <w:fldChar w:fldCharType="separate"/>
    </w:r>
    <w:r w:rsidR="000346D8">
      <w:rPr>
        <w:b/>
        <w:noProof/>
        <w:sz w:val="18"/>
      </w:rPr>
      <w:t>3</w:t>
    </w:r>
    <w:r w:rsidRPr="00936D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936D8A" w:rsidRDefault="00936D8A" w:rsidP="00936D8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6192" behindDoc="0" locked="0" layoutInCell="1" allowOverlap="1" wp14:anchorId="22A94F71" wp14:editId="5459721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18-06620  (F)    040518    300518</w:t>
    </w:r>
    <w:r>
      <w:rPr>
        <w:sz w:val="20"/>
      </w:rPr>
      <w:br/>
    </w:r>
    <w:r w:rsidRPr="00936D8A">
      <w:rPr>
        <w:rFonts w:ascii="C39T30Lfz" w:hAnsi="C39T30Lfz"/>
        <w:sz w:val="56"/>
      </w:rPr>
      <w:t></w:t>
    </w:r>
    <w:r w:rsidRPr="00936D8A">
      <w:rPr>
        <w:rFonts w:ascii="C39T30Lfz" w:hAnsi="C39T30Lfz"/>
        <w:sz w:val="56"/>
      </w:rPr>
      <w:t></w:t>
    </w:r>
    <w:r w:rsidRPr="00936D8A">
      <w:rPr>
        <w:rFonts w:ascii="C39T30Lfz" w:hAnsi="C39T30Lfz"/>
        <w:sz w:val="56"/>
      </w:rPr>
      <w:t></w:t>
    </w:r>
    <w:r w:rsidRPr="00936D8A">
      <w:rPr>
        <w:rFonts w:ascii="C39T30Lfz" w:hAnsi="C39T30Lfz"/>
        <w:sz w:val="56"/>
      </w:rPr>
      <w:t></w:t>
    </w:r>
    <w:r w:rsidRPr="00936D8A">
      <w:rPr>
        <w:rFonts w:ascii="C39T30Lfz" w:hAnsi="C39T30Lfz"/>
        <w:sz w:val="56"/>
      </w:rPr>
      <w:t></w:t>
    </w:r>
    <w:r w:rsidRPr="00936D8A">
      <w:rPr>
        <w:rFonts w:ascii="C39T30Lfz" w:hAnsi="C39T30Lfz"/>
        <w:sz w:val="56"/>
      </w:rPr>
      <w:t></w:t>
    </w:r>
    <w:r w:rsidRPr="00936D8A">
      <w:rPr>
        <w:rFonts w:ascii="C39T30Lfz" w:hAnsi="C39T30Lfz"/>
        <w:sz w:val="56"/>
      </w:rPr>
      <w:t></w:t>
    </w:r>
    <w:r w:rsidRPr="00936D8A">
      <w:rPr>
        <w:rFonts w:ascii="C39T30Lfz" w:hAnsi="C39T30Lfz"/>
        <w:sz w:val="56"/>
      </w:rPr>
      <w:t></w:t>
    </w:r>
    <w:r w:rsidRPr="00936D8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4384" behindDoc="0" locked="0" layoutInCell="1" allowOverlap="1" wp14:anchorId="067A1C72" wp14:editId="15A1F7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53/Rev.3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3/Rev.3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E7" w:rsidRPr="00D27D5E" w:rsidRDefault="000551E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51E7" w:rsidRPr="00D171D4" w:rsidRDefault="000551E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551E7" w:rsidRPr="00C451B9" w:rsidRDefault="000551E7" w:rsidP="00C451B9">
      <w:pPr>
        <w:spacing w:line="240" w:lineRule="auto"/>
        <w:rPr>
          <w:sz w:val="2"/>
          <w:szCs w:val="2"/>
        </w:rPr>
      </w:pPr>
    </w:p>
  </w:footnote>
  <w:footnote w:id="2">
    <w:p w:rsidR="002E0DBB" w:rsidRPr="002E0DBB" w:rsidRDefault="002E0DBB" w:rsidP="002E0DBB">
      <w:pPr>
        <w:pStyle w:val="FootnoteText"/>
      </w:pPr>
      <w:r>
        <w:rPr>
          <w:rStyle w:val="FootnoteReference"/>
        </w:rPr>
        <w:tab/>
      </w:r>
      <w:r w:rsidRPr="002E0DB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Nouveau tirage pour </w:t>
      </w:r>
      <w:r w:rsidRPr="002E0DBB">
        <w:t>raisons</w:t>
      </w:r>
      <w:r>
        <w:t xml:space="preserve"> techniques (31 mai 2018).</w:t>
      </w:r>
    </w:p>
  </w:footnote>
  <w:footnote w:id="3">
    <w:p w:rsidR="002E0DBB" w:rsidRPr="00771154" w:rsidRDefault="002E0DBB" w:rsidP="002E0DBB">
      <w:pPr>
        <w:pStyle w:val="FootnoteText"/>
        <w:rPr>
          <w:lang w:val="fr-FR"/>
        </w:rPr>
      </w:pPr>
      <w:r>
        <w:rPr>
          <w:rStyle w:val="FootnoteReference"/>
        </w:rPr>
        <w:tab/>
      </w:r>
      <w:r w:rsidRPr="002E0DB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71154">
        <w:rPr>
          <w:lang w:val="fr-FR"/>
        </w:rPr>
        <w:t>Anciens titres de l’Accord</w:t>
      </w:r>
      <w:r>
        <w:rPr>
          <w:lang w:val="fr-FR"/>
        </w:rPr>
        <w:t> </w:t>
      </w:r>
      <w:r w:rsidRPr="00771154">
        <w:rPr>
          <w:lang w:val="fr-FR"/>
        </w:rPr>
        <w:t>:</w:t>
      </w:r>
    </w:p>
    <w:p w:rsidR="002E0DBB" w:rsidRPr="00771154" w:rsidRDefault="002E0DBB" w:rsidP="002E0DBB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 xml:space="preserve">Accord concernant l’adoption de conditions uniformes d’homologation et la reconnaissance réciproque de l’homologation des équipements et pièces de véhicules </w:t>
      </w:r>
      <w:r>
        <w:rPr>
          <w:lang w:val="fr-FR"/>
        </w:rPr>
        <w:t>à moteur, en date, à Genève, du </w:t>
      </w:r>
      <w:r w:rsidRPr="00771154">
        <w:rPr>
          <w:lang w:val="fr-FR"/>
        </w:rPr>
        <w:t>20 mars 1958 (version originale</w:t>
      </w:r>
      <w:r w:rsidRPr="00771154">
        <w:rPr>
          <w:spacing w:val="-4"/>
          <w:lang w:val="fr-FR"/>
        </w:rPr>
        <w:t>)</w:t>
      </w:r>
      <w:r>
        <w:rPr>
          <w:spacing w:val="-4"/>
          <w:lang w:val="fr-FR"/>
        </w:rPr>
        <w:t> </w:t>
      </w:r>
      <w:r w:rsidRPr="00771154">
        <w:rPr>
          <w:spacing w:val="-4"/>
          <w:lang w:val="fr-FR"/>
        </w:rPr>
        <w:t>;</w:t>
      </w:r>
    </w:p>
    <w:p w:rsidR="002E0DBB" w:rsidRPr="002E0DBB" w:rsidRDefault="002E0DBB" w:rsidP="002E0DBB">
      <w:pPr>
        <w:pStyle w:val="FootnoteText"/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prescriptions techniques unifor</w:t>
      </w:r>
      <w:r>
        <w:rPr>
          <w:lang w:val="fr-FR"/>
        </w:rPr>
        <w:t>mes applicables aux véhicules à </w:t>
      </w:r>
      <w:r w:rsidRPr="00771154">
        <w:rPr>
          <w:lang w:val="fr-FR"/>
        </w:rPr>
        <w:t>roues, aux équipements et aux pièces susceptibles d’être montés ou utilisés sur un véhicule à roues et les conditions de reconnaissance réciproque des homologations délivrées conformément à ces prescri</w:t>
      </w:r>
      <w:r>
        <w:rPr>
          <w:lang w:val="fr-FR"/>
        </w:rPr>
        <w:t>ptions, en date, à Genève, du 5 </w:t>
      </w:r>
      <w:r w:rsidRPr="00771154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8A" w:rsidRPr="00936D8A" w:rsidRDefault="00936D8A">
    <w:pPr>
      <w:pStyle w:val="Header"/>
      <w:rPr>
        <w:lang w:val="en-US"/>
      </w:rPr>
    </w:pPr>
    <w:r>
      <w:fldChar w:fldCharType="begin"/>
    </w:r>
    <w:r w:rsidRPr="00936D8A">
      <w:rPr>
        <w:lang w:val="en-US"/>
      </w:rPr>
      <w:instrText xml:space="preserve"> TITLE  \* MERGEFORMAT </w:instrText>
    </w:r>
    <w:r>
      <w:fldChar w:fldCharType="separate"/>
    </w:r>
    <w:r w:rsidR="009C70B5">
      <w:rPr>
        <w:lang w:val="en-US"/>
      </w:rPr>
      <w:t>E/ECE/324/Rev.1/Add.53/Rev.3/Amend.4</w:t>
    </w:r>
    <w:r>
      <w:fldChar w:fldCharType="end"/>
    </w:r>
    <w:r w:rsidRPr="00936D8A">
      <w:rPr>
        <w:lang w:val="en-US"/>
      </w:rPr>
      <w:br/>
    </w:r>
    <w:r>
      <w:fldChar w:fldCharType="begin"/>
    </w:r>
    <w:r w:rsidRPr="00936D8A">
      <w:rPr>
        <w:lang w:val="en-US"/>
      </w:rPr>
      <w:instrText xml:space="preserve"> KEYWORDS  \* MERGEFORMAT </w:instrText>
    </w:r>
    <w:r>
      <w:fldChar w:fldCharType="separate"/>
    </w:r>
    <w:r w:rsidR="009C70B5">
      <w:rPr>
        <w:lang w:val="en-US"/>
      </w:rPr>
      <w:t>E/ECE/TRANS/505/Rev.1/Add.53/Rev.3/Amend.4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8A" w:rsidRPr="00936D8A" w:rsidRDefault="00936D8A" w:rsidP="00936D8A">
    <w:pPr>
      <w:pStyle w:val="Header"/>
      <w:jc w:val="right"/>
      <w:rPr>
        <w:lang w:val="en-US"/>
      </w:rPr>
    </w:pPr>
    <w:r>
      <w:fldChar w:fldCharType="begin"/>
    </w:r>
    <w:r w:rsidRPr="00936D8A">
      <w:rPr>
        <w:lang w:val="en-US"/>
      </w:rPr>
      <w:instrText xml:space="preserve"> TITLE  \* MERGEFORMAT </w:instrText>
    </w:r>
    <w:r>
      <w:fldChar w:fldCharType="separate"/>
    </w:r>
    <w:r w:rsidR="009C70B5">
      <w:rPr>
        <w:lang w:val="en-US"/>
      </w:rPr>
      <w:t>E/ECE/324/Rev.1/Add.53/Rev.3/Amend.4</w:t>
    </w:r>
    <w:r>
      <w:fldChar w:fldCharType="end"/>
    </w:r>
    <w:r w:rsidRPr="00936D8A">
      <w:rPr>
        <w:lang w:val="en-US"/>
      </w:rPr>
      <w:br/>
    </w:r>
    <w:r>
      <w:fldChar w:fldCharType="begin"/>
    </w:r>
    <w:r w:rsidRPr="00936D8A">
      <w:rPr>
        <w:lang w:val="en-US"/>
      </w:rPr>
      <w:instrText xml:space="preserve"> KEYWORDS  \* MERGEFORMAT </w:instrText>
    </w:r>
    <w:r>
      <w:fldChar w:fldCharType="separate"/>
    </w:r>
    <w:r w:rsidR="009C70B5">
      <w:rPr>
        <w:lang w:val="en-US"/>
      </w:rPr>
      <w:t>E/ECE/TRANS/505/Rev.1/Add.53/Rev.3/Amend.4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0B5" w:rsidRPr="00936D8A" w:rsidRDefault="009C70B5">
    <w:pPr>
      <w:pStyle w:val="Header"/>
      <w:rPr>
        <w:lang w:val="en-US"/>
      </w:rPr>
    </w:pPr>
    <w:r>
      <w:fldChar w:fldCharType="begin"/>
    </w:r>
    <w:r w:rsidRPr="00936D8A">
      <w:rPr>
        <w:lang w:val="en-US"/>
      </w:rPr>
      <w:instrText xml:space="preserve"> TITLE  \* MERGEFORMAT </w:instrText>
    </w:r>
    <w:r>
      <w:fldChar w:fldCharType="separate"/>
    </w:r>
    <w:r>
      <w:rPr>
        <w:lang w:val="en-US"/>
      </w:rPr>
      <w:t>E/ECE/324/Rev.1/Add.53/Rev.3/Amend.4</w:t>
    </w:r>
    <w:r>
      <w:fldChar w:fldCharType="end"/>
    </w:r>
    <w:r w:rsidRPr="00936D8A">
      <w:rPr>
        <w:lang w:val="en-US"/>
      </w:rPr>
      <w:br/>
    </w:r>
    <w:r>
      <w:fldChar w:fldCharType="begin"/>
    </w:r>
    <w:r w:rsidRPr="00936D8A">
      <w:rPr>
        <w:lang w:val="en-US"/>
      </w:rPr>
      <w:instrText xml:space="preserve"> KEYWORDS  \* MERGEFORMAT </w:instrText>
    </w:r>
    <w:r>
      <w:fldChar w:fldCharType="separate"/>
    </w:r>
    <w:r>
      <w:rPr>
        <w:lang w:val="en-US"/>
      </w:rPr>
      <w:t>E/ECE/TRANS/505/Rev.1/Add.53/Rev.3/Amend.4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6D8"/>
    <w:rsid w:val="00034ED9"/>
    <w:rsid w:val="00040539"/>
    <w:rsid w:val="00040598"/>
    <w:rsid w:val="00047F10"/>
    <w:rsid w:val="00052157"/>
    <w:rsid w:val="0005346D"/>
    <w:rsid w:val="0005519D"/>
    <w:rsid w:val="000551E7"/>
    <w:rsid w:val="00055FE4"/>
    <w:rsid w:val="000641CE"/>
    <w:rsid w:val="00067310"/>
    <w:rsid w:val="00077E35"/>
    <w:rsid w:val="0008319D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0DBB"/>
    <w:rsid w:val="002E2F5C"/>
    <w:rsid w:val="002E5C1F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441E8"/>
    <w:rsid w:val="00552260"/>
    <w:rsid w:val="00552777"/>
    <w:rsid w:val="00555494"/>
    <w:rsid w:val="00555CBA"/>
    <w:rsid w:val="00556C1A"/>
    <w:rsid w:val="00565B29"/>
    <w:rsid w:val="00571BC1"/>
    <w:rsid w:val="00571F41"/>
    <w:rsid w:val="00573C11"/>
    <w:rsid w:val="00575476"/>
    <w:rsid w:val="00583A20"/>
    <w:rsid w:val="00584373"/>
    <w:rsid w:val="0059061F"/>
    <w:rsid w:val="00591D7C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31D4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1281"/>
    <w:rsid w:val="00935490"/>
    <w:rsid w:val="00936D8A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70B5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3808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5FBA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1C6E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47A2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E12762A2-1E36-409D-8350-34BF0E3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D647-FA2C-4CBC-BB98-8144BC95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E/ECE/324/Rev.1/Add.53/Rev.3/Amend.4</vt:lpstr>
      <vt:lpstr>E/ECE/324/Rev.1/Add.53/Rev.3/Amend.4</vt:lpstr>
    </vt:vector>
  </TitlesOfParts>
  <Company>CSD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E/ECE/324/Rev.1/Add.53/Rev.3/Amend.4</dc:title>
  <dc:creator>Marie DESCHAMPS</dc:creator>
  <cp:keywords>E/ECE/TRANS/505/Rev.1/Add.53/Rev.3/Amend.4</cp:keywords>
  <cp:lastModifiedBy>Olivia Braud</cp:lastModifiedBy>
  <cp:revision>2</cp:revision>
  <cp:lastPrinted>2018-05-30T09:14:00Z</cp:lastPrinted>
  <dcterms:created xsi:type="dcterms:W3CDTF">2018-08-22T12:37:00Z</dcterms:created>
  <dcterms:modified xsi:type="dcterms:W3CDTF">2018-08-22T12:37:00Z</dcterms:modified>
</cp:coreProperties>
</file>