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851"/>
        <w:gridCol w:w="287"/>
        <w:gridCol w:w="5666"/>
        <w:gridCol w:w="2693"/>
      </w:tblGrid>
      <w:tr w:rsidR="002D5AAC" w:rsidRPr="00F31943" w:rsidTr="00F31943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319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646" w:type="dxa"/>
            <w:gridSpan w:val="3"/>
            <w:tcBorders>
              <w:bottom w:val="single" w:sz="4" w:space="0" w:color="auto"/>
            </w:tcBorders>
            <w:vAlign w:val="bottom"/>
          </w:tcPr>
          <w:p w:rsidR="00F31943" w:rsidRPr="00F31943" w:rsidRDefault="00F31943" w:rsidP="00F31943">
            <w:pPr>
              <w:jc w:val="right"/>
              <w:rPr>
                <w:lang w:val="en-US"/>
              </w:rPr>
            </w:pPr>
            <w:r w:rsidRPr="00F31943">
              <w:rPr>
                <w:sz w:val="40"/>
                <w:lang w:val="en-US"/>
              </w:rPr>
              <w:t>E</w:t>
            </w:r>
            <w:r w:rsidRPr="00F31943">
              <w:rPr>
                <w:lang w:val="en-US"/>
              </w:rPr>
              <w:t>/ECE/324/Rev.1/Add.52/Rev.4/Amend.1</w:t>
            </w:r>
            <w:r w:rsidRPr="00F31943">
              <w:rPr>
                <w:rFonts w:cs="Times New Roman"/>
                <w:lang w:val="en-US"/>
              </w:rPr>
              <w:t>−</w:t>
            </w:r>
            <w:r w:rsidRPr="00F31943">
              <w:rPr>
                <w:sz w:val="40"/>
                <w:lang w:val="en-US"/>
              </w:rPr>
              <w:t>E</w:t>
            </w:r>
            <w:r w:rsidRPr="00F31943">
              <w:rPr>
                <w:lang w:val="en-US"/>
              </w:rPr>
              <w:t>/ECE/TRANS/505/Rev.1/Add.52/Rev.4/Amend.1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F31943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F31943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F31943" w:rsidRDefault="00F31943" w:rsidP="00F31943">
            <w:pPr>
              <w:spacing w:before="120" w:line="240" w:lineRule="exact"/>
              <w:rPr>
                <w:lang w:val="en-US"/>
              </w:rPr>
            </w:pPr>
          </w:p>
          <w:p w:rsidR="00F31943" w:rsidRDefault="00F31943" w:rsidP="00F31943">
            <w:pPr>
              <w:spacing w:before="120" w:line="240" w:lineRule="exact"/>
              <w:rPr>
                <w:lang w:val="en-US"/>
              </w:rPr>
            </w:pPr>
          </w:p>
          <w:p w:rsidR="00F31943" w:rsidRDefault="00F31943" w:rsidP="00F319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26 July 2017</w:t>
            </w:r>
          </w:p>
          <w:p w:rsidR="00F31943" w:rsidRPr="008D53B6" w:rsidRDefault="00F31943" w:rsidP="00F319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:rsidR="00FE1C73" w:rsidRPr="00FE1C73" w:rsidRDefault="00FE1C73" w:rsidP="00FE1C73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FE1C73">
        <w:t>Соглашение</w:t>
      </w:r>
    </w:p>
    <w:p w:rsidR="00FE1C73" w:rsidRPr="00FE1C73" w:rsidRDefault="00FE1C73" w:rsidP="00FE1C73">
      <w:pPr>
        <w:pStyle w:val="H1GR"/>
      </w:pPr>
      <w:r w:rsidRPr="00FE1C73">
        <w:tab/>
      </w:r>
      <w:r w:rsidRPr="00FE1C73">
        <w:tab/>
        <w:t>О принятии единообразных технических предписаний для колесных транспортных средств, предметов оборудования и</w:t>
      </w:r>
      <w:r w:rsidRPr="00FE1C73">
        <w:rPr>
          <w:lang w:val="en-US"/>
        </w:rPr>
        <w:t> </w:t>
      </w:r>
      <w:r w:rsidRPr="00FE1C73">
        <w:t xml:space="preserve">частей, которые могут быть установлены и/или использованы на колесных транспортных средствах, </w:t>
      </w:r>
      <w:r w:rsidRPr="00FE1C73">
        <w:br/>
        <w:t>и об условиях взаимного признания официальных утверждений, выдаваемых на основе этих предписаний</w:t>
      </w:r>
      <w:r w:rsidRPr="00CC55DD">
        <w:rPr>
          <w:b w:val="0"/>
          <w:sz w:val="20"/>
        </w:rPr>
        <w:footnoteReference w:customMarkFollows="1" w:id="1"/>
        <w:t>*</w:t>
      </w:r>
      <w:r w:rsidRPr="00FE1C73">
        <w:t xml:space="preserve"> </w:t>
      </w:r>
    </w:p>
    <w:p w:rsidR="00FE1C73" w:rsidRPr="00FE1C73" w:rsidRDefault="00FE1C73" w:rsidP="00FE1C73">
      <w:pPr>
        <w:pStyle w:val="SingleTxtGR"/>
      </w:pPr>
      <w:r w:rsidRPr="00FE1C73">
        <w:t>(Пересмотр 2, включающий поправки, вступившие в силу 16 октября 1995 года)</w:t>
      </w:r>
    </w:p>
    <w:p w:rsidR="00FE1C73" w:rsidRDefault="00FE1C73" w:rsidP="00FE1C73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C73" w:rsidRPr="00FE1C73" w:rsidRDefault="00FE1C73" w:rsidP="00FE1C73">
      <w:pPr>
        <w:pStyle w:val="H1GR"/>
      </w:pPr>
      <w:r w:rsidRPr="00FE1C73">
        <w:tab/>
      </w:r>
      <w:r w:rsidRPr="00FE1C73">
        <w:tab/>
        <w:t>Добавление 52: Правила № 53</w:t>
      </w:r>
    </w:p>
    <w:p w:rsidR="00FE1C73" w:rsidRPr="00FE1C73" w:rsidRDefault="00FE1C73" w:rsidP="00FE1C73">
      <w:pPr>
        <w:pStyle w:val="H1GR"/>
      </w:pPr>
      <w:r w:rsidRPr="00FE1C73">
        <w:tab/>
      </w:r>
      <w:r w:rsidRPr="00FE1C73">
        <w:tab/>
        <w:t>Пересмотр 4 − Поправка 1</w:t>
      </w:r>
    </w:p>
    <w:p w:rsidR="00FE1C73" w:rsidRPr="00FE1C73" w:rsidRDefault="00FE1C73" w:rsidP="00FE1C73">
      <w:pPr>
        <w:pStyle w:val="SingleTxtGR"/>
      </w:pPr>
      <w:r w:rsidRPr="00FE1C73">
        <w:t>Дополнение 1 к поправкам серии 02 − Дата вступления в силу: 22 июня 2017 года</w:t>
      </w:r>
    </w:p>
    <w:p w:rsidR="00FE1C73" w:rsidRPr="00FE1C73" w:rsidRDefault="00FE1C73" w:rsidP="00FE1C73">
      <w:pPr>
        <w:pStyle w:val="H1GR"/>
      </w:pPr>
      <w:r w:rsidRPr="00FE1C73">
        <w:tab/>
      </w:r>
      <w:r w:rsidRPr="00FE1C73">
        <w:tab/>
        <w:t xml:space="preserve">Единообразные предписания, касающиеся официального утверждения транспортных средств категории </w:t>
      </w:r>
      <w:r w:rsidRPr="00FE1C73">
        <w:rPr>
          <w:lang w:val="en-US"/>
        </w:rPr>
        <w:t>L</w:t>
      </w:r>
      <w:r w:rsidRPr="00FE1C73">
        <w:rPr>
          <w:vertAlign w:val="subscript"/>
        </w:rPr>
        <w:t>3</w:t>
      </w:r>
      <w:r w:rsidRPr="00FE1C73">
        <w:t xml:space="preserve"> в отношении установки устройств освещения и световой сигнализации</w:t>
      </w:r>
    </w:p>
    <w:p w:rsidR="00FE1C73" w:rsidRPr="00FE1C73" w:rsidRDefault="00FE1C73" w:rsidP="00FE1C73">
      <w:pPr>
        <w:pStyle w:val="SingleTxtGR"/>
      </w:pPr>
      <w:r w:rsidRPr="00FE1C73"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FE1C73">
        <w:rPr>
          <w:lang w:val="fr-CH"/>
        </w:rPr>
        <w:t>ECE</w:t>
      </w:r>
      <w:r w:rsidRPr="00FE1C73">
        <w:t>/</w:t>
      </w:r>
      <w:r w:rsidR="00450330" w:rsidRPr="00450330">
        <w:t xml:space="preserve"> </w:t>
      </w:r>
      <w:r w:rsidRPr="00FE1C73">
        <w:rPr>
          <w:lang w:val="fr-CH"/>
        </w:rPr>
        <w:t>TRANS</w:t>
      </w:r>
      <w:r w:rsidRPr="00FE1C73">
        <w:t>/</w:t>
      </w:r>
      <w:r w:rsidRPr="00FE1C73">
        <w:rPr>
          <w:lang w:val="fr-CH"/>
        </w:rPr>
        <w:t>WP</w:t>
      </w:r>
      <w:r w:rsidRPr="00FE1C73">
        <w:t xml:space="preserve">.29/2016/82. </w:t>
      </w:r>
    </w:p>
    <w:p w:rsidR="00FE1C73" w:rsidRPr="00FE1C73" w:rsidRDefault="00FE1C73" w:rsidP="00FE1C7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1C73" w:rsidRPr="00FE1C73" w:rsidRDefault="00FE1C73" w:rsidP="00FE1C73">
      <w:pPr>
        <w:pStyle w:val="SingleTxtGR"/>
        <w:spacing w:before="240"/>
        <w:jc w:val="center"/>
      </w:pPr>
      <w:bookmarkStart w:id="1" w:name="_MON_1000209745"/>
      <w:bookmarkEnd w:id="1"/>
      <w:r w:rsidRPr="00FE1C73">
        <w:rPr>
          <w:noProof/>
        </w:rPr>
        <w:drawing>
          <wp:inline distT="0" distB="0" distL="0" distR="0" wp14:anchorId="7C2B46AB" wp14:editId="23431704">
            <wp:extent cx="616585" cy="574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C73" w:rsidRPr="00FE1C73" w:rsidRDefault="00FE1C73" w:rsidP="00FE1C73">
      <w:pPr>
        <w:pStyle w:val="SingleTxtGR"/>
        <w:jc w:val="center"/>
        <w:rPr>
          <w:b/>
        </w:rPr>
      </w:pPr>
      <w:r w:rsidRPr="00FE1C73">
        <w:rPr>
          <w:b/>
        </w:rPr>
        <w:t>ОРГАНИЗАЦИЯ ОБЪЕДИНЕННЫХ НАЦИЙ</w:t>
      </w:r>
    </w:p>
    <w:p w:rsidR="00FE1C73" w:rsidRPr="00FE1C73" w:rsidRDefault="00FE1C73" w:rsidP="00FE1C73">
      <w:pPr>
        <w:pStyle w:val="SingleTxtGR"/>
      </w:pPr>
      <w:r w:rsidRPr="00FE1C73">
        <w:rPr>
          <w:b/>
        </w:rPr>
        <w:br w:type="page"/>
      </w:r>
      <w:r w:rsidRPr="00FE1C73">
        <w:rPr>
          <w:i/>
          <w:iCs/>
        </w:rPr>
        <w:lastRenderedPageBreak/>
        <w:t>Пункт 6.2.5.7</w:t>
      </w:r>
      <w:r w:rsidRPr="00FE1C73">
        <w:t xml:space="preserve"> изменить следующим образом:</w:t>
      </w:r>
    </w:p>
    <w:p w:rsidR="00FE1C73" w:rsidRPr="00FE1C73" w:rsidRDefault="00FE1C73" w:rsidP="00FE1C73">
      <w:pPr>
        <w:pStyle w:val="SingleTxtGR"/>
        <w:ind w:left="2268" w:hanging="1134"/>
      </w:pPr>
      <w:r w:rsidRPr="00FE1C73">
        <w:t>«6.2.5.7</w:t>
      </w:r>
      <w:r w:rsidRPr="00FE1C73">
        <w:tab/>
        <w:t>Для подсветки поворотов дополнительный(</w:t>
      </w:r>
      <w:proofErr w:type="spellStart"/>
      <w:r w:rsidRPr="00FE1C73">
        <w:t>ые</w:t>
      </w:r>
      <w:proofErr w:type="spellEnd"/>
      <w:r w:rsidRPr="00FE1C73">
        <w:t>) источник(и) света или дополнительный(</w:t>
      </w:r>
      <w:proofErr w:type="spellStart"/>
      <w:r w:rsidRPr="00FE1C73">
        <w:t>ые</w:t>
      </w:r>
      <w:proofErr w:type="spellEnd"/>
      <w:r w:rsidRPr="00FE1C73">
        <w:t>) световой(</w:t>
      </w:r>
      <w:proofErr w:type="spellStart"/>
      <w:r w:rsidRPr="00FE1C73">
        <w:t>ые</w:t>
      </w:r>
      <w:proofErr w:type="spellEnd"/>
      <w:r w:rsidRPr="00FE1C73">
        <w:t>) модуль(и) может (могут) включаться только вместе с основным лучом ближнего света или лучом дальнего света. Освещение, обеспечиваемое огнями подсветки поворотов, не должно быть выше горизонтальной плоскости, параллельной уровню грунта, в которой расположена исходная ось фары, дающей основной луч ближнего света, для всех углов крена, как указано изготовителем при официальном утверждении типа устройства на основании Правил № 113».</w:t>
      </w:r>
    </w:p>
    <w:p w:rsidR="00FE1C73" w:rsidRPr="00FE1C73" w:rsidRDefault="00FE1C73" w:rsidP="00FE1C73">
      <w:pPr>
        <w:pStyle w:val="SingleTxtGR"/>
      </w:pPr>
      <w:r w:rsidRPr="00FE1C73">
        <w:rPr>
          <w:i/>
          <w:iCs/>
        </w:rPr>
        <w:t>Пункт 6.2.6.1</w:t>
      </w:r>
      <w:r w:rsidRPr="00FE1C73">
        <w:t xml:space="preserve"> изменить следующим образом:</w:t>
      </w:r>
    </w:p>
    <w:p w:rsidR="00FE1C73" w:rsidRPr="00FE1C73" w:rsidRDefault="00FE1C73" w:rsidP="00FE1C73">
      <w:pPr>
        <w:pStyle w:val="SingleTxtGR"/>
        <w:ind w:left="2268" w:hanging="1134"/>
      </w:pPr>
      <w:r w:rsidRPr="00FE1C73">
        <w:t>«6.2.6.1</w:t>
      </w:r>
      <w:r w:rsidRPr="00FE1C73">
        <w:tab/>
        <w:t>Дополнительный(</w:t>
      </w:r>
      <w:proofErr w:type="spellStart"/>
      <w:r w:rsidRPr="00FE1C73">
        <w:t>ые</w:t>
      </w:r>
      <w:proofErr w:type="spellEnd"/>
      <w:r w:rsidRPr="00FE1C73">
        <w:t>) источник(и) света или дополнительный(</w:t>
      </w:r>
      <w:proofErr w:type="spellStart"/>
      <w:r w:rsidRPr="00FE1C73">
        <w:t>ые</w:t>
      </w:r>
      <w:proofErr w:type="spellEnd"/>
      <w:r w:rsidRPr="00FE1C73">
        <w:t>) световой(</w:t>
      </w:r>
      <w:proofErr w:type="spellStart"/>
      <w:r w:rsidRPr="00FE1C73">
        <w:t>ые</w:t>
      </w:r>
      <w:proofErr w:type="spellEnd"/>
      <w:r w:rsidRPr="00FE1C73">
        <w:t>) модуль(и), используемый(е) для подсветки поворотов, должен (должны) быть подключен(ы) таким образом, чтобы его (их) нельзя было включить при выключенной(</w:t>
      </w:r>
      <w:proofErr w:type="spellStart"/>
      <w:r w:rsidRPr="00FE1C73">
        <w:t>ых</w:t>
      </w:r>
      <w:proofErr w:type="spellEnd"/>
      <w:r w:rsidRPr="00FE1C73">
        <w:t>) основной(</w:t>
      </w:r>
      <w:proofErr w:type="spellStart"/>
      <w:r w:rsidRPr="00FE1C73">
        <w:t>ых</w:t>
      </w:r>
      <w:proofErr w:type="spellEnd"/>
      <w:r w:rsidRPr="00FE1C73">
        <w:t>) фаре(ах), дающей(их) основной луч ближнего света или луч дальнего света.</w:t>
      </w:r>
    </w:p>
    <w:p w:rsidR="00E12C5F" w:rsidRPr="009E7D94" w:rsidRDefault="00FE1C73" w:rsidP="00FE1C73">
      <w:pPr>
        <w:pStyle w:val="SingleTxtGR"/>
      </w:pPr>
      <w:r w:rsidRPr="00FE1C73">
        <w:tab/>
      </w:r>
      <w:r w:rsidRPr="00FE1C73">
        <w:tab/>
        <w:t>Дополнительный(</w:t>
      </w:r>
      <w:proofErr w:type="spellStart"/>
      <w:r w:rsidRPr="00FE1C73">
        <w:t>ые</w:t>
      </w:r>
      <w:proofErr w:type="spellEnd"/>
      <w:r w:rsidRPr="00FE1C73">
        <w:t>) источник(и) света...».</w:t>
      </w:r>
    </w:p>
    <w:p w:rsidR="009B642A" w:rsidRPr="009E7D94" w:rsidRDefault="009B642A" w:rsidP="009B642A">
      <w:pPr>
        <w:pStyle w:val="SingleTxtGR"/>
        <w:spacing w:before="240" w:after="0"/>
        <w:jc w:val="center"/>
        <w:rPr>
          <w:u w:val="single"/>
        </w:rPr>
      </w:pPr>
      <w:r w:rsidRPr="009E7D94">
        <w:rPr>
          <w:u w:val="single"/>
        </w:rPr>
        <w:tab/>
      </w:r>
      <w:r w:rsidRPr="009E7D94">
        <w:rPr>
          <w:u w:val="single"/>
        </w:rPr>
        <w:tab/>
      </w:r>
      <w:r w:rsidRPr="009E7D94">
        <w:rPr>
          <w:u w:val="single"/>
        </w:rPr>
        <w:tab/>
      </w:r>
    </w:p>
    <w:sectPr w:rsidR="009B642A" w:rsidRPr="009E7D94" w:rsidSect="00F31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B51" w:rsidRPr="00A312BC" w:rsidRDefault="009D1B51" w:rsidP="00A312BC"/>
  </w:endnote>
  <w:endnote w:type="continuationSeparator" w:id="0">
    <w:p w:rsidR="009D1B51" w:rsidRPr="00A312BC" w:rsidRDefault="009D1B5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43" w:rsidRPr="00F31943" w:rsidRDefault="00F31943">
    <w:pPr>
      <w:pStyle w:val="Footer"/>
    </w:pPr>
    <w:r w:rsidRPr="00F31943">
      <w:rPr>
        <w:b/>
        <w:sz w:val="18"/>
      </w:rPr>
      <w:fldChar w:fldCharType="begin"/>
    </w:r>
    <w:r w:rsidRPr="00F31943">
      <w:rPr>
        <w:b/>
        <w:sz w:val="18"/>
      </w:rPr>
      <w:instrText xml:space="preserve"> PAGE  \* MERGEFORMAT </w:instrText>
    </w:r>
    <w:r w:rsidRPr="00F31943">
      <w:rPr>
        <w:b/>
        <w:sz w:val="18"/>
      </w:rPr>
      <w:fldChar w:fldCharType="separate"/>
    </w:r>
    <w:r w:rsidR="009560CC">
      <w:rPr>
        <w:b/>
        <w:noProof/>
        <w:sz w:val="18"/>
      </w:rPr>
      <w:t>2</w:t>
    </w:r>
    <w:r w:rsidRPr="00F31943">
      <w:rPr>
        <w:b/>
        <w:sz w:val="18"/>
      </w:rPr>
      <w:fldChar w:fldCharType="end"/>
    </w:r>
    <w:r>
      <w:rPr>
        <w:b/>
        <w:sz w:val="18"/>
      </w:rPr>
      <w:tab/>
    </w:r>
    <w:r>
      <w:t>GE.17-11579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43" w:rsidRPr="00F31943" w:rsidRDefault="00F31943" w:rsidP="00F31943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GE.17-11579</w:t>
    </w:r>
    <w:r>
      <w:tab/>
    </w:r>
    <w:r w:rsidRPr="00F31943">
      <w:rPr>
        <w:b/>
        <w:sz w:val="18"/>
      </w:rPr>
      <w:fldChar w:fldCharType="begin"/>
    </w:r>
    <w:r w:rsidRPr="00F31943">
      <w:rPr>
        <w:b/>
        <w:sz w:val="18"/>
      </w:rPr>
      <w:instrText xml:space="preserve"> PAGE  \* MERGEFORMAT </w:instrText>
    </w:r>
    <w:r w:rsidRPr="00F3194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319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F31943" w:rsidRDefault="00F31943" w:rsidP="00F3194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4B2E89B" wp14:editId="5E922D7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17-11579  (R)</w:t>
    </w:r>
    <w:r>
      <w:rPr>
        <w:lang w:val="en-US"/>
      </w:rPr>
      <w:t xml:space="preserve">  021017  021017</w:t>
    </w:r>
    <w:r>
      <w:br/>
    </w:r>
    <w:r w:rsidRPr="00F31943">
      <w:rPr>
        <w:rFonts w:ascii="C39T30Lfz" w:hAnsi="C39T30Lfz"/>
        <w:spacing w:val="0"/>
        <w:w w:val="100"/>
        <w:sz w:val="56"/>
      </w:rPr>
      <w:t></w:t>
    </w:r>
    <w:r w:rsidRPr="00F31943">
      <w:rPr>
        <w:rFonts w:ascii="C39T30Lfz" w:hAnsi="C39T30Lfz"/>
        <w:spacing w:val="0"/>
        <w:w w:val="100"/>
        <w:sz w:val="56"/>
      </w:rPr>
      <w:t></w:t>
    </w:r>
    <w:r w:rsidRPr="00F31943">
      <w:rPr>
        <w:rFonts w:ascii="C39T30Lfz" w:hAnsi="C39T30Lfz"/>
        <w:spacing w:val="0"/>
        <w:w w:val="100"/>
        <w:sz w:val="56"/>
      </w:rPr>
      <w:t></w:t>
    </w:r>
    <w:r w:rsidRPr="00F31943">
      <w:rPr>
        <w:rFonts w:ascii="C39T30Lfz" w:hAnsi="C39T30Lfz"/>
        <w:spacing w:val="0"/>
        <w:w w:val="100"/>
        <w:sz w:val="56"/>
      </w:rPr>
      <w:t></w:t>
    </w:r>
    <w:r w:rsidRPr="00F31943">
      <w:rPr>
        <w:rFonts w:ascii="C39T30Lfz" w:hAnsi="C39T30Lfz"/>
        <w:spacing w:val="0"/>
        <w:w w:val="100"/>
        <w:sz w:val="56"/>
      </w:rPr>
      <w:t></w:t>
    </w:r>
    <w:r w:rsidRPr="00F31943">
      <w:rPr>
        <w:rFonts w:ascii="C39T30Lfz" w:hAnsi="C39T30Lfz"/>
        <w:spacing w:val="0"/>
        <w:w w:val="100"/>
        <w:sz w:val="56"/>
      </w:rPr>
      <w:t></w:t>
    </w:r>
    <w:r w:rsidRPr="00F31943">
      <w:rPr>
        <w:rFonts w:ascii="C39T30Lfz" w:hAnsi="C39T30Lfz"/>
        <w:spacing w:val="0"/>
        <w:w w:val="100"/>
        <w:sz w:val="56"/>
      </w:rPr>
      <w:t></w:t>
    </w:r>
    <w:r w:rsidRPr="00F31943">
      <w:rPr>
        <w:rFonts w:ascii="C39T30Lfz" w:hAnsi="C39T30Lfz"/>
        <w:spacing w:val="0"/>
        <w:w w:val="100"/>
        <w:sz w:val="56"/>
      </w:rPr>
      <w:t></w:t>
    </w:r>
    <w:r w:rsidRPr="00F3194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52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2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B51" w:rsidRPr="001075E9" w:rsidRDefault="009D1B5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D1B51" w:rsidRDefault="009D1B5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E1C73" w:rsidRPr="00AA2DC3" w:rsidRDefault="00FE1C73" w:rsidP="00FE1C73">
      <w:pPr>
        <w:pStyle w:val="FootnoteText"/>
        <w:rPr>
          <w:sz w:val="20"/>
          <w:lang w:val="ru-RU"/>
        </w:rPr>
      </w:pPr>
      <w:r>
        <w:tab/>
      </w:r>
      <w:r w:rsidRPr="00CC55DD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43" w:rsidRPr="00F31943" w:rsidRDefault="009E7D9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560CC">
      <w:t>E/ECE/324/Rev.1/Add.52/Rev.4/Amend.1</w:t>
    </w:r>
    <w:r>
      <w:fldChar w:fldCharType="end"/>
    </w:r>
    <w:r w:rsidR="00F31943">
      <w:br/>
    </w:r>
    <w:r>
      <w:fldChar w:fldCharType="begin"/>
    </w:r>
    <w:r>
      <w:instrText xml:space="preserve"> KEYWORDS  \* MERGEFORMAT </w:instrText>
    </w:r>
    <w:r>
      <w:fldChar w:fldCharType="separate"/>
    </w:r>
    <w:r w:rsidR="009560CC">
      <w:t>E/ECE/TRANS/505/Rev.1/Add.52/Rev.4/Amend.1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43" w:rsidRPr="00F31943" w:rsidRDefault="009E7D94" w:rsidP="00F3194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560CC">
      <w:t>E/ECE/324/Rev.1/Add.52/Rev.4/Amend.1</w:t>
    </w:r>
    <w:r>
      <w:fldChar w:fldCharType="end"/>
    </w:r>
    <w:r w:rsidR="00F31943">
      <w:br/>
    </w:r>
    <w:r>
      <w:fldChar w:fldCharType="begin"/>
    </w:r>
    <w:r>
      <w:instrText xml:space="preserve"> KEYWORDS  \* MERGEFORMAT </w:instrText>
    </w:r>
    <w:r>
      <w:fldChar w:fldCharType="separate"/>
    </w:r>
    <w:r w:rsidR="009560CC">
      <w:t>E/ECE/TRANS/505/Rev.1/Add.52/Rev.4/Amend.1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943" w:rsidRDefault="00F31943" w:rsidP="00F3194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5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0D19"/>
    <w:rsid w:val="00407B78"/>
    <w:rsid w:val="00424203"/>
    <w:rsid w:val="00450330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60CC"/>
    <w:rsid w:val="009608F3"/>
    <w:rsid w:val="009A24AC"/>
    <w:rsid w:val="009B642A"/>
    <w:rsid w:val="009C6FE6"/>
    <w:rsid w:val="009D1B51"/>
    <w:rsid w:val="009D7E7D"/>
    <w:rsid w:val="009E7D94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C55DD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31943"/>
    <w:rsid w:val="00F43903"/>
    <w:rsid w:val="00F94155"/>
    <w:rsid w:val="00F9783F"/>
    <w:rsid w:val="00FD2EF7"/>
    <w:rsid w:val="00FE1C7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HTMLAddress">
    <w:name w:val="HTML Address"/>
    <w:basedOn w:val="Normal"/>
    <w:link w:val="HTMLAddressChar"/>
    <w:semiHidden/>
    <w:unhideWhenUsed/>
    <w:rsid w:val="00FE1C7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E1C73"/>
    <w:rPr>
      <w:rFonts w:eastAsiaTheme="minorEastAsia" w:cstheme="minorBidi"/>
      <w:i/>
      <w:iCs/>
      <w:spacing w:val="4"/>
      <w:w w:val="103"/>
      <w:kern w:val="14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2A56-2876-461C-9AD3-3652421F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E/ECE/324/Rev.1/Add.52/Rev.4/Amend.1</vt:lpstr>
      <vt:lpstr>E/ECE/324/Rev.1/Add.52/Rev.4/Amend.1</vt:lpstr>
      <vt:lpstr>A/</vt:lpstr>
    </vt:vector>
  </TitlesOfParts>
  <Company>DCM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E/ECE/324/Rev.1/Add.52/Rev.4/Amend.1</dc:title>
  <dc:creator>Ovchinnikova Olga</dc:creator>
  <cp:keywords>E/ECE/TRANS/505/Rev.1/Add.52/Rev.4/Amend.1</cp:keywords>
  <cp:lastModifiedBy>Olivia Braud</cp:lastModifiedBy>
  <cp:revision>2</cp:revision>
  <cp:lastPrinted>2017-10-02T14:55:00Z</cp:lastPrinted>
  <dcterms:created xsi:type="dcterms:W3CDTF">2018-08-22T12:32:00Z</dcterms:created>
  <dcterms:modified xsi:type="dcterms:W3CDTF">2018-08-22T12:32:00Z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