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5450"/>
        <w:gridCol w:w="2930"/>
      </w:tblGrid>
      <w:tr w:rsidR="009F3E83" w:rsidRPr="00A32C57" w:rsidTr="009F3E83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E83" w:rsidRDefault="009F3E83" w:rsidP="00B6411C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8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E83" w:rsidRPr="009F3E83" w:rsidRDefault="009F3E83" w:rsidP="00B6411C">
            <w:pPr>
              <w:spacing w:after="80" w:line="340" w:lineRule="exact"/>
              <w:jc w:val="right"/>
              <w:rPr>
                <w:lang w:val="en-US"/>
              </w:rPr>
            </w:pPr>
            <w:r>
              <w:fldChar w:fldCharType="begin"/>
            </w:r>
            <w:r w:rsidRPr="009F3E83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9F3E83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9F3E83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9F3E83">
              <w:rPr>
                <w:lang w:val="en-US"/>
              </w:rPr>
              <w:instrText xml:space="preserve">"  \* MERGEFORMAT </w:instrText>
            </w:r>
            <w:r>
              <w:fldChar w:fldCharType="separate"/>
            </w:r>
            <w:r w:rsidRPr="009F3E83">
              <w:rPr>
                <w:sz w:val="40"/>
                <w:szCs w:val="40"/>
                <w:lang w:val="en-US"/>
              </w:rPr>
              <w:t>E</w:t>
            </w:r>
            <w:r w:rsidRPr="009F3E83">
              <w:rPr>
                <w:lang w:val="en-US"/>
              </w:rPr>
              <w:t>/ECE/324/Rev.1/Add.49/Rev.3/Amend.2–</w:t>
            </w:r>
            <w:r w:rsidRPr="009F3E83">
              <w:rPr>
                <w:sz w:val="40"/>
                <w:szCs w:val="40"/>
                <w:lang w:val="en-US"/>
              </w:rPr>
              <w:t>E</w:t>
            </w:r>
            <w:r w:rsidRPr="009F3E83">
              <w:rPr>
                <w:lang w:val="en-US"/>
              </w:rPr>
              <w:t>/ECE/TRANS/505/Rev.1/Add.49/Rev.3/Amend.2</w:t>
            </w:r>
            <w:r>
              <w:fldChar w:fldCharType="end"/>
            </w:r>
          </w:p>
        </w:tc>
      </w:tr>
      <w:tr w:rsidR="000D0013" w:rsidTr="009F3E83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Pr="009F3E83" w:rsidRDefault="000D0013" w:rsidP="00B6411C">
            <w:pPr>
              <w:rPr>
                <w:lang w:val="en-US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Pr="009F3E83" w:rsidRDefault="000D0013" w:rsidP="00B6411C">
            <w:pPr>
              <w:rPr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F3E83" w:rsidRDefault="009F3E83" w:rsidP="00B6411C">
            <w:pPr>
              <w:rPr>
                <w:lang w:val="en-US"/>
              </w:rPr>
            </w:pPr>
          </w:p>
          <w:p w:rsidR="009F3E83" w:rsidRDefault="009F3E83" w:rsidP="00B6411C">
            <w:pPr>
              <w:rPr>
                <w:lang w:val="en-US"/>
              </w:rPr>
            </w:pPr>
          </w:p>
          <w:p w:rsidR="009F3E83" w:rsidRPr="008673BD" w:rsidRDefault="009F3E83" w:rsidP="00B6411C">
            <w:pPr>
              <w:rPr>
                <w:lang w:val="en-US"/>
              </w:rPr>
            </w:pPr>
          </w:p>
          <w:p w:rsidR="00D06AB2" w:rsidRPr="008673BD" w:rsidRDefault="00D06AB2" w:rsidP="00B6411C">
            <w:pPr>
              <w:rPr>
                <w:lang w:val="en-US"/>
              </w:rPr>
            </w:pPr>
          </w:p>
          <w:p w:rsidR="00DC6A26" w:rsidRPr="008673BD" w:rsidRDefault="00DC6A26" w:rsidP="00B6411C">
            <w:pPr>
              <w:rPr>
                <w:lang w:val="en-US"/>
              </w:rPr>
            </w:pPr>
          </w:p>
          <w:p w:rsidR="000D0013" w:rsidRPr="00B172D2" w:rsidRDefault="000D0013" w:rsidP="00B6411C">
            <w:pPr>
              <w:rPr>
                <w:lang w:val="en-US"/>
              </w:rPr>
            </w:pPr>
            <w:r w:rsidRPr="00B172D2">
              <w:rPr>
                <w:lang w:val="en-US"/>
              </w:rPr>
              <w:fldChar w:fldCharType="begin"/>
            </w:r>
            <w:r w:rsidRPr="00B172D2">
              <w:rPr>
                <w:lang w:val="en-US"/>
              </w:rPr>
              <w:instrText xml:space="preserve"> FILLIN  "Введите дату документа" \* MERGEFORMAT </w:instrText>
            </w:r>
            <w:r w:rsidRPr="00B172D2">
              <w:rPr>
                <w:lang w:val="en-US"/>
              </w:rPr>
              <w:fldChar w:fldCharType="separate"/>
            </w:r>
            <w:r w:rsidR="009F3E83">
              <w:rPr>
                <w:lang w:val="en-US"/>
              </w:rPr>
              <w:t>28 October 2016</w:t>
            </w:r>
            <w:r w:rsidRPr="00B172D2">
              <w:rPr>
                <w:lang w:val="en-US"/>
              </w:rPr>
              <w:fldChar w:fldCharType="end"/>
            </w:r>
          </w:p>
          <w:p w:rsidR="000D0013" w:rsidRPr="00B172D2" w:rsidRDefault="000D0013" w:rsidP="00B6411C"/>
          <w:p w:rsidR="000D0013" w:rsidRPr="00B172D2" w:rsidRDefault="000D0013" w:rsidP="009F3E83"/>
        </w:tc>
      </w:tr>
    </w:tbl>
    <w:p w:rsidR="009F3E83" w:rsidRPr="009F3E83" w:rsidRDefault="009F3E83" w:rsidP="00DA0292">
      <w:pPr>
        <w:pStyle w:val="HChGR"/>
        <w:spacing w:before="200" w:after="120"/>
        <w:ind w:left="1138" w:right="1138" w:hanging="1138"/>
      </w:pPr>
      <w:r w:rsidRPr="009F3E83">
        <w:tab/>
      </w:r>
      <w:r w:rsidRPr="009F3E83">
        <w:tab/>
        <w:t>Соглашение</w:t>
      </w:r>
    </w:p>
    <w:p w:rsidR="009F3E83" w:rsidRPr="009F3E83" w:rsidRDefault="009F3E83" w:rsidP="009F3E83">
      <w:pPr>
        <w:pStyle w:val="H1GR"/>
        <w:spacing w:before="120" w:after="120"/>
        <w:ind w:left="1138" w:right="1138" w:hanging="1138"/>
      </w:pPr>
      <w:r w:rsidRPr="009F3E83">
        <w:tab/>
      </w:r>
      <w:r w:rsidRPr="009F3E83">
        <w:tab/>
        <w:t>О принятии единообразных технических предписаний для</w:t>
      </w:r>
      <w:r w:rsidR="00C47F89">
        <w:t xml:space="preserve"> </w:t>
      </w:r>
      <w:r w:rsidRPr="009F3E83">
        <w:t>колесных транспортных средств, предметов оборудования и</w:t>
      </w:r>
      <w:r>
        <w:rPr>
          <w:lang w:val="en-US"/>
        </w:rPr>
        <w:t> </w:t>
      </w:r>
      <w:r w:rsidRPr="009F3E83">
        <w:t xml:space="preserve">частей, которые могут быть установлены и/или использованы на колесных транспортных средствах, </w:t>
      </w:r>
      <w:r w:rsidRPr="009F3E83">
        <w:br/>
        <w:t>и об условиях взаимного признания официальных утверждений, выдаваемых на основе этих предписаний</w:t>
      </w:r>
      <w:r w:rsidRPr="009F3E83">
        <w:rPr>
          <w:b w:val="0"/>
          <w:sz w:val="20"/>
        </w:rPr>
        <w:footnoteReference w:customMarkFollows="1" w:id="1"/>
        <w:t>*</w:t>
      </w:r>
    </w:p>
    <w:p w:rsidR="009F3E83" w:rsidRPr="008673BD" w:rsidRDefault="009F3E83" w:rsidP="009F3E83">
      <w:pPr>
        <w:pStyle w:val="SingleTxtGR"/>
      </w:pPr>
      <w:r w:rsidRPr="008673BD">
        <w:t xml:space="preserve">(Пересмотр 2, включающий поправки, вступившие в силу 16 октября 1995 года) </w:t>
      </w:r>
    </w:p>
    <w:p w:rsidR="009F3E83" w:rsidRPr="008673BD" w:rsidRDefault="009F3E83" w:rsidP="009F3E83">
      <w:pPr>
        <w:spacing w:before="120"/>
        <w:jc w:val="center"/>
        <w:rPr>
          <w:u w:val="single"/>
        </w:rPr>
      </w:pPr>
      <w:r w:rsidRPr="008673BD">
        <w:rPr>
          <w:u w:val="single"/>
        </w:rPr>
        <w:tab/>
      </w:r>
      <w:r w:rsidRPr="008673BD">
        <w:rPr>
          <w:u w:val="single"/>
        </w:rPr>
        <w:tab/>
      </w:r>
      <w:r w:rsidRPr="008673BD">
        <w:rPr>
          <w:u w:val="single"/>
        </w:rPr>
        <w:tab/>
      </w:r>
    </w:p>
    <w:p w:rsidR="009F3E83" w:rsidRPr="009F3E83" w:rsidRDefault="009F3E83" w:rsidP="00310F0D">
      <w:pPr>
        <w:pStyle w:val="HChGR"/>
        <w:spacing w:before="240" w:after="120"/>
        <w:ind w:left="1138" w:right="1138" w:hanging="1138"/>
      </w:pPr>
      <w:r w:rsidRPr="009F3E83">
        <w:tab/>
      </w:r>
      <w:r w:rsidRPr="009F3E83">
        <w:tab/>
        <w:t>Добавление 49 − Правила № 50</w:t>
      </w:r>
    </w:p>
    <w:p w:rsidR="009F3E83" w:rsidRPr="009F3E83" w:rsidRDefault="009F3E83" w:rsidP="009F3E83">
      <w:pPr>
        <w:pStyle w:val="H1GR"/>
        <w:spacing w:before="120" w:after="120"/>
        <w:ind w:left="1138" w:right="1138" w:hanging="1138"/>
      </w:pPr>
      <w:r w:rsidRPr="009F3E83">
        <w:tab/>
      </w:r>
      <w:r w:rsidRPr="009F3E83">
        <w:tab/>
        <w:t>Пересмотр 3 – Поправка 2</w:t>
      </w:r>
    </w:p>
    <w:p w:rsidR="009F3E83" w:rsidRPr="008673BD" w:rsidRDefault="009F3E83" w:rsidP="008673BD">
      <w:pPr>
        <w:pStyle w:val="SingleTxtGR"/>
        <w:suppressAutoHyphens/>
        <w:ind w:left="1138" w:right="1138"/>
        <w:rPr>
          <w:bCs/>
        </w:rPr>
      </w:pPr>
      <w:r w:rsidRPr="008673BD">
        <w:rPr>
          <w:bCs/>
        </w:rPr>
        <w:t>Дополнение 18 к первоначальному варианту Правил − Дата вступления в силу: 8 октября 2016 года</w:t>
      </w:r>
    </w:p>
    <w:p w:rsidR="009F3E83" w:rsidRPr="009F3E83" w:rsidRDefault="009F3E83" w:rsidP="009F3E83">
      <w:pPr>
        <w:pStyle w:val="H1GR"/>
        <w:spacing w:before="120" w:after="120"/>
        <w:ind w:left="1138" w:right="1138" w:hanging="1138"/>
      </w:pPr>
      <w:r w:rsidRPr="009F3E83">
        <w:tab/>
      </w:r>
      <w:r w:rsidRPr="009F3E83">
        <w:tab/>
        <w:t>Единообразные предписания, касающиеся официального утверждения передних габаритных огней, задних габаритных огней, сигналов торможения, указателей поворота и устройств освещения заднего регистрационного знака для транспортных средств категории L</w:t>
      </w:r>
    </w:p>
    <w:p w:rsidR="009F3E83" w:rsidRPr="008673BD" w:rsidRDefault="009F3E83" w:rsidP="009F3E83">
      <w:pPr>
        <w:pStyle w:val="SingleTxtGR"/>
      </w:pPr>
      <w:r w:rsidRPr="008673BD">
        <w:t xml:space="preserve">Настоящий документ опубликован исключительно в информационных целях. Аутентичным и юридически обязательным текстом является документ: </w:t>
      </w:r>
      <w:r w:rsidR="00A8654E" w:rsidRPr="00A8654E">
        <w:br/>
      </w:r>
      <w:r w:rsidRPr="008673BD">
        <w:t>ECE/TRANS/WP.29/2016/21.</w:t>
      </w:r>
    </w:p>
    <w:p w:rsidR="009F3E83" w:rsidRPr="008673BD" w:rsidRDefault="009F3E83" w:rsidP="00310F0D">
      <w:pPr>
        <w:spacing w:before="120"/>
        <w:jc w:val="center"/>
        <w:rPr>
          <w:u w:val="single"/>
        </w:rPr>
      </w:pPr>
      <w:r w:rsidRPr="008673BD">
        <w:rPr>
          <w:u w:val="single"/>
        </w:rPr>
        <w:tab/>
      </w:r>
      <w:r w:rsidRPr="008673BD">
        <w:rPr>
          <w:u w:val="single"/>
        </w:rPr>
        <w:tab/>
      </w:r>
      <w:r w:rsidRPr="008673BD">
        <w:rPr>
          <w:u w:val="single"/>
        </w:rPr>
        <w:tab/>
      </w:r>
    </w:p>
    <w:p w:rsidR="009F3E83" w:rsidRPr="009F3E83" w:rsidRDefault="009F3E83" w:rsidP="009F3E83">
      <w:pPr>
        <w:pStyle w:val="SingleTxtGR"/>
        <w:spacing w:line="240" w:lineRule="auto"/>
        <w:ind w:left="4320" w:right="1138"/>
        <w:rPr>
          <w:b/>
          <w:sz w:val="18"/>
        </w:rPr>
      </w:pPr>
      <w:bookmarkStart w:id="1" w:name="_MON_1000209745"/>
      <w:bookmarkEnd w:id="1"/>
      <w:r w:rsidRPr="009F3E83">
        <w:rPr>
          <w:b/>
          <w:noProof/>
          <w:sz w:val="18"/>
          <w:lang w:eastAsia="ru-RU"/>
        </w:rPr>
        <w:drawing>
          <wp:inline distT="0" distB="0" distL="0" distR="0" wp14:anchorId="6373857C" wp14:editId="61D4D34A">
            <wp:extent cx="616585" cy="574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D3A" w:rsidRDefault="009F3E83" w:rsidP="009F3E83">
      <w:pPr>
        <w:pStyle w:val="SingleTxtGR"/>
        <w:jc w:val="center"/>
        <w:rPr>
          <w:b/>
          <w:sz w:val="18"/>
        </w:rPr>
      </w:pPr>
      <w:r w:rsidRPr="009F3E83">
        <w:rPr>
          <w:b/>
          <w:sz w:val="18"/>
        </w:rPr>
        <w:t xml:space="preserve">ОРГАНИЗАЦИЯ ОБЪЕДИНЕННЫХ </w:t>
      </w:r>
      <w:r w:rsidR="0029162D">
        <w:rPr>
          <w:b/>
          <w:sz w:val="18"/>
        </w:rPr>
        <w:t>Н</w:t>
      </w:r>
      <w:r w:rsidR="00771BAF">
        <w:rPr>
          <w:b/>
          <w:sz w:val="18"/>
        </w:rPr>
        <w:t>АЦИЙ</w:t>
      </w:r>
    </w:p>
    <w:p w:rsidR="0029162D" w:rsidRPr="0029162D" w:rsidRDefault="0029162D" w:rsidP="0029162D">
      <w:pPr>
        <w:pStyle w:val="SingleTxtGR"/>
      </w:pPr>
      <w:r w:rsidRPr="0029162D">
        <w:rPr>
          <w:i/>
        </w:rPr>
        <w:lastRenderedPageBreak/>
        <w:t>Пункт 2.2, включить новый подпункт с)</w:t>
      </w:r>
      <w:r w:rsidRPr="0029162D">
        <w:t xml:space="preserve"> следующего содержания:</w:t>
      </w:r>
    </w:p>
    <w:p w:rsidR="0029162D" w:rsidRPr="0029162D" w:rsidRDefault="0029162D" w:rsidP="0029162D">
      <w:pPr>
        <w:pStyle w:val="SingleTxtGR"/>
      </w:pPr>
      <w:r w:rsidRPr="0029162D">
        <w:t>«2.2</w:t>
      </w:r>
      <w:r w:rsidRPr="0029162D">
        <w:tab/>
      </w:r>
      <w:r w:rsidRPr="0029162D">
        <w:tab/>
        <w:t>…</w:t>
      </w:r>
    </w:p>
    <w:p w:rsidR="0029162D" w:rsidRPr="0029162D" w:rsidRDefault="0029162D" w:rsidP="0029162D">
      <w:pPr>
        <w:pStyle w:val="SingleTxtGR"/>
      </w:pPr>
      <w:r w:rsidRPr="0029162D">
        <w:tab/>
      </w:r>
      <w:r w:rsidRPr="0029162D">
        <w:tab/>
        <w:t>с)</w:t>
      </w:r>
      <w:r w:rsidRPr="0029162D">
        <w:tab/>
        <w:t>последовательная активация источников света, при наличии.</w:t>
      </w:r>
    </w:p>
    <w:p w:rsidR="0029162D" w:rsidRPr="0029162D" w:rsidRDefault="0029162D" w:rsidP="0029162D">
      <w:pPr>
        <w:pStyle w:val="SingleTxtGR"/>
      </w:pPr>
      <w:r w:rsidRPr="0029162D">
        <w:tab/>
      </w:r>
      <w:r w:rsidRPr="0029162D">
        <w:tab/>
        <w:t>…»</w:t>
      </w:r>
    </w:p>
    <w:p w:rsidR="0029162D" w:rsidRPr="0029162D" w:rsidRDefault="0029162D" w:rsidP="0029162D">
      <w:pPr>
        <w:pStyle w:val="SingleTxtGR"/>
      </w:pPr>
      <w:r w:rsidRPr="0029162D">
        <w:rPr>
          <w:i/>
        </w:rPr>
        <w:t>Включить новый пункт 6.8</w:t>
      </w:r>
      <w:r w:rsidRPr="0029162D">
        <w:t xml:space="preserve"> следующего содержания:</w:t>
      </w:r>
    </w:p>
    <w:p w:rsidR="0029162D" w:rsidRPr="0029162D" w:rsidRDefault="0029162D" w:rsidP="0029162D">
      <w:pPr>
        <w:pStyle w:val="SingleTxtGR"/>
        <w:ind w:left="2268" w:hanging="1134"/>
      </w:pPr>
      <w:r w:rsidRPr="0029162D">
        <w:t>«6.8</w:t>
      </w:r>
      <w:r w:rsidRPr="0029162D">
        <w:tab/>
      </w:r>
      <w:r w:rsidRPr="0029162D">
        <w:tab/>
        <w:t>Для огней указателя поворота категорий 11, 11а, 11b, 11</w:t>
      </w:r>
      <w:r w:rsidRPr="0029162D">
        <w:rPr>
          <w:lang w:val="en-US"/>
        </w:rPr>
        <w:t>c</w:t>
      </w:r>
      <w:r w:rsidRPr="0029162D">
        <w:t xml:space="preserve"> или 12 мигание может производиться с помощью последовательной активации источников света, если соблюдены следующие условия:</w:t>
      </w:r>
    </w:p>
    <w:p w:rsidR="0029162D" w:rsidRPr="0029162D" w:rsidRDefault="0029162D" w:rsidP="0029162D">
      <w:pPr>
        <w:pStyle w:val="SingleTxtGR"/>
        <w:ind w:left="2835" w:hanging="1701"/>
      </w:pPr>
      <w:r>
        <w:tab/>
      </w:r>
      <w:r>
        <w:tab/>
      </w:r>
      <w:r w:rsidRPr="0029162D">
        <w:t>а)</w:t>
      </w:r>
      <w:r w:rsidRPr="0029162D">
        <w:tab/>
        <w:t xml:space="preserve">после активации каждый источник света должен оставаться включенным до конца цикла </w:t>
      </w:r>
      <w:r w:rsidR="00CB235E">
        <w:t>«</w:t>
      </w:r>
      <w:r w:rsidRPr="0029162D">
        <w:t>включено</w:t>
      </w:r>
      <w:r w:rsidR="00CB235E">
        <w:t>»</w:t>
      </w:r>
      <w:r w:rsidRPr="0029162D">
        <w:t>;</w:t>
      </w:r>
    </w:p>
    <w:p w:rsidR="0029162D" w:rsidRPr="0029162D" w:rsidRDefault="0029162D" w:rsidP="0029162D">
      <w:pPr>
        <w:pStyle w:val="SingleTxtGR"/>
        <w:ind w:left="2835" w:hanging="1701"/>
      </w:pPr>
      <w:r>
        <w:tab/>
      </w:r>
      <w:r>
        <w:tab/>
      </w:r>
      <w:r w:rsidRPr="0029162D">
        <w:t>b)</w:t>
      </w:r>
      <w:r w:rsidRPr="0029162D">
        <w:tab/>
        <w:t>последовательность активации источников света должна идти единообразно и постепенно от внутреннего к наружному краю видимой поверхности;</w:t>
      </w:r>
    </w:p>
    <w:p w:rsidR="0029162D" w:rsidRPr="0029162D" w:rsidRDefault="0029162D" w:rsidP="0029162D">
      <w:pPr>
        <w:pStyle w:val="SingleTxtGR"/>
        <w:ind w:left="2835" w:hanging="1701"/>
      </w:pPr>
      <w:r>
        <w:tab/>
      </w:r>
      <w:r>
        <w:tab/>
      </w:r>
      <w:r w:rsidRPr="0029162D">
        <w:t>c)</w:t>
      </w:r>
      <w:r w:rsidRPr="0029162D">
        <w:tab/>
        <w:t>она должна представлять собой одну непрерывную линию без повторяющихся чередований в вертикальном направлении (например, без волн);</w:t>
      </w:r>
    </w:p>
    <w:p w:rsidR="0029162D" w:rsidRPr="0029162D" w:rsidRDefault="0029162D" w:rsidP="0029162D">
      <w:pPr>
        <w:pStyle w:val="SingleTxtGR"/>
        <w:ind w:left="2835" w:hanging="1701"/>
      </w:pPr>
      <w:r>
        <w:tab/>
      </w:r>
      <w:r>
        <w:tab/>
      </w:r>
      <w:r w:rsidRPr="0029162D">
        <w:t>d)</w:t>
      </w:r>
      <w:r w:rsidRPr="0029162D">
        <w:tab/>
        <w:t xml:space="preserve">вариация должна завершаться не позднее чем через 200 мс после начала цикла </w:t>
      </w:r>
      <w:r w:rsidR="00CB235E">
        <w:t>«</w:t>
      </w:r>
      <w:r w:rsidRPr="0029162D">
        <w:t>включено</w:t>
      </w:r>
      <w:r w:rsidR="00CB235E">
        <w:t>»</w:t>
      </w:r>
      <w:r w:rsidRPr="0029162D">
        <w:t>;</w:t>
      </w:r>
    </w:p>
    <w:p w:rsidR="0029162D" w:rsidRPr="0029162D" w:rsidRDefault="0029162D" w:rsidP="0029162D">
      <w:pPr>
        <w:pStyle w:val="SingleTxtGR"/>
        <w:ind w:left="2835" w:hanging="1701"/>
      </w:pPr>
      <w:r>
        <w:tab/>
      </w:r>
      <w:r>
        <w:tab/>
      </w:r>
      <w:r w:rsidRPr="0029162D">
        <w:t>e)</w:t>
      </w:r>
      <w:r w:rsidRPr="0029162D">
        <w:tab/>
        <w:t>соотношение горизонтальной и вертикальной сторон расположенной в направлении исходной оси ортогональной проекции прямоугольника, описанного вокруг видимой поверхности указателя поворота, длинные стороны которого должны быть параллельны плоскости H, не должно составлять менее</w:t>
      </w:r>
      <w:r w:rsidR="00CB235E">
        <w:t> </w:t>
      </w:r>
      <w:r w:rsidRPr="0029162D">
        <w:t>1,7.</w:t>
      </w:r>
    </w:p>
    <w:p w:rsidR="0029162D" w:rsidRPr="0029162D" w:rsidRDefault="0029162D" w:rsidP="0029162D">
      <w:pPr>
        <w:pStyle w:val="SingleTxtGR"/>
        <w:ind w:left="2268" w:hanging="1134"/>
      </w:pPr>
      <w:r>
        <w:tab/>
      </w:r>
      <w:r>
        <w:tab/>
      </w:r>
      <w:r w:rsidRPr="0029162D">
        <w:t>Соответствие указанным выше условиям проверяют в режиме мигания».</w:t>
      </w:r>
    </w:p>
    <w:p w:rsidR="0029162D" w:rsidRPr="0029162D" w:rsidRDefault="0029162D" w:rsidP="0029162D">
      <w:pPr>
        <w:pStyle w:val="SingleTxtGR"/>
        <w:rPr>
          <w:i/>
          <w:iCs/>
        </w:rPr>
      </w:pPr>
      <w:r w:rsidRPr="0029162D">
        <w:rPr>
          <w:i/>
          <w:iCs/>
        </w:rPr>
        <w:t>Приложение 2, пункт 9</w:t>
      </w:r>
      <w:r w:rsidRPr="0029162D">
        <w:t xml:space="preserve"> изменить следующим образом</w:t>
      </w:r>
      <w:r w:rsidRPr="0029162D">
        <w:rPr>
          <w:i/>
          <w:iCs/>
        </w:rPr>
        <w:t xml:space="preserve">: </w:t>
      </w:r>
    </w:p>
    <w:p w:rsidR="0029162D" w:rsidRPr="0029162D" w:rsidRDefault="0029162D" w:rsidP="0029162D">
      <w:pPr>
        <w:pStyle w:val="SingleTxtGR"/>
      </w:pPr>
      <w:r w:rsidRPr="0029162D">
        <w:t>«9.</w:t>
      </w:r>
      <w:r w:rsidRPr="0029162D">
        <w:tab/>
      </w:r>
      <w:r w:rsidRPr="0029162D">
        <w:tab/>
        <w:t>Краткое описание</w:t>
      </w:r>
      <w:r w:rsidRPr="000E1A66">
        <w:rPr>
          <w:sz w:val="18"/>
          <w:szCs w:val="18"/>
          <w:vertAlign w:val="superscript"/>
        </w:rPr>
        <w:t>3</w:t>
      </w:r>
      <w:r w:rsidRPr="0029162D">
        <w:t>:</w:t>
      </w:r>
    </w:p>
    <w:p w:rsidR="0029162D" w:rsidRPr="0029162D" w:rsidRDefault="0029162D" w:rsidP="0029162D">
      <w:pPr>
        <w:pStyle w:val="SingleTxtGR"/>
      </w:pPr>
      <w:r w:rsidRPr="0029162D">
        <w:tab/>
      </w:r>
      <w:r w:rsidRPr="0029162D">
        <w:tab/>
        <w:t>…</w:t>
      </w:r>
    </w:p>
    <w:p w:rsidR="0029162D" w:rsidRPr="0029162D" w:rsidRDefault="0029162D" w:rsidP="0029162D">
      <w:pPr>
        <w:pStyle w:val="SingleTxtGR"/>
        <w:rPr>
          <w:vertAlign w:val="superscript"/>
        </w:rPr>
      </w:pPr>
      <w:r w:rsidRPr="0029162D">
        <w:tab/>
      </w:r>
      <w:r w:rsidRPr="0029162D">
        <w:tab/>
        <w:t>Сигнал торможения:</w:t>
      </w:r>
      <w:r w:rsidRPr="0029162D">
        <w:tab/>
        <w:t>да/нет</w:t>
      </w:r>
      <w:r w:rsidRPr="000E1A66">
        <w:rPr>
          <w:sz w:val="18"/>
          <w:szCs w:val="18"/>
          <w:vertAlign w:val="superscript"/>
        </w:rPr>
        <w:t>2</w:t>
      </w:r>
      <w:r w:rsidRPr="0029162D">
        <w:rPr>
          <w:vertAlign w:val="superscript"/>
        </w:rPr>
        <w:t xml:space="preserve"> </w:t>
      </w:r>
    </w:p>
    <w:p w:rsidR="0029162D" w:rsidRDefault="0029162D" w:rsidP="0029162D">
      <w:pPr>
        <w:pStyle w:val="SingleTxtGR"/>
        <w:ind w:left="2268" w:hanging="1134"/>
      </w:pPr>
      <w:r>
        <w:tab/>
      </w:r>
      <w:r>
        <w:tab/>
      </w:r>
      <w:r w:rsidRPr="0029162D">
        <w:t>Последовательная активация источников света (см.</w:t>
      </w:r>
      <w:r>
        <w:t> </w:t>
      </w:r>
      <w:r w:rsidRPr="0029162D">
        <w:t>пункт</w:t>
      </w:r>
      <w:r>
        <w:t> </w:t>
      </w:r>
      <w:r w:rsidRPr="0029162D">
        <w:t>6.8 насто</w:t>
      </w:r>
      <w:r>
        <w:t>-</w:t>
      </w:r>
      <w:r w:rsidRPr="0029162D">
        <w:t>ящих Правил): да/нет</w:t>
      </w:r>
      <w:r w:rsidRPr="000E1A66">
        <w:rPr>
          <w:sz w:val="18"/>
          <w:szCs w:val="18"/>
          <w:vertAlign w:val="superscript"/>
        </w:rPr>
        <w:t>2</w:t>
      </w:r>
      <w:r w:rsidRPr="0029162D">
        <w:t>»</w:t>
      </w:r>
    </w:p>
    <w:p w:rsidR="0029162D" w:rsidRPr="0029162D" w:rsidRDefault="0029162D" w:rsidP="0029162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9162D" w:rsidRPr="0029162D" w:rsidSect="000D00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E83" w:rsidRDefault="009F3E83" w:rsidP="00B471C5">
      <w:r>
        <w:separator/>
      </w:r>
    </w:p>
  </w:endnote>
  <w:endnote w:type="continuationSeparator" w:id="0">
    <w:p w:rsidR="009F3E83" w:rsidRDefault="009F3E83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87B" w:rsidRPr="009A6F4A" w:rsidRDefault="000D0013" w:rsidP="00DB4DE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8654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320075">
      <w:rPr>
        <w:lang w:val="ru-RU"/>
      </w:rPr>
      <w:t>6</w:t>
    </w:r>
    <w:r>
      <w:rPr>
        <w:lang w:val="en-US"/>
      </w:rPr>
      <w:t>-</w:t>
    </w:r>
    <w:r w:rsidR="00320075" w:rsidRPr="00320075">
      <w:rPr>
        <w:lang w:val="en-US"/>
      </w:rPr>
      <w:t>17867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87B" w:rsidRPr="009A6F4A" w:rsidRDefault="000D0013" w:rsidP="00DB4DEC">
    <w:pPr>
      <w:pStyle w:val="Footer"/>
      <w:rPr>
        <w:lang w:val="en-US"/>
      </w:rPr>
    </w:pPr>
    <w:r>
      <w:rPr>
        <w:lang w:val="en-US"/>
      </w:rPr>
      <w:t>GE.15-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3E83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870BCD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70BCD" w:rsidRPr="003C69F7" w:rsidRDefault="00870BCD" w:rsidP="003C69F7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3C69F7" w:rsidRPr="003C69F7">
            <w:rPr>
              <w:lang w:val="en-US"/>
            </w:rPr>
            <w:t>17867</w:t>
          </w:r>
          <w:r w:rsidRPr="001C3ABC">
            <w:rPr>
              <w:lang w:val="en-US"/>
            </w:rPr>
            <w:t xml:space="preserve"> </w:t>
          </w:r>
          <w:r w:rsidR="003C69F7">
            <w:t xml:space="preserve"> </w:t>
          </w:r>
          <w:r w:rsidRPr="001C3ABC">
            <w:rPr>
              <w:lang w:val="en-US"/>
            </w:rPr>
            <w:t>(R)</w:t>
          </w:r>
          <w:r w:rsidR="003C69F7">
            <w:t xml:space="preserve">  281016  311016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870BCD" w:rsidRDefault="00870BCD" w:rsidP="007B199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7CF6FF69" wp14:editId="2AB16977">
                <wp:extent cx="2655481" cy="277586"/>
                <wp:effectExtent l="0" t="0" r="0" b="8255"/>
                <wp:docPr id="3" name="Рисунок 3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870BCD" w:rsidRDefault="003C69F7" w:rsidP="007B199D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4" name="Рисунок 4" descr="http://undocs.org/m2/QRCode.ashx?DS=E/ECE/324/Rev.1/Add.49/Rev.3/Amend.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/ECE/324/Rev.1/Add.49/Rev.3/Amend.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0BCD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70BCD" w:rsidRPr="003C69F7" w:rsidRDefault="003C69F7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3C69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3C69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C69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3C69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C69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3C69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3C69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3C69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3C69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870BCD" w:rsidRDefault="00870BCD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870BCD" w:rsidRDefault="00870BCD" w:rsidP="007B199D"/>
      </w:tc>
    </w:tr>
  </w:tbl>
  <w:p w:rsidR="0057343B" w:rsidRDefault="00A32C57" w:rsidP="0057343B">
    <w:pPr>
      <w:spacing w:line="240" w:lineRule="auto"/>
      <w:rPr>
        <w:sz w:val="2"/>
        <w:szCs w:val="2"/>
        <w:lang w:val="en-US"/>
      </w:rPr>
    </w:pPr>
  </w:p>
  <w:p w:rsidR="0001587B" w:rsidRPr="00730BCB" w:rsidRDefault="000D0013" w:rsidP="00730BCB">
    <w:pPr>
      <w:pStyle w:val="Footer"/>
      <w:rPr>
        <w:sz w:val="2"/>
        <w:szCs w:val="2"/>
      </w:rPr>
    </w:pPr>
    <w:r>
      <w:rPr>
        <w:noProof/>
        <w:sz w:val="2"/>
        <w:szCs w:val="2"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27B98B" wp14:editId="5605F5FE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BCB" w:rsidRDefault="00A32C57" w:rsidP="00730BCB">
                          <w:pPr>
                            <w:rPr>
                              <w:lang w:val="en-US"/>
                            </w:rPr>
                          </w:pPr>
                        </w:p>
                        <w:p w:rsidR="00730BCB" w:rsidRDefault="000D0013" w:rsidP="00730BC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A8654E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7B9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CEV6v+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730BCB" w:rsidRDefault="00A32C57" w:rsidP="00730BCB">
                    <w:pPr>
                      <w:rPr>
                        <w:lang w:val="en-US"/>
                      </w:rPr>
                    </w:pPr>
                  </w:p>
                  <w:p w:rsidR="00730BCB" w:rsidRDefault="000D0013" w:rsidP="00730BC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page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A8654E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E83" w:rsidRPr="009141DC" w:rsidRDefault="009F3E83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9F3E83" w:rsidRPr="00D1261C" w:rsidRDefault="009F3E83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9F3E83" w:rsidRPr="008B6D1E" w:rsidRDefault="009F3E83" w:rsidP="004379A2">
      <w:pPr>
        <w:pStyle w:val="FootnoteText"/>
        <w:spacing w:line="240" w:lineRule="auto"/>
        <w:rPr>
          <w:szCs w:val="18"/>
          <w:lang w:val="ru-RU"/>
        </w:rPr>
      </w:pPr>
      <w:r w:rsidRPr="008B6D1E">
        <w:rPr>
          <w:szCs w:val="18"/>
          <w:lang w:val="ru-RU"/>
        </w:rPr>
        <w:tab/>
        <w:t>*</w:t>
      </w:r>
      <w:r w:rsidRPr="008B6D1E">
        <w:rPr>
          <w:szCs w:val="18"/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 Женеве 20 марта 1958 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9F7" w:rsidRPr="008673BD" w:rsidRDefault="00320075">
    <w:pPr>
      <w:pStyle w:val="Header"/>
      <w:rPr>
        <w:lang w:val="en-US"/>
      </w:rPr>
    </w:pPr>
    <w:r w:rsidRPr="00320075">
      <w:t>E/ECE/324/Rev.1/Add.49/Rev.3/Amend.2</w:t>
    </w:r>
    <w:r w:rsidRPr="00320075">
      <w:rPr>
        <w:lang w:val="en-US"/>
      </w:rPr>
      <w:br/>
      <w:t>E/ECE/TRANS/505/Rev.1/Add.49/Rev.3/Amend.2</w:t>
    </w:r>
  </w:p>
  <w:p w:rsidR="00162966" w:rsidRPr="008673BD" w:rsidRDefault="00162966" w:rsidP="00162966">
    <w:pPr>
      <w:rPr>
        <w:lang w:val="en-US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87B" w:rsidRPr="009A6F4A" w:rsidRDefault="000D0013">
    <w:pPr>
      <w:pStyle w:val="Header"/>
      <w:rPr>
        <w:lang w:val="en-US"/>
      </w:rPr>
    </w:pPr>
    <w:r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9F7" w:rsidRDefault="003C69F7" w:rsidP="003C69F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83"/>
    <w:rsid w:val="0000332A"/>
    <w:rsid w:val="00020710"/>
    <w:rsid w:val="000450D1"/>
    <w:rsid w:val="000D0013"/>
    <w:rsid w:val="000E1A66"/>
    <w:rsid w:val="000F2A4F"/>
    <w:rsid w:val="00162966"/>
    <w:rsid w:val="00203F84"/>
    <w:rsid w:val="00275188"/>
    <w:rsid w:val="0028687D"/>
    <w:rsid w:val="0029162D"/>
    <w:rsid w:val="002B091C"/>
    <w:rsid w:val="002B3D40"/>
    <w:rsid w:val="002D0CCB"/>
    <w:rsid w:val="00310F0D"/>
    <w:rsid w:val="00320075"/>
    <w:rsid w:val="00345C79"/>
    <w:rsid w:val="00366A39"/>
    <w:rsid w:val="003C69F7"/>
    <w:rsid w:val="004379A2"/>
    <w:rsid w:val="0048005C"/>
    <w:rsid w:val="004E242B"/>
    <w:rsid w:val="004E516B"/>
    <w:rsid w:val="00544379"/>
    <w:rsid w:val="00566944"/>
    <w:rsid w:val="005D56BF"/>
    <w:rsid w:val="00665D8D"/>
    <w:rsid w:val="00682F3C"/>
    <w:rsid w:val="006A7A3B"/>
    <w:rsid w:val="006B6B57"/>
    <w:rsid w:val="00705394"/>
    <w:rsid w:val="00743F62"/>
    <w:rsid w:val="00760D3A"/>
    <w:rsid w:val="00771BAF"/>
    <w:rsid w:val="00773BA8"/>
    <w:rsid w:val="007A1F42"/>
    <w:rsid w:val="007D76DD"/>
    <w:rsid w:val="008673BD"/>
    <w:rsid w:val="00870BCD"/>
    <w:rsid w:val="008717E8"/>
    <w:rsid w:val="008D01AE"/>
    <w:rsid w:val="008E0423"/>
    <w:rsid w:val="009141DC"/>
    <w:rsid w:val="009174A1"/>
    <w:rsid w:val="0098674D"/>
    <w:rsid w:val="00997ACA"/>
    <w:rsid w:val="009F3E83"/>
    <w:rsid w:val="00A03FB7"/>
    <w:rsid w:val="00A32C57"/>
    <w:rsid w:val="00A75A11"/>
    <w:rsid w:val="00A8654E"/>
    <w:rsid w:val="00AD7EAD"/>
    <w:rsid w:val="00B35A32"/>
    <w:rsid w:val="00B432C6"/>
    <w:rsid w:val="00B471C5"/>
    <w:rsid w:val="00B6474A"/>
    <w:rsid w:val="00BE1742"/>
    <w:rsid w:val="00C47F89"/>
    <w:rsid w:val="00CB235E"/>
    <w:rsid w:val="00D06AB2"/>
    <w:rsid w:val="00D1261C"/>
    <w:rsid w:val="00D75DCE"/>
    <w:rsid w:val="00DA0292"/>
    <w:rsid w:val="00DC6A26"/>
    <w:rsid w:val="00DD35AC"/>
    <w:rsid w:val="00DD479F"/>
    <w:rsid w:val="00E15E48"/>
    <w:rsid w:val="00EB0723"/>
    <w:rsid w:val="00ED2DF6"/>
    <w:rsid w:val="00EE6F37"/>
    <w:rsid w:val="00F1599F"/>
    <w:rsid w:val="00F31EF2"/>
    <w:rsid w:val="00F6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DDC1A9A-9C73-46C2-B6A1-CC5EAFCA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013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__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5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4E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BB696-3875-43BA-8681-AD93B628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Ovchinnikova Olga</dc:creator>
  <cp:lastModifiedBy>Olivia Braud</cp:lastModifiedBy>
  <cp:revision>2</cp:revision>
  <cp:lastPrinted>2016-10-31T09:52:00Z</cp:lastPrinted>
  <dcterms:created xsi:type="dcterms:W3CDTF">2018-08-22T12:11:00Z</dcterms:created>
  <dcterms:modified xsi:type="dcterms:W3CDTF">2018-08-22T12:11:00Z</dcterms:modified>
</cp:coreProperties>
</file>