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54D45"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54D45" w:rsidRDefault="0064636E" w:rsidP="003C3936">
            <w:bookmarkStart w:id="0" w:name="_GoBack"/>
            <w:bookmarkEnd w:id="0"/>
          </w:p>
        </w:tc>
        <w:tc>
          <w:tcPr>
            <w:tcW w:w="8363" w:type="dxa"/>
            <w:gridSpan w:val="2"/>
            <w:tcBorders>
              <w:bottom w:val="single" w:sz="4" w:space="0" w:color="auto"/>
            </w:tcBorders>
            <w:vAlign w:val="bottom"/>
          </w:tcPr>
          <w:p w14:paraId="21FBE7EF" w14:textId="5777E1C5" w:rsidR="0064636E" w:rsidRPr="00C54D45" w:rsidRDefault="0064636E" w:rsidP="00C54D45">
            <w:pPr>
              <w:jc w:val="right"/>
            </w:pPr>
            <w:r w:rsidRPr="00C54D45">
              <w:rPr>
                <w:sz w:val="40"/>
              </w:rPr>
              <w:t>E</w:t>
            </w:r>
            <w:r w:rsidRPr="00C54D45">
              <w:t>/ECE/324/</w:t>
            </w:r>
            <w:r w:rsidR="00CD683D" w:rsidRPr="00C54D45">
              <w:t>Rev.1/</w:t>
            </w:r>
            <w:r w:rsidRPr="00C54D45">
              <w:t>Add.</w:t>
            </w:r>
            <w:r w:rsidR="009871E9" w:rsidRPr="00C54D45">
              <w:t>4</w:t>
            </w:r>
            <w:r w:rsidR="00002CD6" w:rsidRPr="00C54D45">
              <w:t>7</w:t>
            </w:r>
            <w:r w:rsidRPr="00C54D45">
              <w:t>/Rev.</w:t>
            </w:r>
            <w:r w:rsidR="0053612C" w:rsidRPr="00C54D45">
              <w:t>12</w:t>
            </w:r>
            <w:r w:rsidRPr="00C54D45">
              <w:t>/</w:t>
            </w:r>
            <w:r w:rsidR="00D623A7" w:rsidRPr="00C54D45">
              <w:t>Amend.</w:t>
            </w:r>
            <w:r w:rsidR="009D69BD">
              <w:t>7</w:t>
            </w:r>
            <w:r w:rsidRPr="00C54D45">
              <w:t>−</w:t>
            </w:r>
            <w:r w:rsidRPr="00C54D45">
              <w:rPr>
                <w:sz w:val="40"/>
              </w:rPr>
              <w:t>E</w:t>
            </w:r>
            <w:r w:rsidRPr="00C54D45">
              <w:t>/ECE/TRANS/505</w:t>
            </w:r>
            <w:r w:rsidR="00841EB5" w:rsidRPr="00C54D45">
              <w:t>/</w:t>
            </w:r>
            <w:r w:rsidR="00CD683D" w:rsidRPr="00C54D45">
              <w:t>Rev.1/</w:t>
            </w:r>
            <w:r w:rsidR="00841EB5" w:rsidRPr="00C54D45">
              <w:t>Add.</w:t>
            </w:r>
            <w:r w:rsidR="009871E9" w:rsidRPr="00C54D45">
              <w:t>4</w:t>
            </w:r>
            <w:r w:rsidR="00002CD6" w:rsidRPr="00C54D45">
              <w:t>7</w:t>
            </w:r>
            <w:r w:rsidR="00841EB5" w:rsidRPr="00C54D45">
              <w:t>/Rev.</w:t>
            </w:r>
            <w:r w:rsidR="009871E9" w:rsidRPr="00C54D45">
              <w:t>1</w:t>
            </w:r>
            <w:r w:rsidR="0053612C" w:rsidRPr="00C54D45">
              <w:t>2</w:t>
            </w:r>
            <w:r w:rsidR="00841EB5" w:rsidRPr="00C54D45">
              <w:t>/Amend.</w:t>
            </w:r>
            <w:r w:rsidR="009D69BD">
              <w:t>7</w:t>
            </w:r>
          </w:p>
        </w:tc>
      </w:tr>
      <w:tr w:rsidR="003C3936" w:rsidRPr="00C54D45"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C54D45"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54D45"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54D45" w:rsidRDefault="003C3936" w:rsidP="003C3936">
            <w:pPr>
              <w:spacing w:before="120"/>
            </w:pPr>
          </w:p>
          <w:p w14:paraId="10DFEABE" w14:textId="77777777" w:rsidR="00D623A7" w:rsidRPr="00C54D45" w:rsidRDefault="00D623A7" w:rsidP="003C3936">
            <w:pPr>
              <w:spacing w:before="120"/>
            </w:pPr>
          </w:p>
          <w:p w14:paraId="3AAF3BDD" w14:textId="6DDD811C" w:rsidR="00C84414" w:rsidRPr="00C54D45" w:rsidRDefault="00341C91" w:rsidP="008F4BE2">
            <w:pPr>
              <w:spacing w:before="120"/>
            </w:pPr>
            <w:r>
              <w:t xml:space="preserve">24 June </w:t>
            </w:r>
            <w:r w:rsidR="005E2617" w:rsidRPr="00C54D45">
              <w:t>201</w:t>
            </w:r>
            <w:r w:rsidR="009D69BD">
              <w:t>9</w:t>
            </w:r>
          </w:p>
        </w:tc>
      </w:tr>
    </w:tbl>
    <w:p w14:paraId="431B1AEB" w14:textId="77777777" w:rsidR="00C711C7" w:rsidRPr="00C54D45" w:rsidRDefault="00C711C7" w:rsidP="00A41529">
      <w:pPr>
        <w:pStyle w:val="HChG"/>
        <w:spacing w:before="240" w:after="120"/>
      </w:pPr>
      <w:r w:rsidRPr="00C54D45">
        <w:tab/>
      </w:r>
      <w:r w:rsidRPr="00C54D45">
        <w:tab/>
      </w:r>
      <w:bookmarkStart w:id="1" w:name="_Toc340666199"/>
      <w:bookmarkStart w:id="2" w:name="_Toc340745062"/>
      <w:r w:rsidRPr="00C54D45">
        <w:t>Agreement</w:t>
      </w:r>
      <w:bookmarkEnd w:id="1"/>
      <w:bookmarkEnd w:id="2"/>
    </w:p>
    <w:p w14:paraId="41F51FD2" w14:textId="4AE894CC" w:rsidR="00A61C62" w:rsidRPr="00C54D45" w:rsidRDefault="00C711C7" w:rsidP="008F4BE2">
      <w:pPr>
        <w:pStyle w:val="H1G"/>
        <w:spacing w:before="240"/>
      </w:pPr>
      <w:r w:rsidRPr="00C54D45">
        <w:rPr>
          <w:rStyle w:val="H1GChar"/>
        </w:rPr>
        <w:tab/>
      </w:r>
      <w:r w:rsidRPr="00C54D45">
        <w:rPr>
          <w:rStyle w:val="H1GChar"/>
        </w:rPr>
        <w:tab/>
      </w:r>
      <w:r w:rsidR="008F4BE2" w:rsidRPr="00C54D45">
        <w:tab/>
      </w:r>
      <w:r w:rsidR="00A61C62" w:rsidRPr="00C54D45">
        <w:t>Concerning the</w:t>
      </w:r>
      <w:r w:rsidR="00A61C62" w:rsidRPr="00C54D45">
        <w:rPr>
          <w:smallCaps/>
        </w:rPr>
        <w:t xml:space="preserve"> </w:t>
      </w:r>
      <w:r w:rsidR="00A61C62" w:rsidRPr="00C54D4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C54D45">
        <w:footnoteReference w:customMarkFollows="1" w:id="2"/>
        <w:t>*</w:t>
      </w:r>
    </w:p>
    <w:p w14:paraId="42DCC474" w14:textId="32CB2133" w:rsidR="00A61C62" w:rsidRPr="00C54D45" w:rsidRDefault="00A61C62" w:rsidP="00C711C7">
      <w:pPr>
        <w:pStyle w:val="SingleTxtG"/>
        <w:spacing w:before="120"/>
      </w:pPr>
      <w:r w:rsidRPr="00C54D45">
        <w:t>(Revision 3, including the amendments which entered into force on 14 September 2017)</w:t>
      </w:r>
    </w:p>
    <w:p w14:paraId="23520E79" w14:textId="77777777" w:rsidR="0064636E" w:rsidRPr="00C54D45" w:rsidRDefault="00C711C7" w:rsidP="00B32121">
      <w:pPr>
        <w:pStyle w:val="H1G"/>
        <w:spacing w:before="120"/>
        <w:ind w:left="0" w:right="0" w:firstLine="0"/>
        <w:jc w:val="center"/>
      </w:pPr>
      <w:r w:rsidRPr="00C54D45">
        <w:t>_________</w:t>
      </w:r>
    </w:p>
    <w:p w14:paraId="1E020283" w14:textId="3FC13002" w:rsidR="0064636E" w:rsidRPr="00C54D45" w:rsidRDefault="0064636E" w:rsidP="00A41529">
      <w:pPr>
        <w:pStyle w:val="H1G"/>
        <w:spacing w:before="240" w:after="120"/>
      </w:pPr>
      <w:r w:rsidRPr="00C54D45">
        <w:tab/>
      </w:r>
      <w:r w:rsidRPr="00C54D45">
        <w:tab/>
        <w:t xml:space="preserve">Addendum </w:t>
      </w:r>
      <w:r w:rsidR="009871E9" w:rsidRPr="00C54D45">
        <w:t>4</w:t>
      </w:r>
      <w:r w:rsidR="00002CD6" w:rsidRPr="00C54D45">
        <w:t>7</w:t>
      </w:r>
      <w:r w:rsidRPr="00C54D45">
        <w:t xml:space="preserve"> – </w:t>
      </w:r>
      <w:r w:rsidR="005271A5">
        <w:t xml:space="preserve">UN </w:t>
      </w:r>
      <w:r w:rsidRPr="00C54D45">
        <w:t>Regulation No.</w:t>
      </w:r>
      <w:r w:rsidR="00271A7F" w:rsidRPr="00C54D45">
        <w:t xml:space="preserve"> </w:t>
      </w:r>
      <w:r w:rsidR="009871E9" w:rsidRPr="00C54D45">
        <w:t>4</w:t>
      </w:r>
      <w:r w:rsidR="00002CD6" w:rsidRPr="00C54D45">
        <w:t>8</w:t>
      </w:r>
    </w:p>
    <w:p w14:paraId="4E272B2A" w14:textId="1A407FDB" w:rsidR="0064636E" w:rsidRPr="00C54D45" w:rsidRDefault="0064636E" w:rsidP="00A41529">
      <w:pPr>
        <w:pStyle w:val="H1G"/>
        <w:spacing w:before="240"/>
      </w:pPr>
      <w:r w:rsidRPr="00C54D45">
        <w:tab/>
      </w:r>
      <w:r w:rsidRPr="00C54D45">
        <w:tab/>
        <w:t xml:space="preserve">Revision </w:t>
      </w:r>
      <w:r w:rsidR="009871E9" w:rsidRPr="00C54D45">
        <w:t>1</w:t>
      </w:r>
      <w:r w:rsidR="0053612C" w:rsidRPr="00C54D45">
        <w:t>2</w:t>
      </w:r>
      <w:r w:rsidRPr="00C54D45">
        <w:t xml:space="preserve"> - </w:t>
      </w:r>
      <w:r w:rsidR="00D623A7" w:rsidRPr="00C54D45">
        <w:t>Amendment</w:t>
      </w:r>
      <w:r w:rsidRPr="00C54D45">
        <w:t xml:space="preserve"> </w:t>
      </w:r>
      <w:r w:rsidR="009D69BD">
        <w:t>7</w:t>
      </w:r>
    </w:p>
    <w:p w14:paraId="4FAFC05A" w14:textId="756FDBD2" w:rsidR="0064636E" w:rsidRPr="00C54D45" w:rsidRDefault="00D623A7" w:rsidP="0064636E">
      <w:pPr>
        <w:pStyle w:val="SingleTxtG"/>
        <w:spacing w:after="360"/>
        <w:rPr>
          <w:spacing w:val="-2"/>
        </w:rPr>
      </w:pPr>
      <w:r w:rsidRPr="00C54D45">
        <w:rPr>
          <w:spacing w:val="-2"/>
        </w:rPr>
        <w:t xml:space="preserve">Supplement </w:t>
      </w:r>
      <w:r w:rsidR="00C54D45" w:rsidRPr="00C54D45">
        <w:rPr>
          <w:spacing w:val="-2"/>
        </w:rPr>
        <w:t>1</w:t>
      </w:r>
      <w:r w:rsidR="009D69BD">
        <w:rPr>
          <w:spacing w:val="-2"/>
        </w:rPr>
        <w:t>1</w:t>
      </w:r>
      <w:r w:rsidRPr="00C54D45">
        <w:rPr>
          <w:spacing w:val="-2"/>
        </w:rPr>
        <w:t xml:space="preserve"> to </w:t>
      </w:r>
      <w:r w:rsidR="00271A7F" w:rsidRPr="00C54D45">
        <w:rPr>
          <w:spacing w:val="-2"/>
        </w:rPr>
        <w:t xml:space="preserve">the </w:t>
      </w:r>
      <w:r w:rsidR="0053612C" w:rsidRPr="00C54D45">
        <w:rPr>
          <w:spacing w:val="-2"/>
        </w:rPr>
        <w:t>06 series of amendments</w:t>
      </w:r>
      <w:r w:rsidR="0064636E" w:rsidRPr="00C54D45">
        <w:rPr>
          <w:spacing w:val="-2"/>
        </w:rPr>
        <w:t xml:space="preserve"> – Date of entry into force: </w:t>
      </w:r>
      <w:r w:rsidR="009D69BD">
        <w:t>28 May 2019</w:t>
      </w:r>
    </w:p>
    <w:p w14:paraId="24730B39" w14:textId="498E00E1" w:rsidR="0064636E" w:rsidRPr="00C54D45" w:rsidRDefault="0064636E" w:rsidP="00A41529">
      <w:pPr>
        <w:pStyle w:val="H1G"/>
        <w:spacing w:before="120" w:after="120" w:line="240" w:lineRule="exact"/>
      </w:pPr>
      <w:r w:rsidRPr="00C54D45">
        <w:tab/>
      </w:r>
      <w:r w:rsidRPr="00C54D45">
        <w:tab/>
      </w:r>
      <w:r w:rsidR="0053612C" w:rsidRPr="00C54D45">
        <w:t>Uniform provisions concerning the approval of vehicles with regard to the installation of lighting and light-signalling devices</w:t>
      </w:r>
    </w:p>
    <w:p w14:paraId="6C824AF8" w14:textId="2E072AB4" w:rsidR="00B32121" w:rsidRPr="00C54D45" w:rsidRDefault="00B32121" w:rsidP="009D69BD">
      <w:pPr>
        <w:pStyle w:val="SingleTxtG"/>
        <w:spacing w:after="40"/>
        <w:rPr>
          <w:lang w:eastAsia="en-GB"/>
        </w:rPr>
      </w:pPr>
      <w:r w:rsidRPr="00C54D45">
        <w:rPr>
          <w:spacing w:val="-4"/>
          <w:lang w:eastAsia="en-GB"/>
        </w:rPr>
        <w:t>This document is meant purely as documentation tool. The authentic and legal binding text is:</w:t>
      </w:r>
      <w:r w:rsidRPr="00C54D45">
        <w:rPr>
          <w:lang w:eastAsia="en-GB"/>
        </w:rPr>
        <w:t xml:space="preserve"> </w:t>
      </w:r>
      <w:r w:rsidRPr="00C54D45">
        <w:rPr>
          <w:spacing w:val="-6"/>
          <w:lang w:eastAsia="en-GB"/>
        </w:rPr>
        <w:t>ECE/TRANS/WP.29/201</w:t>
      </w:r>
      <w:r w:rsidR="009D69BD">
        <w:rPr>
          <w:spacing w:val="-6"/>
          <w:lang w:eastAsia="en-GB"/>
        </w:rPr>
        <w:t>8</w:t>
      </w:r>
      <w:r w:rsidRPr="00C54D45">
        <w:rPr>
          <w:spacing w:val="-6"/>
          <w:lang w:eastAsia="en-GB"/>
        </w:rPr>
        <w:t>/</w:t>
      </w:r>
      <w:r w:rsidR="009D69BD">
        <w:rPr>
          <w:spacing w:val="-6"/>
          <w:lang w:eastAsia="en-GB"/>
        </w:rPr>
        <w:t>84.</w:t>
      </w:r>
    </w:p>
    <w:p w14:paraId="0BE7EBB7" w14:textId="07D1D48B" w:rsidR="000D3A4F" w:rsidRPr="00C54D45" w:rsidRDefault="00F55704" w:rsidP="00326BE4">
      <w:pPr>
        <w:suppressAutoHyphens w:val="0"/>
        <w:spacing w:line="240" w:lineRule="auto"/>
        <w:jc w:val="center"/>
        <w:rPr>
          <w:b/>
          <w:sz w:val="24"/>
        </w:rPr>
      </w:pPr>
      <w:r w:rsidRPr="00C54D45">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54D45">
        <w:rPr>
          <w:b/>
          <w:sz w:val="24"/>
        </w:rPr>
        <w:t>_________</w:t>
      </w:r>
    </w:p>
    <w:p w14:paraId="485AE9A9" w14:textId="53F5D341" w:rsidR="00A61C62" w:rsidRPr="00C54D45" w:rsidRDefault="000D3A4F" w:rsidP="009871E9">
      <w:pPr>
        <w:suppressAutoHyphens w:val="0"/>
        <w:spacing w:line="240" w:lineRule="auto"/>
        <w:jc w:val="center"/>
        <w:rPr>
          <w:bCs/>
        </w:rPr>
      </w:pPr>
      <w:r w:rsidRPr="00C54D45">
        <w:rPr>
          <w:b/>
          <w:sz w:val="24"/>
        </w:rPr>
        <w:t>UNITED NATIONS</w:t>
      </w:r>
      <w:r w:rsidR="00D5540C" w:rsidRPr="00C54D45">
        <w:br w:type="page"/>
      </w:r>
    </w:p>
    <w:p w14:paraId="1960C1FB" w14:textId="77777777" w:rsidR="009D69BD" w:rsidRPr="007C538D" w:rsidRDefault="009D69BD" w:rsidP="009D69BD">
      <w:pPr>
        <w:pStyle w:val="para"/>
        <w:ind w:left="1134" w:firstLine="0"/>
        <w:rPr>
          <w:i/>
        </w:rPr>
      </w:pPr>
      <w:r w:rsidRPr="00C24401">
        <w:rPr>
          <w:i/>
        </w:rPr>
        <w:lastRenderedPageBreak/>
        <w:t>Insert a new paragraph 2.37.</w:t>
      </w:r>
      <w:r w:rsidRPr="007C538D">
        <w:t>, to read:</w:t>
      </w:r>
    </w:p>
    <w:p w14:paraId="2FFE882F" w14:textId="77777777" w:rsidR="009D69BD" w:rsidRPr="00C3153C" w:rsidRDefault="009D69BD" w:rsidP="009D69BD">
      <w:pPr>
        <w:spacing w:after="120"/>
        <w:ind w:left="2268" w:right="1134" w:hanging="1134"/>
        <w:jc w:val="both"/>
        <w:rPr>
          <w:color w:val="000000" w:themeColor="text1"/>
        </w:rPr>
      </w:pPr>
      <w:r w:rsidRPr="00C3153C">
        <w:t>"2.37.</w:t>
      </w:r>
      <w:r w:rsidRPr="00C3153C">
        <w:tab/>
      </w:r>
      <w:r w:rsidRPr="00C3153C">
        <w:tab/>
      </w:r>
      <w:r w:rsidRPr="00C3153C">
        <w:rPr>
          <w:i/>
        </w:rPr>
        <w:t>"External status indicator"</w:t>
      </w:r>
      <w:r w:rsidRPr="00C3153C">
        <w:t xml:space="preserve"> means an optical signal mounted on the outside of the vehicle </w:t>
      </w:r>
      <w:r w:rsidRPr="00C3153C">
        <w:rPr>
          <w:color w:val="000000" w:themeColor="text1"/>
        </w:rPr>
        <w:t xml:space="preserve">to indicate the status or the change of the status for Vehicle Alarm System (VAS), Alarm System (AS) and immobiliser of </w:t>
      </w:r>
      <w:r>
        <w:rPr>
          <w:color w:val="000000" w:themeColor="text1"/>
        </w:rPr>
        <w:t xml:space="preserve">UN </w:t>
      </w:r>
      <w:r w:rsidRPr="00C3153C">
        <w:rPr>
          <w:color w:val="000000" w:themeColor="text1"/>
        </w:rPr>
        <w:t xml:space="preserve">Regulations No. 97 and No. 116, when the vehicle is parked. </w:t>
      </w:r>
      <w:r>
        <w:rPr>
          <w:color w:val="000000" w:themeColor="text1"/>
        </w:rPr>
        <w:t>"</w:t>
      </w:r>
    </w:p>
    <w:p w14:paraId="52BB5049" w14:textId="77777777" w:rsidR="009D69BD" w:rsidRPr="00C3153C" w:rsidRDefault="009D69BD" w:rsidP="009D69BD">
      <w:pPr>
        <w:spacing w:after="120"/>
        <w:ind w:left="1134" w:right="1134"/>
        <w:jc w:val="both"/>
        <w:rPr>
          <w:i/>
        </w:rPr>
      </w:pPr>
      <w:r w:rsidRPr="00C3153C">
        <w:rPr>
          <w:i/>
        </w:rPr>
        <w:t xml:space="preserve">Paragraph 2.7., </w:t>
      </w:r>
      <w:r w:rsidRPr="00C3153C">
        <w:t>amend to read:</w:t>
      </w:r>
    </w:p>
    <w:p w14:paraId="7703D8DB" w14:textId="77777777" w:rsidR="009D69BD" w:rsidRPr="00C3153C" w:rsidRDefault="009D69BD" w:rsidP="009D69BD">
      <w:pPr>
        <w:spacing w:after="120"/>
        <w:ind w:left="2268" w:right="1134" w:hanging="1134"/>
        <w:jc w:val="both"/>
      </w:pPr>
      <w:r w:rsidRPr="00C3153C">
        <w:t xml:space="preserve">"2.7. </w:t>
      </w:r>
      <w:r w:rsidRPr="00C3153C">
        <w:tab/>
      </w:r>
      <w:r w:rsidRPr="00C3153C">
        <w:tab/>
        <w:t>"</w:t>
      </w:r>
      <w:r w:rsidRPr="001E78FB">
        <w:rPr>
          <w:i/>
          <w:iCs/>
        </w:rPr>
        <w:t>Lamp</w:t>
      </w:r>
      <w:r w:rsidRPr="00C3153C">
        <w:t xml:space="preserve">" means a device designed to illuminate the road or to emit a light signal to other road users. Rear registration plate lamps and retro-reflectors are likewise to be regarded as lamps. For the purpose of this </w:t>
      </w:r>
      <w:r>
        <w:t>UN Regulation</w:t>
      </w:r>
      <w:r w:rsidRPr="00C3153C">
        <w:t xml:space="preserve">, light-emitting rear registration plates, the service-door-lighting system according to the provisions of </w:t>
      </w:r>
      <w:r>
        <w:t xml:space="preserve">UN </w:t>
      </w:r>
      <w:r w:rsidRPr="00C3153C">
        <w:t>Regulation No. 107 on vehicles of categories M</w:t>
      </w:r>
      <w:r w:rsidRPr="00C3153C">
        <w:rPr>
          <w:vertAlign w:val="subscript"/>
        </w:rPr>
        <w:t>2</w:t>
      </w:r>
      <w:r w:rsidRPr="00C3153C">
        <w:t xml:space="preserve"> and M</w:t>
      </w:r>
      <w:r w:rsidRPr="00C3153C">
        <w:rPr>
          <w:vertAlign w:val="subscript"/>
        </w:rPr>
        <w:t>3</w:t>
      </w:r>
      <w:r w:rsidRPr="00C3153C">
        <w:t xml:space="preserve"> and </w:t>
      </w:r>
      <w:r w:rsidRPr="00C3153C">
        <w:rPr>
          <w:color w:val="000000" w:themeColor="text1"/>
        </w:rPr>
        <w:t xml:space="preserve">external status indicator as defined in this </w:t>
      </w:r>
      <w:r>
        <w:rPr>
          <w:color w:val="000000" w:themeColor="text1"/>
        </w:rPr>
        <w:t>UN Regulation</w:t>
      </w:r>
      <w:r w:rsidRPr="00C3153C">
        <w:rPr>
          <w:color w:val="000000" w:themeColor="text1"/>
        </w:rPr>
        <w:t xml:space="preserve"> </w:t>
      </w:r>
      <w:r w:rsidRPr="00C3153C">
        <w:t>are not considered as lamps.</w:t>
      </w:r>
    </w:p>
    <w:p w14:paraId="69A34FAE" w14:textId="77777777" w:rsidR="009D69BD" w:rsidRPr="00C3153C" w:rsidRDefault="009D69BD" w:rsidP="009D69BD">
      <w:pPr>
        <w:spacing w:after="120"/>
        <w:ind w:left="1701" w:right="1134" w:firstLine="567"/>
        <w:jc w:val="both"/>
      </w:pPr>
      <w:r w:rsidRPr="00C3153C">
        <w:t>…"</w:t>
      </w:r>
    </w:p>
    <w:p w14:paraId="3934A572" w14:textId="77777777" w:rsidR="009D69BD" w:rsidRPr="00595374" w:rsidRDefault="009D69BD" w:rsidP="009D69BD">
      <w:pPr>
        <w:spacing w:after="120"/>
        <w:ind w:left="2268" w:right="1469" w:hanging="1134"/>
        <w:jc w:val="both"/>
        <w:rPr>
          <w:rFonts w:eastAsia="Calibri"/>
        </w:rPr>
      </w:pPr>
      <w:r w:rsidRPr="00595374">
        <w:rPr>
          <w:rFonts w:eastAsia="Calibri"/>
          <w:i/>
        </w:rPr>
        <w:t>Paragraph 5.7.2.1.</w:t>
      </w:r>
      <w:r w:rsidRPr="00595374">
        <w:rPr>
          <w:rFonts w:eastAsia="Calibri"/>
        </w:rPr>
        <w:t>, amend to read:</w:t>
      </w:r>
    </w:p>
    <w:p w14:paraId="33BBDB16" w14:textId="77777777" w:rsidR="009D69BD" w:rsidRPr="00595374" w:rsidRDefault="009D69BD" w:rsidP="009D69BD">
      <w:pPr>
        <w:spacing w:after="120"/>
        <w:ind w:left="2268" w:right="1467" w:hanging="1134"/>
        <w:jc w:val="both"/>
        <w:rPr>
          <w:iCs/>
        </w:rPr>
      </w:pPr>
      <w:r>
        <w:t>"</w:t>
      </w:r>
      <w:r w:rsidRPr="00595374">
        <w:t>5.7.2.1.</w:t>
      </w:r>
      <w:r w:rsidRPr="00595374">
        <w:tab/>
      </w:r>
      <w:r w:rsidRPr="00595374">
        <w:rPr>
          <w:iCs/>
        </w:rPr>
        <w:t>Single lamps as defined in paragraph 2.16.1., subparagraph (a), the apparent surface of which is composed of two or more distinct parts, shall be installed in such a way that:</w:t>
      </w:r>
    </w:p>
    <w:p w14:paraId="48D09835" w14:textId="77777777" w:rsidR="009D69BD" w:rsidRPr="00595374" w:rsidRDefault="009D69BD" w:rsidP="009D69BD">
      <w:pPr>
        <w:spacing w:after="120"/>
        <w:ind w:left="2835" w:right="1467" w:hanging="567"/>
        <w:jc w:val="both"/>
        <w:rPr>
          <w:iCs/>
        </w:rPr>
      </w:pPr>
      <w:r w:rsidRPr="00595374">
        <w:rPr>
          <w:iCs/>
        </w:rPr>
        <w:t>(a)</w:t>
      </w:r>
      <w:r w:rsidRPr="00595374">
        <w:rPr>
          <w:iCs/>
        </w:rPr>
        <w:tab/>
      </w:r>
      <w:r>
        <w:rPr>
          <w:iCs/>
        </w:rPr>
        <w:t>E</w:t>
      </w:r>
      <w:r w:rsidRPr="00595374">
        <w:rPr>
          <w:iCs/>
        </w:rPr>
        <w:t>ither the total area of the projection of the distinct parts of the apparent surface in the direction of the reference axis on a plane tangent to the exterior surface of the outer lens and perpendicular to the reference axis shall occupy not less than 60 per cent of the smallest quadrilateral circumscribing the projection</w:t>
      </w:r>
      <w:r w:rsidRPr="00595374">
        <w:t xml:space="preserve"> of the said apparent</w:t>
      </w:r>
      <w:r w:rsidRPr="00595374">
        <w:rPr>
          <w:iCs/>
        </w:rPr>
        <w:t xml:space="preserve"> surface in the direction of the reference axis; or</w:t>
      </w:r>
    </w:p>
    <w:p w14:paraId="056C1275" w14:textId="77777777" w:rsidR="009D69BD" w:rsidRPr="00595374" w:rsidRDefault="009D69BD" w:rsidP="009D69BD">
      <w:pPr>
        <w:spacing w:after="120"/>
        <w:ind w:left="2835" w:right="1467" w:hanging="567"/>
        <w:jc w:val="both"/>
        <w:rPr>
          <w:iCs/>
        </w:rPr>
      </w:pPr>
      <w:r w:rsidRPr="00595374">
        <w:rPr>
          <w:iCs/>
        </w:rPr>
        <w:t>(b)</w:t>
      </w:r>
      <w:r w:rsidRPr="00595374">
        <w:rPr>
          <w:iCs/>
        </w:rPr>
        <w:tab/>
      </w:r>
      <w:r>
        <w:rPr>
          <w:iCs/>
        </w:rPr>
        <w:t>T</w:t>
      </w:r>
      <w:r w:rsidRPr="00595374">
        <w:rPr>
          <w:iCs/>
        </w:rPr>
        <w:t>he minimum distance between the facing edges</w:t>
      </w:r>
      <w:r w:rsidRPr="00595374">
        <w:rPr>
          <w:iCs/>
          <w:color w:val="000000"/>
        </w:rPr>
        <w:t xml:space="preserve"> </w:t>
      </w:r>
      <w:r w:rsidRPr="00595374">
        <w:rPr>
          <w:iCs/>
        </w:rPr>
        <w:t>of two adjacent/tangential distinct parts of the apparent surface in the direction of the reference axis shall not exceed 75 mm when measured perpendicularly to the reference axis.</w:t>
      </w:r>
    </w:p>
    <w:p w14:paraId="1E0CC6E2" w14:textId="77777777" w:rsidR="009D69BD" w:rsidRPr="00595374" w:rsidRDefault="009D69BD" w:rsidP="009D69BD">
      <w:pPr>
        <w:spacing w:after="120"/>
        <w:ind w:left="2268" w:right="1467"/>
        <w:jc w:val="both"/>
        <w:rPr>
          <w:iCs/>
        </w:rPr>
      </w:pPr>
      <w:r w:rsidRPr="00595374">
        <w:rPr>
          <w:iCs/>
        </w:rPr>
        <w:tab/>
        <w:t>Th</w:t>
      </w:r>
      <w:r w:rsidRPr="00595374">
        <w:rPr>
          <w:bCs/>
          <w:iCs/>
        </w:rPr>
        <w:t xml:space="preserve">ese </w:t>
      </w:r>
      <w:r w:rsidRPr="00595374">
        <w:rPr>
          <w:iCs/>
        </w:rPr>
        <w:t>requirement</w:t>
      </w:r>
      <w:r w:rsidRPr="00595374">
        <w:rPr>
          <w:bCs/>
          <w:iCs/>
        </w:rPr>
        <w:t xml:space="preserve">s </w:t>
      </w:r>
      <w:r w:rsidRPr="00595374">
        <w:rPr>
          <w:iCs/>
        </w:rPr>
        <w:t>shall not apply to a single retro-reflector.</w:t>
      </w:r>
      <w:r>
        <w:rPr>
          <w:iCs/>
        </w:rPr>
        <w:t>"</w:t>
      </w:r>
    </w:p>
    <w:p w14:paraId="6B367E4D" w14:textId="77777777" w:rsidR="009D69BD" w:rsidRPr="00595374" w:rsidRDefault="009D69BD" w:rsidP="009D69BD">
      <w:pPr>
        <w:spacing w:after="120"/>
        <w:ind w:left="2268" w:right="1467" w:hanging="1134"/>
        <w:jc w:val="both"/>
        <w:rPr>
          <w:rFonts w:eastAsia="Calibri"/>
        </w:rPr>
      </w:pPr>
      <w:r w:rsidRPr="00595374">
        <w:rPr>
          <w:rFonts w:eastAsia="Calibri"/>
          <w:i/>
        </w:rPr>
        <w:t>Paragraph 5.8.2.</w:t>
      </w:r>
      <w:r w:rsidRPr="00595374">
        <w:rPr>
          <w:rFonts w:eastAsia="Calibri"/>
        </w:rPr>
        <w:t>, amend to read:</w:t>
      </w:r>
    </w:p>
    <w:p w14:paraId="249844A3" w14:textId="77777777" w:rsidR="009D69BD" w:rsidRPr="00595374" w:rsidRDefault="009D69BD" w:rsidP="009D69BD">
      <w:pPr>
        <w:pStyle w:val="para"/>
        <w:ind w:right="1467"/>
      </w:pPr>
      <w:r>
        <w:rPr>
          <w:iCs/>
        </w:rPr>
        <w:t>"</w:t>
      </w:r>
      <w:r w:rsidRPr="00595374">
        <w:rPr>
          <w:iCs/>
        </w:rPr>
        <w:t>5.8.2.</w:t>
      </w:r>
      <w:r w:rsidRPr="00595374">
        <w:rPr>
          <w:iCs/>
        </w:rPr>
        <w:tab/>
      </w:r>
      <w:r w:rsidRPr="00595374">
        <w:t xml:space="preserve">In the case of dipped-beam headlamp, the minimum height in relation to the ground is measured from the lowest point of the </w:t>
      </w:r>
      <w:r w:rsidRPr="00595374">
        <w:rPr>
          <w:bCs/>
          <w:iCs/>
        </w:rPr>
        <w:t xml:space="preserve">apparent surface in the direction of the reference axis </w:t>
      </w:r>
      <w:r w:rsidRPr="00595374">
        <w:t>independent of its utilization.</w:t>
      </w:r>
      <w:r>
        <w:t>"</w:t>
      </w:r>
    </w:p>
    <w:p w14:paraId="008DF404" w14:textId="77777777" w:rsidR="009D69BD" w:rsidRPr="00595374" w:rsidRDefault="009D69BD" w:rsidP="009D69BD">
      <w:pPr>
        <w:spacing w:after="120"/>
        <w:ind w:left="2268" w:right="1467" w:hanging="1134"/>
        <w:jc w:val="both"/>
        <w:rPr>
          <w:rFonts w:eastAsia="Calibri"/>
        </w:rPr>
      </w:pPr>
      <w:r w:rsidRPr="00595374">
        <w:rPr>
          <w:rFonts w:eastAsia="Calibri"/>
          <w:i/>
        </w:rPr>
        <w:t>Paragraphs 5.10.1 and 5.10.2.</w:t>
      </w:r>
      <w:r w:rsidRPr="00595374">
        <w:rPr>
          <w:rFonts w:eastAsia="Calibri"/>
        </w:rPr>
        <w:t>, amend to read:</w:t>
      </w:r>
    </w:p>
    <w:p w14:paraId="60D6E5EA" w14:textId="77777777" w:rsidR="009D69BD" w:rsidRPr="00595374" w:rsidRDefault="009D69BD" w:rsidP="009D69BD">
      <w:pPr>
        <w:spacing w:after="120"/>
        <w:ind w:left="2268" w:right="1467" w:hanging="1134"/>
        <w:jc w:val="both"/>
      </w:pPr>
      <w:r>
        <w:t>"</w:t>
      </w:r>
      <w:r w:rsidRPr="00595374">
        <w:t>5.10.1.</w:t>
      </w:r>
      <w:r w:rsidRPr="00595374">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595374">
        <w:rPr>
          <w:bCs/>
        </w:rPr>
        <w:t>25 </w:t>
      </w:r>
      <w:r w:rsidRPr="00595374">
        <w:t>m in front of the vehicle (</w:t>
      </w:r>
      <w:r w:rsidRPr="00595374">
        <w:rPr>
          <w:bCs/>
        </w:rPr>
        <w:t>see </w:t>
      </w:r>
      <w:r w:rsidRPr="00595374">
        <w:t>Annex 4</w:t>
      </w:r>
      <w:r w:rsidRPr="00595374">
        <w:rPr>
          <w:bCs/>
        </w:rPr>
        <w:t>)</w:t>
      </w:r>
      <w:r w:rsidRPr="00595374">
        <w:t xml:space="preserve">; </w:t>
      </w:r>
    </w:p>
    <w:p w14:paraId="2F3F1F25" w14:textId="2A1C2DC2" w:rsidR="009D69BD" w:rsidRDefault="009D69BD" w:rsidP="009D69BD">
      <w:pPr>
        <w:spacing w:after="120"/>
        <w:ind w:left="2268" w:right="1467" w:hanging="1134"/>
        <w:jc w:val="both"/>
      </w:pPr>
      <w:r w:rsidRPr="00595374">
        <w:t>5.10.2.</w:t>
      </w:r>
      <w:r w:rsidRPr="00595374">
        <w:tab/>
        <w:t xml:space="preserve">For the visibility of white light towards the rear of a vehicle, with the exception of reversing lamps </w:t>
      </w:r>
      <w:r w:rsidRPr="00595374">
        <w:rPr>
          <w:bCs/>
        </w:rPr>
        <w:t xml:space="preserve">and white side conspicuity markings, </w:t>
      </w:r>
      <w:r w:rsidRPr="00595374">
        <w:t xml:space="preserve">there shall be no direct visibility of the apparent surface of a white lamp if viewed by an observer moving within Zone 2 in a transverse plane situated </w:t>
      </w:r>
      <w:r w:rsidRPr="00595374">
        <w:rPr>
          <w:bCs/>
        </w:rPr>
        <w:t>25 </w:t>
      </w:r>
      <w:r w:rsidRPr="00595374">
        <w:t>m behind the vehicle (</w:t>
      </w:r>
      <w:r w:rsidRPr="00595374">
        <w:rPr>
          <w:bCs/>
        </w:rPr>
        <w:t>see </w:t>
      </w:r>
      <w:r w:rsidRPr="00595374">
        <w:t>Annex 4</w:t>
      </w:r>
      <w:r w:rsidRPr="00595374">
        <w:rPr>
          <w:bCs/>
        </w:rPr>
        <w:t>)</w:t>
      </w:r>
      <w:r w:rsidRPr="00595374">
        <w:t>;</w:t>
      </w:r>
      <w:r>
        <w:t>"</w:t>
      </w:r>
    </w:p>
    <w:p w14:paraId="161438A8" w14:textId="77777777" w:rsidR="009D69BD" w:rsidRDefault="009D69BD">
      <w:pPr>
        <w:suppressAutoHyphens w:val="0"/>
        <w:spacing w:line="240" w:lineRule="auto"/>
      </w:pPr>
      <w:r>
        <w:br w:type="page"/>
      </w:r>
    </w:p>
    <w:p w14:paraId="239AAB48" w14:textId="77777777" w:rsidR="009D69BD" w:rsidRPr="00C3153C" w:rsidRDefault="009D69BD" w:rsidP="009D69BD">
      <w:pPr>
        <w:pStyle w:val="para"/>
        <w:tabs>
          <w:tab w:val="left" w:pos="2160"/>
        </w:tabs>
        <w:ind w:left="1134" w:firstLine="0"/>
      </w:pPr>
      <w:r w:rsidRPr="00C3153C">
        <w:rPr>
          <w:i/>
        </w:rPr>
        <w:lastRenderedPageBreak/>
        <w:t>Insert a new paragraph 5.32.</w:t>
      </w:r>
      <w:r w:rsidRPr="00C3153C">
        <w:t>,</w:t>
      </w:r>
      <w:r w:rsidRPr="00C3153C">
        <w:rPr>
          <w:i/>
        </w:rPr>
        <w:t xml:space="preserve"> </w:t>
      </w:r>
      <w:r w:rsidRPr="00C3153C">
        <w:t>to read:</w:t>
      </w:r>
    </w:p>
    <w:p w14:paraId="7FA99EA7" w14:textId="77777777" w:rsidR="009D69BD" w:rsidRPr="00C3153C" w:rsidRDefault="009D69BD" w:rsidP="009D69BD">
      <w:pPr>
        <w:pStyle w:val="para"/>
        <w:ind w:left="1134" w:firstLine="0"/>
      </w:pPr>
      <w:r w:rsidRPr="00C3153C">
        <w:t>"5.32.</w:t>
      </w:r>
      <w:r w:rsidRPr="00C3153C">
        <w:tab/>
      </w:r>
      <w:r w:rsidRPr="00C3153C">
        <w:tab/>
        <w:t>External status indicator</w:t>
      </w:r>
    </w:p>
    <w:p w14:paraId="29386109" w14:textId="77777777" w:rsidR="009D69BD" w:rsidRPr="00C3153C" w:rsidRDefault="009D69BD" w:rsidP="009D69BD">
      <w:pPr>
        <w:pStyle w:val="para"/>
        <w:ind w:firstLine="0"/>
      </w:pPr>
      <w:r w:rsidRPr="00C3153C">
        <w:t>One external status indicator for Vehicle Alarm System (VAS), Alarm System (AS) and immobiliser is allowed if:</w:t>
      </w:r>
    </w:p>
    <w:p w14:paraId="72EF4D30" w14:textId="77777777" w:rsidR="009D69BD" w:rsidRPr="00C3153C" w:rsidRDefault="009D69BD" w:rsidP="009D69BD">
      <w:pPr>
        <w:pStyle w:val="para"/>
        <w:ind w:firstLine="0"/>
      </w:pPr>
      <w:r w:rsidRPr="00C3153C">
        <w:t>(a)</w:t>
      </w:r>
      <w:r w:rsidRPr="00C3153C">
        <w:tab/>
        <w:t xml:space="preserve">The light intensity in any direction does not exceed 0.5 cd; </w:t>
      </w:r>
    </w:p>
    <w:p w14:paraId="6171301C" w14:textId="77777777" w:rsidR="009D69BD" w:rsidRPr="00C3153C" w:rsidRDefault="009D69BD" w:rsidP="009D69BD">
      <w:pPr>
        <w:pStyle w:val="para"/>
        <w:ind w:firstLine="0"/>
      </w:pPr>
      <w:r w:rsidRPr="00C3153C">
        <w:t>(b)</w:t>
      </w:r>
      <w:r w:rsidRPr="00C3153C">
        <w:tab/>
        <w:t>The colour of the light emitted is white, red or amber;</w:t>
      </w:r>
    </w:p>
    <w:p w14:paraId="4E4F7DCF" w14:textId="77777777" w:rsidR="009D69BD" w:rsidRPr="00C3153C" w:rsidRDefault="009D69BD" w:rsidP="009D69BD">
      <w:pPr>
        <w:pStyle w:val="para"/>
        <w:ind w:firstLine="0"/>
      </w:pPr>
      <w:r w:rsidRPr="00C3153C">
        <w:t>(c)</w:t>
      </w:r>
      <w:r w:rsidRPr="00C3153C">
        <w:tab/>
        <w:t xml:space="preserve">The area of the apparent surface is not larger than </w:t>
      </w:r>
      <w:r w:rsidRPr="00C3153C">
        <w:rPr>
          <w:color w:val="000000" w:themeColor="text1"/>
        </w:rPr>
        <w:t xml:space="preserve">20 </w:t>
      </w:r>
      <w:r w:rsidRPr="00C3153C">
        <w:t>cm</w:t>
      </w:r>
      <w:r w:rsidRPr="00C3153C">
        <w:rPr>
          <w:vertAlign w:val="superscript"/>
        </w:rPr>
        <w:t>2</w:t>
      </w:r>
      <w:r w:rsidRPr="00C3153C">
        <w:t>.</w:t>
      </w:r>
    </w:p>
    <w:p w14:paraId="5A9A4DA8" w14:textId="77777777" w:rsidR="009D69BD" w:rsidRPr="00C3153C" w:rsidRDefault="009D69BD" w:rsidP="009D69BD">
      <w:pPr>
        <w:pStyle w:val="para"/>
        <w:ind w:firstLine="0"/>
      </w:pPr>
      <w:r w:rsidRPr="00C3153C">
        <w:t xml:space="preserve">Up to two external status indicators for Vehicle Alarm System (VAS), Alarm System (AS) and immobiliser are allowed on a vehicle provided that the apparent surface does not exceed </w:t>
      </w:r>
      <w:r w:rsidRPr="00C3153C">
        <w:rPr>
          <w:color w:val="000000" w:themeColor="text1"/>
        </w:rPr>
        <w:t>10 c</w:t>
      </w:r>
      <w:r w:rsidRPr="00C3153C">
        <w:t>m</w:t>
      </w:r>
      <w:r w:rsidRPr="00C3153C">
        <w:rPr>
          <w:vertAlign w:val="superscript"/>
        </w:rPr>
        <w:t>2</w:t>
      </w:r>
      <w:r w:rsidRPr="00C3153C">
        <w:t xml:space="preserve"> per indicator."</w:t>
      </w:r>
    </w:p>
    <w:p w14:paraId="6CA20F9A" w14:textId="77777777" w:rsidR="009D69BD" w:rsidRPr="00124944" w:rsidRDefault="009D69BD" w:rsidP="009D69BD">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14:paraId="203D8487" w14:textId="77777777" w:rsidR="009D69BD" w:rsidRPr="00595374" w:rsidRDefault="009D69BD" w:rsidP="009D69BD">
      <w:pPr>
        <w:spacing w:after="120"/>
        <w:ind w:left="2268" w:right="1467" w:hanging="1134"/>
        <w:jc w:val="both"/>
        <w:rPr>
          <w:rFonts w:eastAsia="Calibri"/>
        </w:rPr>
      </w:pPr>
      <w:r>
        <w:rPr>
          <w:rFonts w:eastAsia="Calibri"/>
        </w:rPr>
        <w:t>"</w:t>
      </w:r>
      <w:r w:rsidRPr="00595374">
        <w:rPr>
          <w:rFonts w:eastAsia="Calibri"/>
        </w:rPr>
        <w:t>6.2.9.</w:t>
      </w:r>
      <w:r w:rsidRPr="00595374">
        <w:rPr>
          <w:rFonts w:eastAsia="Calibri"/>
        </w:rPr>
        <w:tab/>
        <w:t xml:space="preserve">Other requirements </w:t>
      </w:r>
    </w:p>
    <w:p w14:paraId="7311F300" w14:textId="77777777" w:rsidR="009D69BD" w:rsidRPr="00595374" w:rsidRDefault="009D69BD" w:rsidP="009D69BD">
      <w:pPr>
        <w:spacing w:after="120"/>
        <w:ind w:left="2268" w:right="1467" w:hanging="1134"/>
        <w:jc w:val="both"/>
        <w:rPr>
          <w:rFonts w:eastAsia="Calibri"/>
        </w:rPr>
      </w:pPr>
      <w:r w:rsidRPr="00595374">
        <w:rPr>
          <w:rFonts w:eastAsia="Calibri"/>
        </w:rPr>
        <w:t>6.2.9.1.</w:t>
      </w:r>
      <w:r w:rsidRPr="00595374">
        <w:rPr>
          <w:rFonts w:eastAsia="Calibri"/>
        </w:rPr>
        <w:tab/>
        <w:t>The requirements of paragraph 5.5.2. shall not apply to dipped-beam headlamps.</w:t>
      </w:r>
    </w:p>
    <w:p w14:paraId="12A43D8A" w14:textId="77777777" w:rsidR="009D69BD" w:rsidRPr="00595374" w:rsidRDefault="009D69BD" w:rsidP="009D69BD">
      <w:pPr>
        <w:spacing w:after="120"/>
        <w:ind w:left="2268" w:right="1467" w:hanging="1134"/>
        <w:jc w:val="both"/>
        <w:rPr>
          <w:rFonts w:eastAsia="Calibri"/>
        </w:rPr>
      </w:pPr>
      <w:r w:rsidRPr="00595374">
        <w:rPr>
          <w:rFonts w:eastAsia="Calibri"/>
        </w:rPr>
        <w:t>6.2.9.2.</w:t>
      </w:r>
      <w:r w:rsidRPr="00595374">
        <w:rPr>
          <w:rFonts w:eastAsia="Calibri"/>
        </w:rPr>
        <w:tab/>
        <w:t xml:space="preserve">Dipped-beam headlamps with a light source or LED module(s) producing the principal dipped-beam having a total objective luminous flux for each headlamp which exceeds 2,000 lumen shall only be installed in conjunction with the installation of headlamp cleaning device(s) according to </w:t>
      </w:r>
      <w:r>
        <w:rPr>
          <w:rFonts w:eastAsia="Calibri"/>
        </w:rPr>
        <w:t xml:space="preserve">UN </w:t>
      </w:r>
      <w:r w:rsidRPr="00595374">
        <w:rPr>
          <w:rFonts w:eastAsia="Calibri"/>
        </w:rPr>
        <w:t>Regulation No. 45.</w:t>
      </w:r>
    </w:p>
    <w:p w14:paraId="41D99865" w14:textId="77777777" w:rsidR="009D69BD" w:rsidRPr="00595374" w:rsidRDefault="009D69BD" w:rsidP="009D69BD">
      <w:pPr>
        <w:spacing w:after="120"/>
        <w:ind w:left="2268" w:right="1467" w:hanging="1134"/>
        <w:jc w:val="both"/>
        <w:rPr>
          <w:rFonts w:eastAsia="Calibri"/>
        </w:rPr>
      </w:pPr>
      <w:r w:rsidRPr="00595374">
        <w:rPr>
          <w:rFonts w:eastAsia="Calibri"/>
        </w:rPr>
        <w:t>6.2.9.3.</w:t>
      </w:r>
      <w:r w:rsidRPr="00595374">
        <w:rPr>
          <w:rFonts w:eastAsia="Calibri"/>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53B83C8C" w14:textId="77777777" w:rsidR="009D69BD" w:rsidRPr="00595374" w:rsidRDefault="009D69BD" w:rsidP="009D69BD">
      <w:pPr>
        <w:spacing w:after="120"/>
        <w:ind w:left="2268" w:right="1467" w:hanging="1134"/>
        <w:jc w:val="both"/>
        <w:rPr>
          <w:rFonts w:eastAsia="Calibri"/>
        </w:rPr>
      </w:pPr>
      <w:r w:rsidRPr="0059537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14:paraId="5DF7A93D" w14:textId="77777777" w:rsidR="009D69BD" w:rsidRPr="00595374" w:rsidRDefault="009D69BD" w:rsidP="009D69BD">
      <w:pPr>
        <w:spacing w:after="120"/>
        <w:ind w:left="2268" w:right="1467" w:hanging="1134"/>
        <w:jc w:val="both"/>
        <w:rPr>
          <w:rFonts w:eastAsia="Calibri"/>
        </w:rPr>
      </w:pPr>
      <w:r w:rsidRPr="00595374">
        <w:rPr>
          <w:rFonts w:eastAsia="Calibri"/>
        </w:rPr>
        <w:tab/>
        <w:t xml:space="preserve">In the case of dipped-beam headlamps equipped with an approved light source, the applicable objective luminous flux is the value at the relevant test voltage as given in the relevant data sheet in the </w:t>
      </w:r>
      <w:r>
        <w:rPr>
          <w:rFonts w:eastAsia="Calibri"/>
        </w:rPr>
        <w:t>UN Regulation</w:t>
      </w:r>
      <w:r w:rsidRPr="00595374">
        <w:rPr>
          <w:rFonts w:eastAsia="Calibri"/>
        </w:rPr>
        <w:t>, according to which the applied light source was approved, without taking into account the tolerances to the objective luminous flux specified on this datasheet.</w:t>
      </w:r>
    </w:p>
    <w:p w14:paraId="012475F6" w14:textId="77777777" w:rsidR="009D69BD" w:rsidRPr="00595374" w:rsidRDefault="009D69BD" w:rsidP="009D69BD">
      <w:pPr>
        <w:spacing w:after="120"/>
        <w:ind w:left="2268" w:right="1467" w:hanging="1134"/>
        <w:jc w:val="both"/>
        <w:rPr>
          <w:rFonts w:eastAsia="Calibri"/>
        </w:rPr>
      </w:pPr>
      <w:r w:rsidRPr="00595374">
        <w:rPr>
          <w:rFonts w:eastAsia="Calibri"/>
        </w:rPr>
        <w:t>6.2.9.4.</w:t>
      </w:r>
      <w:r w:rsidRPr="00595374">
        <w:rPr>
          <w:rFonts w:eastAsia="Calibri"/>
        </w:rPr>
        <w:tab/>
        <w:t>Only dipped-beam headlamps according to UN Regulation Nos. 98 or 112 may be used to produce bend lighting.</w:t>
      </w:r>
    </w:p>
    <w:p w14:paraId="6ECE07F3" w14:textId="77777777" w:rsidR="009D69BD" w:rsidRPr="00124944" w:rsidRDefault="009D69BD" w:rsidP="009D69BD">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Pr>
          <w:rFonts w:eastAsia="Calibri"/>
        </w:rPr>
        <w:t>"</w:t>
      </w:r>
    </w:p>
    <w:p w14:paraId="7113EE36" w14:textId="77777777" w:rsidR="009D69BD" w:rsidRPr="00124944" w:rsidRDefault="009D69BD" w:rsidP="009D69BD">
      <w:pPr>
        <w:keepNext/>
        <w:keepLines/>
        <w:spacing w:after="120"/>
        <w:ind w:left="2268" w:right="1469" w:hanging="1134"/>
        <w:jc w:val="both"/>
        <w:rPr>
          <w:rFonts w:eastAsia="Calibri"/>
        </w:rPr>
      </w:pPr>
      <w:r w:rsidRPr="00124944">
        <w:rPr>
          <w:rFonts w:eastAsia="Calibri"/>
          <w:i/>
        </w:rPr>
        <w:t>Paragraph 6.3.6.1.2.1.</w:t>
      </w:r>
      <w:r w:rsidRPr="00124944">
        <w:rPr>
          <w:rFonts w:eastAsia="Calibri"/>
        </w:rPr>
        <w:t>, amend to read:</w:t>
      </w:r>
    </w:p>
    <w:p w14:paraId="24A67971" w14:textId="6DE09A79" w:rsidR="009D69BD" w:rsidRDefault="009D69BD" w:rsidP="009D69BD">
      <w:pPr>
        <w:keepNext/>
        <w:keepLines/>
        <w:spacing w:after="120"/>
        <w:ind w:left="2268" w:right="1469" w:hanging="1134"/>
        <w:jc w:val="both"/>
        <w:rPr>
          <w:rFonts w:eastAsia="Calibri"/>
        </w:rPr>
      </w:pPr>
      <w:r>
        <w:rPr>
          <w:rFonts w:eastAsia="Calibri"/>
        </w:rPr>
        <w:t>"</w:t>
      </w:r>
      <w:r w:rsidRPr="00595374">
        <w:rPr>
          <w:rFonts w:eastAsia="Calibri"/>
        </w:rPr>
        <w:t>6.3.6.1.2.1.</w:t>
      </w:r>
      <w:r w:rsidRPr="00595374">
        <w:rPr>
          <w:rFonts w:eastAsia="Calibri"/>
        </w:rPr>
        <w:tab/>
        <w:t>When the total objective luminous flux of the light source for each front fog lamp does not exceed 2,000 lumens:</w:t>
      </w:r>
      <w:r>
        <w:rPr>
          <w:rFonts w:eastAsia="Calibri"/>
        </w:rPr>
        <w:t>"</w:t>
      </w:r>
    </w:p>
    <w:p w14:paraId="5C92FAD5" w14:textId="77777777" w:rsidR="009D69BD" w:rsidRDefault="009D69BD">
      <w:pPr>
        <w:suppressAutoHyphens w:val="0"/>
        <w:spacing w:line="240" w:lineRule="auto"/>
        <w:rPr>
          <w:rFonts w:eastAsia="Calibri"/>
        </w:rPr>
      </w:pPr>
      <w:r>
        <w:rPr>
          <w:rFonts w:eastAsia="Calibri"/>
        </w:rPr>
        <w:br w:type="page"/>
      </w:r>
    </w:p>
    <w:p w14:paraId="218DA637" w14:textId="77777777" w:rsidR="009D69BD" w:rsidRPr="00595374" w:rsidRDefault="009D69BD" w:rsidP="009D69BD">
      <w:pPr>
        <w:spacing w:after="120"/>
        <w:ind w:left="2268" w:right="1467" w:hanging="1134"/>
        <w:jc w:val="both"/>
        <w:rPr>
          <w:rFonts w:eastAsia="Calibri"/>
        </w:rPr>
      </w:pPr>
      <w:r w:rsidRPr="00595374">
        <w:rPr>
          <w:rFonts w:eastAsia="Calibri"/>
          <w:i/>
        </w:rPr>
        <w:lastRenderedPageBreak/>
        <w:t>Paragraph 6.3.6.1.2.2.</w:t>
      </w:r>
      <w:r w:rsidRPr="00595374">
        <w:rPr>
          <w:rFonts w:eastAsia="Calibri"/>
        </w:rPr>
        <w:t>, amend to read:</w:t>
      </w:r>
    </w:p>
    <w:p w14:paraId="522E4E5E" w14:textId="77777777" w:rsidR="009D69BD" w:rsidRPr="00595374" w:rsidRDefault="009D69BD" w:rsidP="009D69BD">
      <w:pPr>
        <w:spacing w:after="120"/>
        <w:ind w:left="2268" w:right="1467" w:hanging="1134"/>
        <w:jc w:val="both"/>
      </w:pPr>
      <w:r>
        <w:rPr>
          <w:rFonts w:eastAsia="Calibri"/>
        </w:rPr>
        <w:t>"</w:t>
      </w:r>
      <w:r w:rsidRPr="00595374">
        <w:rPr>
          <w:rFonts w:eastAsia="Calibri"/>
        </w:rPr>
        <w:t>6.3.6.1.2.2.</w:t>
      </w:r>
      <w:r w:rsidRPr="00595374">
        <w:rPr>
          <w:rFonts w:eastAsia="Calibri"/>
        </w:rPr>
        <w:tab/>
        <w:t>When the total objective luminous flux of the light source for each front fog lamp exceeds 2,000 lumens:</w:t>
      </w:r>
      <w:r>
        <w:rPr>
          <w:rFonts w:eastAsia="Calibri"/>
        </w:rPr>
        <w:t>"</w:t>
      </w:r>
    </w:p>
    <w:p w14:paraId="55814370" w14:textId="77777777" w:rsidR="009D69BD" w:rsidRPr="0054033E" w:rsidRDefault="009D69BD" w:rsidP="009D69BD">
      <w:pPr>
        <w:spacing w:after="120"/>
        <w:ind w:left="2268" w:right="1134" w:hanging="1134"/>
        <w:jc w:val="both"/>
        <w:rPr>
          <w:bCs/>
        </w:rPr>
      </w:pPr>
      <w:r>
        <w:rPr>
          <w:bCs/>
          <w:i/>
        </w:rPr>
        <w:t>P</w:t>
      </w:r>
      <w:r w:rsidRPr="00EA6840">
        <w:rPr>
          <w:bCs/>
          <w:i/>
        </w:rPr>
        <w:t xml:space="preserve">aragraph </w:t>
      </w:r>
      <w:r>
        <w:rPr>
          <w:bCs/>
          <w:i/>
        </w:rPr>
        <w:t>6.18.9</w:t>
      </w:r>
      <w:r w:rsidRPr="00EA6840">
        <w:rPr>
          <w:bCs/>
          <w:i/>
        </w:rPr>
        <w:t xml:space="preserve">., </w:t>
      </w:r>
      <w:r w:rsidRPr="0054033E">
        <w:rPr>
          <w:bCs/>
        </w:rPr>
        <w:t>amend to read:</w:t>
      </w:r>
    </w:p>
    <w:p w14:paraId="5B0510FA" w14:textId="77777777" w:rsidR="009D69BD" w:rsidRPr="007A07AF" w:rsidRDefault="009D69BD" w:rsidP="009D69BD">
      <w:pPr>
        <w:autoSpaceDE w:val="0"/>
        <w:autoSpaceDN w:val="0"/>
        <w:adjustRightInd w:val="0"/>
        <w:spacing w:after="120"/>
        <w:ind w:left="2268" w:right="1134" w:hanging="1134"/>
        <w:jc w:val="both"/>
        <w:rPr>
          <w:lang w:val="en-US"/>
        </w:rPr>
      </w:pPr>
      <w:r>
        <w:rPr>
          <w:bCs/>
        </w:rPr>
        <w:t>"</w:t>
      </w:r>
      <w:r w:rsidRPr="007A07AF">
        <w:rPr>
          <w:lang w:val="en-US"/>
        </w:rPr>
        <w:t>6.18.9.</w:t>
      </w:r>
      <w:r w:rsidRPr="007A07AF">
        <w:rPr>
          <w:lang w:val="en-US"/>
        </w:rPr>
        <w:tab/>
        <w:t>Other requirements</w:t>
      </w:r>
    </w:p>
    <w:p w14:paraId="6C69393C" w14:textId="77777777" w:rsidR="009D69BD" w:rsidRPr="0027265D" w:rsidRDefault="009D69BD" w:rsidP="009D69BD">
      <w:pPr>
        <w:autoSpaceDE w:val="0"/>
        <w:autoSpaceDN w:val="0"/>
        <w:adjustRightInd w:val="0"/>
        <w:spacing w:after="120"/>
        <w:ind w:left="2268" w:right="1134" w:hanging="1134"/>
        <w:jc w:val="both"/>
        <w:rPr>
          <w:lang w:val="en-US"/>
        </w:rPr>
      </w:pPr>
      <w:r w:rsidRPr="0027265D">
        <w:rPr>
          <w:lang w:val="en-US"/>
        </w:rPr>
        <w:tab/>
        <w:t>When the rearmost side-marker lamp is combined with the rear position lamp reciprocally incorporated with the rear fog lamp or stop lamp, the photometric characteristics of the side-marker lamp may be modified during the illumination of the rear fog lamp or stop lamp.</w:t>
      </w:r>
    </w:p>
    <w:p w14:paraId="1BC59AA6" w14:textId="77777777" w:rsidR="009D69BD" w:rsidRPr="007A07AF" w:rsidRDefault="009D69BD" w:rsidP="009D69BD">
      <w:pPr>
        <w:autoSpaceDE w:val="0"/>
        <w:autoSpaceDN w:val="0"/>
        <w:adjustRightInd w:val="0"/>
        <w:spacing w:after="120"/>
        <w:ind w:left="2268" w:right="1134" w:hanging="1134"/>
        <w:jc w:val="both"/>
        <w:rPr>
          <w:lang w:val="en-US"/>
        </w:rPr>
      </w:pPr>
      <w:r w:rsidRPr="007A07AF">
        <w:rPr>
          <w:lang w:val="en-US"/>
        </w:rPr>
        <w:tab/>
        <w:t>Rear side-marker lamps shall be amber if they flash with the rear direction indicator lamp.</w:t>
      </w:r>
    </w:p>
    <w:p w14:paraId="06CAA2DB" w14:textId="77777777" w:rsidR="009D69BD" w:rsidRPr="00C3153C" w:rsidRDefault="009D69BD" w:rsidP="009D69BD">
      <w:pPr>
        <w:autoSpaceDE w:val="0"/>
        <w:autoSpaceDN w:val="0"/>
        <w:adjustRightInd w:val="0"/>
        <w:spacing w:after="120"/>
        <w:ind w:left="2268" w:right="1134" w:hanging="1134"/>
        <w:jc w:val="both"/>
        <w:rPr>
          <w:i/>
        </w:rPr>
      </w:pPr>
      <w:r w:rsidRPr="0027265D">
        <w:rPr>
          <w:b/>
          <w:lang w:val="en-US"/>
        </w:rPr>
        <w:tab/>
      </w:r>
      <w:r w:rsidRPr="00C3153C">
        <w:rPr>
          <w:lang w:val="en-U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p>
    <w:p w14:paraId="26D66927" w14:textId="77777777" w:rsidR="009D69BD" w:rsidRPr="00124944" w:rsidRDefault="009D69BD" w:rsidP="009D69BD">
      <w:pPr>
        <w:spacing w:after="120"/>
        <w:ind w:left="2268" w:right="1467" w:hanging="1134"/>
        <w:jc w:val="both"/>
        <w:rPr>
          <w:rFonts w:eastAsia="Calibri"/>
        </w:rPr>
      </w:pPr>
      <w:r w:rsidRPr="00124944">
        <w:rPr>
          <w:rFonts w:eastAsia="Calibri"/>
          <w:i/>
        </w:rPr>
        <w:t>Paragraph 6.26.9.2.</w:t>
      </w:r>
      <w:r w:rsidRPr="00124944">
        <w:rPr>
          <w:rFonts w:eastAsia="Calibri"/>
        </w:rPr>
        <w:t>, amend to read:</w:t>
      </w:r>
    </w:p>
    <w:p w14:paraId="0A8CBC7C" w14:textId="77777777" w:rsidR="009D69BD" w:rsidRPr="00124944" w:rsidRDefault="009D69BD" w:rsidP="009D69BD">
      <w:pPr>
        <w:tabs>
          <w:tab w:val="left" w:pos="3445"/>
        </w:tabs>
        <w:spacing w:after="120"/>
        <w:ind w:left="2268" w:right="1467" w:hanging="1134"/>
        <w:jc w:val="both"/>
        <w:rPr>
          <w:rFonts w:eastAsia="Calibri"/>
        </w:rPr>
      </w:pPr>
      <w:r>
        <w:rPr>
          <w:rFonts w:eastAsia="Calibri"/>
        </w:rPr>
        <w:t>"</w:t>
      </w:r>
      <w:r w:rsidRPr="00124944">
        <w:rPr>
          <w:rFonts w:eastAsia="Calibri"/>
        </w:rPr>
        <w:t xml:space="preserve">6.26.9.2. </w:t>
      </w:r>
      <w:r w:rsidRPr="00124944">
        <w:rPr>
          <w:rFonts w:eastAsia="Calibri"/>
        </w:rPr>
        <w:tab/>
        <w:t xml:space="preserve">At the request of the applicant and with the consent of the Technical Service the requirement of 6.26.9.1 may be verified by a drawing or simulation or deemed be satisfied if the installation conditions comply with paragraph </w:t>
      </w:r>
      <w:r w:rsidRPr="00595374">
        <w:rPr>
          <w:rFonts w:eastAsia="Calibri"/>
        </w:rPr>
        <w:t>6.2.2.</w:t>
      </w:r>
      <w:r w:rsidRPr="00124944">
        <w:rPr>
          <w:rFonts w:eastAsia="Calibri"/>
        </w:rPr>
        <w:t xml:space="preserve"> of </w:t>
      </w:r>
      <w:r>
        <w:rPr>
          <w:rFonts w:eastAsia="Calibri"/>
        </w:rPr>
        <w:t xml:space="preserve">UN </w:t>
      </w:r>
      <w:r w:rsidRPr="00124944">
        <w:rPr>
          <w:rFonts w:eastAsia="Calibri"/>
        </w:rPr>
        <w:t xml:space="preserve">Regulation No. 23, as noticed in the communication document in Annex 1, paragraph 9. </w:t>
      </w:r>
      <w:r>
        <w:rPr>
          <w:rFonts w:eastAsia="Calibri"/>
        </w:rPr>
        <w:t>"</w:t>
      </w:r>
    </w:p>
    <w:p w14:paraId="26D13658" w14:textId="10456A27" w:rsidR="00CD683D" w:rsidRPr="00C54D45" w:rsidRDefault="009D69BD" w:rsidP="009D69BD">
      <w:pPr>
        <w:pStyle w:val="Bullet1G"/>
        <w:numPr>
          <w:ilvl w:val="0"/>
          <w:numId w:val="0"/>
        </w:numPr>
        <w:spacing w:before="240" w:after="0"/>
        <w:ind w:left="1134"/>
        <w:jc w:val="center"/>
        <w:rPr>
          <w:u w:val="single"/>
        </w:rPr>
      </w:pPr>
      <w:r>
        <w:rPr>
          <w:u w:val="single"/>
        </w:rPr>
        <w:tab/>
      </w:r>
      <w:r>
        <w:rPr>
          <w:u w:val="single"/>
        </w:rPr>
        <w:tab/>
      </w:r>
      <w:r>
        <w:rPr>
          <w:u w:val="single"/>
        </w:rPr>
        <w:tab/>
      </w:r>
    </w:p>
    <w:sectPr w:rsidR="00CD683D" w:rsidRPr="00C54D45"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35ABA1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271A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321D415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3612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4BF8793" w14:textId="77777777" w:rsidR="00A61C62" w:rsidRDefault="00A61C62" w:rsidP="00A61C62">
      <w:pPr>
        <w:pStyle w:val="FootnoteText"/>
      </w:pPr>
      <w:r>
        <w:tab/>
      </w:r>
      <w:r>
        <w:rPr>
          <w:rStyle w:val="FootnoteReference"/>
          <w:sz w:val="20"/>
        </w:rPr>
        <w:t>*</w:t>
      </w:r>
      <w:r>
        <w:rPr>
          <w:sz w:val="20"/>
        </w:rPr>
        <w:tab/>
      </w:r>
      <w:r>
        <w:t>Former titles of the Agreement:</w:t>
      </w:r>
    </w:p>
    <w:p w14:paraId="12C0DCA9" w14:textId="77777777" w:rsidR="00A61C62" w:rsidRDefault="00A61C62"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61C62" w:rsidRDefault="00A61C62"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343E840"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9871E9">
      <w:t>4</w:t>
    </w:r>
    <w:r w:rsidR="00002CD6">
      <w:t>7</w:t>
    </w:r>
    <w:r w:rsidRPr="00841EB5">
      <w:t>/Rev.</w:t>
    </w:r>
    <w:r w:rsidR="0053612C">
      <w:t>12</w:t>
    </w:r>
    <w:r w:rsidRPr="00841EB5">
      <w:t>/Amend.</w:t>
    </w:r>
    <w:r w:rsidR="009D69BD">
      <w:t>7</w:t>
    </w:r>
    <w:r>
      <w:br/>
    </w:r>
    <w:r w:rsidRPr="00D623A7">
      <w:t>E/ECE/TRANS/505</w:t>
    </w:r>
    <w:r w:rsidR="00CD683D">
      <w:t>/</w:t>
    </w:r>
    <w:r w:rsidR="00CD683D" w:rsidRPr="00841EB5">
      <w:t>Rev.</w:t>
    </w:r>
    <w:r w:rsidR="00CD683D">
      <w:t>1</w:t>
    </w:r>
    <w:r w:rsidR="00CD683D" w:rsidRPr="00841EB5">
      <w:t>/</w:t>
    </w:r>
    <w:r w:rsidR="009871E9" w:rsidRPr="00841EB5">
      <w:t>Add.</w:t>
    </w:r>
    <w:r w:rsidR="009871E9">
      <w:t>47</w:t>
    </w:r>
    <w:r w:rsidR="009871E9" w:rsidRPr="00841EB5">
      <w:t>/Rev.</w:t>
    </w:r>
    <w:r w:rsidR="0053612C">
      <w:t>12</w:t>
    </w:r>
    <w:r w:rsidR="009871E9" w:rsidRPr="00841EB5">
      <w:t>/Amend.</w:t>
    </w:r>
    <w:r w:rsidR="009D69BD">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C9F34B8" w:rsidR="00B701B3" w:rsidRDefault="000E12E4" w:rsidP="00776D12">
    <w:pPr>
      <w:pStyle w:val="Header"/>
      <w:jc w:val="right"/>
    </w:pPr>
    <w:r w:rsidRPr="00D623A7">
      <w:t>E/ECE/324</w:t>
    </w:r>
    <w:r>
      <w:t>/</w:t>
    </w:r>
    <w:r w:rsidRPr="00841EB5">
      <w:t>Rev.</w:t>
    </w:r>
    <w:r>
      <w:t>1</w:t>
    </w:r>
    <w:r w:rsidRPr="00841EB5">
      <w:t>/</w:t>
    </w:r>
    <w:r w:rsidR="009871E9" w:rsidRPr="00841EB5">
      <w:t>Add.</w:t>
    </w:r>
    <w:r w:rsidR="009871E9">
      <w:t>47</w:t>
    </w:r>
    <w:r w:rsidR="009871E9" w:rsidRPr="00841EB5">
      <w:t>/Rev.</w:t>
    </w:r>
    <w:r w:rsidR="0053612C">
      <w:t>12</w:t>
    </w:r>
    <w:r w:rsidR="009871E9" w:rsidRPr="00841EB5">
      <w:t>/Amend.</w:t>
    </w:r>
    <w:r w:rsidR="009D69BD">
      <w:t>7</w:t>
    </w:r>
    <w:r>
      <w:br/>
    </w:r>
    <w:r w:rsidRPr="00D623A7">
      <w:t>E/ECE/TRANS/505</w:t>
    </w:r>
    <w:r>
      <w:t>/</w:t>
    </w:r>
    <w:r w:rsidRPr="00841EB5">
      <w:t>Rev.</w:t>
    </w:r>
    <w:r>
      <w:t>1</w:t>
    </w:r>
    <w:r w:rsidRPr="00841EB5">
      <w:t>/</w:t>
    </w:r>
    <w:r w:rsidR="009871E9" w:rsidRPr="00841EB5">
      <w:t>Add.</w:t>
    </w:r>
    <w:r w:rsidR="009871E9">
      <w:t>47</w:t>
    </w:r>
    <w:r w:rsidR="009871E9" w:rsidRPr="00841EB5">
      <w:t>/Rev.</w:t>
    </w:r>
    <w:r w:rsidR="0053612C">
      <w:t>12</w:t>
    </w:r>
    <w:r w:rsidR="009871E9" w:rsidRPr="00841EB5">
      <w:t>/Amend.</w:t>
    </w:r>
    <w:r w:rsidR="009D69BD">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3016B3"/>
    <w:rsid w:val="003107FA"/>
    <w:rsid w:val="00312E48"/>
    <w:rsid w:val="003229D8"/>
    <w:rsid w:val="00326BE4"/>
    <w:rsid w:val="0033745A"/>
    <w:rsid w:val="00341C91"/>
    <w:rsid w:val="003852F5"/>
    <w:rsid w:val="0039277A"/>
    <w:rsid w:val="003972E0"/>
    <w:rsid w:val="003C2CC4"/>
    <w:rsid w:val="003C3936"/>
    <w:rsid w:val="003D4B23"/>
    <w:rsid w:val="003F1ED3"/>
    <w:rsid w:val="004325CB"/>
    <w:rsid w:val="00440758"/>
    <w:rsid w:val="00445C26"/>
    <w:rsid w:val="00446DE4"/>
    <w:rsid w:val="004A41CA"/>
    <w:rsid w:val="004E3FEB"/>
    <w:rsid w:val="004F533F"/>
    <w:rsid w:val="00503228"/>
    <w:rsid w:val="00505384"/>
    <w:rsid w:val="005053C5"/>
    <w:rsid w:val="00515F12"/>
    <w:rsid w:val="005271A5"/>
    <w:rsid w:val="0053612C"/>
    <w:rsid w:val="005420F2"/>
    <w:rsid w:val="005427D1"/>
    <w:rsid w:val="0054561B"/>
    <w:rsid w:val="00582B38"/>
    <w:rsid w:val="00582F8B"/>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7AD2"/>
    <w:rsid w:val="00963CBA"/>
    <w:rsid w:val="00974A8D"/>
    <w:rsid w:val="009871E9"/>
    <w:rsid w:val="00991261"/>
    <w:rsid w:val="009D69BD"/>
    <w:rsid w:val="009F3A17"/>
    <w:rsid w:val="00A1427D"/>
    <w:rsid w:val="00A41529"/>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54D45"/>
    <w:rsid w:val="00C711C7"/>
    <w:rsid w:val="00C71A58"/>
    <w:rsid w:val="00C745C3"/>
    <w:rsid w:val="00C84414"/>
    <w:rsid w:val="00CD683D"/>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A5D1D"/>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C54D45"/>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29</TotalTime>
  <Pages>4</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13</cp:revision>
  <cp:lastPrinted>2015-05-06T11:39:00Z</cp:lastPrinted>
  <dcterms:created xsi:type="dcterms:W3CDTF">2018-02-07T14:21:00Z</dcterms:created>
  <dcterms:modified xsi:type="dcterms:W3CDTF">2019-06-21T14:09:00Z</dcterms:modified>
</cp:coreProperties>
</file>