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8F016A" w:rsidRPr="008F016A" w:rsidTr="008F016A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8F016A" w:rsidRPr="008F016A" w:rsidRDefault="008F016A" w:rsidP="008F016A">
            <w:pPr>
              <w:jc w:val="right"/>
              <w:rPr>
                <w:lang w:val="en-US"/>
              </w:rPr>
            </w:pPr>
            <w:r w:rsidRPr="008F016A">
              <w:rPr>
                <w:sz w:val="40"/>
                <w:lang w:val="en-US"/>
              </w:rPr>
              <w:t>E</w:t>
            </w:r>
            <w:r w:rsidRPr="008F016A">
              <w:rPr>
                <w:lang w:val="en-US"/>
              </w:rPr>
              <w:t>/ECE/324/Rev.1/Add.47/Rev.12/Amend.5−</w:t>
            </w:r>
            <w:r w:rsidRPr="008F016A">
              <w:rPr>
                <w:sz w:val="40"/>
                <w:lang w:val="en-US"/>
              </w:rPr>
              <w:t>E</w:t>
            </w:r>
            <w:r w:rsidRPr="008F016A">
              <w:rPr>
                <w:lang w:val="en-US"/>
              </w:rPr>
              <w:t>/ECE/TRANS/505/Rev.1/Add.47/Rev.12/Amend.5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F016A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F016A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8F016A" w:rsidRDefault="008F016A" w:rsidP="008F016A">
            <w:pPr>
              <w:spacing w:line="240" w:lineRule="exact"/>
              <w:rPr>
                <w:lang w:val="en-US"/>
              </w:rPr>
            </w:pPr>
          </w:p>
          <w:p w:rsidR="008F016A" w:rsidRDefault="008F016A" w:rsidP="008F016A">
            <w:pPr>
              <w:spacing w:line="240" w:lineRule="exact"/>
              <w:rPr>
                <w:lang w:val="en-US"/>
              </w:rPr>
            </w:pPr>
          </w:p>
          <w:p w:rsidR="008F016A" w:rsidRDefault="008F016A" w:rsidP="008F016A">
            <w:pPr>
              <w:spacing w:line="240" w:lineRule="exact"/>
              <w:rPr>
                <w:lang w:val="en-US"/>
              </w:rPr>
            </w:pPr>
          </w:p>
          <w:p w:rsidR="008F016A" w:rsidRDefault="008F016A" w:rsidP="008F016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April 2018</w:t>
            </w:r>
          </w:p>
          <w:p w:rsidR="008F016A" w:rsidRPr="008D53B6" w:rsidRDefault="008F016A" w:rsidP="008F016A">
            <w:pPr>
              <w:spacing w:line="240" w:lineRule="exact"/>
              <w:rPr>
                <w:lang w:val="en-US"/>
              </w:rPr>
            </w:pPr>
          </w:p>
        </w:tc>
      </w:tr>
    </w:tbl>
    <w:p w:rsidR="008F016A" w:rsidRPr="00886230" w:rsidRDefault="008F016A" w:rsidP="008F016A">
      <w:pPr>
        <w:pStyle w:val="HChGR"/>
        <w:spacing w:before="240" w:after="120"/>
      </w:pPr>
      <w:r>
        <w:tab/>
      </w:r>
      <w:r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8F016A" w:rsidRPr="00886230" w:rsidRDefault="008F016A" w:rsidP="008F016A">
      <w:pPr>
        <w:pStyle w:val="H1GR"/>
        <w:spacing w:before="120" w:after="120" w:line="300" w:lineRule="exact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F016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8F016A" w:rsidRDefault="008F016A" w:rsidP="008F016A">
      <w:pPr>
        <w:pStyle w:val="SingleTxtGR"/>
      </w:pPr>
      <w:r>
        <w:t>(Пересмотр 3, включающий поправки, вступившие в силу 14 сентября 2017 года)</w:t>
      </w:r>
    </w:p>
    <w:p w:rsidR="008F016A" w:rsidRPr="008F016A" w:rsidRDefault="008F016A" w:rsidP="008F016A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016A" w:rsidRPr="00886230" w:rsidRDefault="008F016A" w:rsidP="008F016A">
      <w:pPr>
        <w:pStyle w:val="H1GR"/>
        <w:spacing w:before="240"/>
      </w:pPr>
      <w:r>
        <w:tab/>
      </w:r>
      <w:r>
        <w:tab/>
        <w:t>Добавление 47 – Правила № 48 ООН</w:t>
      </w:r>
    </w:p>
    <w:p w:rsidR="008F016A" w:rsidRPr="00886230" w:rsidRDefault="008F016A" w:rsidP="008F016A">
      <w:pPr>
        <w:pStyle w:val="H1GR"/>
        <w:spacing w:before="120"/>
      </w:pPr>
      <w:r>
        <w:tab/>
      </w:r>
      <w:r>
        <w:tab/>
        <w:t>Пересмотр 12 – Поправка 5</w:t>
      </w:r>
    </w:p>
    <w:p w:rsidR="008F016A" w:rsidRPr="00886230" w:rsidRDefault="008F016A" w:rsidP="008F016A">
      <w:pPr>
        <w:pStyle w:val="SingleTxtGR"/>
        <w:rPr>
          <w:spacing w:val="-2"/>
        </w:rPr>
      </w:pPr>
      <w:r>
        <w:t>Дополнение 9 к поправкам серии 06 − Дата вступления в силу: 10 февраля 2018 года</w:t>
      </w:r>
    </w:p>
    <w:p w:rsidR="008F016A" w:rsidRPr="00041AFA" w:rsidRDefault="008F016A" w:rsidP="008F016A">
      <w:pPr>
        <w:pStyle w:val="H1GR"/>
        <w:spacing w:before="120"/>
      </w:pPr>
      <w:r>
        <w:tab/>
      </w:r>
      <w:r>
        <w:tab/>
        <w:t xml:space="preserve">Единообразные предписания, касающиеся официального </w:t>
      </w:r>
      <w:r w:rsidRPr="00102B09">
        <w:t xml:space="preserve">утверждения транспортных средств </w:t>
      </w:r>
      <w:r>
        <w:t xml:space="preserve">в отношении установки </w:t>
      </w:r>
      <w:r w:rsidRPr="00041AFA">
        <w:t>устройств освещения</w:t>
      </w:r>
      <w:r>
        <w:t xml:space="preserve"> </w:t>
      </w:r>
      <w:r w:rsidRPr="00041AFA">
        <w:t>и световой сигнализации</w:t>
      </w:r>
    </w:p>
    <w:p w:rsidR="008F016A" w:rsidRPr="00886230" w:rsidRDefault="008F016A" w:rsidP="00CF4D5D">
      <w:pPr>
        <w:pStyle w:val="SingleTxtGR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ECE/TRANS/WP.29/2017/79.</w:t>
      </w:r>
    </w:p>
    <w:p w:rsidR="008F016A" w:rsidRPr="008F016A" w:rsidRDefault="00CF4D5D" w:rsidP="00CF4D5D">
      <w:pPr>
        <w:pStyle w:val="SingleTxtGR"/>
        <w:spacing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2" w:name="_GoBack"/>
      <w:bookmarkEnd w:id="2"/>
      <w:r w:rsidR="008F016A"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76B7E663" wp14:editId="080E5F4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16A" w:rsidRPr="002A605E" w:rsidRDefault="008F016A" w:rsidP="002A605E">
      <w:pPr>
        <w:pStyle w:val="SingleTxtGR"/>
        <w:spacing w:after="0"/>
        <w:jc w:val="center"/>
      </w:pPr>
      <w:r w:rsidRPr="008F016A">
        <w:rPr>
          <w:b/>
        </w:rPr>
        <w:t>ОРГАНИЗАЦИЯ ОБЪЕДИНЕННЫХ НАЦИЙ</w:t>
      </w:r>
      <w:r>
        <w:br w:type="page"/>
      </w:r>
    </w:p>
    <w:p w:rsidR="008F016A" w:rsidRPr="00777C5D" w:rsidRDefault="008F016A" w:rsidP="008F016A">
      <w:pPr>
        <w:pStyle w:val="SingleTxtGR"/>
      </w:pPr>
      <w:r w:rsidRPr="00777C5D">
        <w:rPr>
          <w:i/>
          <w:iCs/>
        </w:rPr>
        <w:lastRenderedPageBreak/>
        <w:t xml:space="preserve">Включить новый пункт 5.30 </w:t>
      </w:r>
      <w:r w:rsidRPr="00777C5D">
        <w:t>следующего содержания: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777C5D">
        <w:t>«5.30</w:t>
      </w:r>
      <w:r w:rsidRPr="00777C5D">
        <w:tab/>
        <w:t>Все огни (устройства) в случае их установки на транспортном средстве должны, если это применимо, быт</w:t>
      </w:r>
      <w:r w:rsidR="00CF4D5D">
        <w:t>ь официально утверждены по типу </w:t>
      </w:r>
      <w:r w:rsidRPr="00777C5D">
        <w:t>конструкции на основании правил</w:t>
      </w:r>
      <w:r>
        <w:t xml:space="preserve"> ООН</w:t>
      </w:r>
      <w:r w:rsidRPr="00777C5D">
        <w:t>, касающихся соответствующих устройств, как это указано в подпунктах пункта 6 настоящих Правил».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777C5D">
        <w:rPr>
          <w:i/>
          <w:iCs/>
        </w:rPr>
        <w:t>Включить новый пункт 5.31</w:t>
      </w:r>
      <w:r w:rsidRPr="00777C5D">
        <w:t xml:space="preserve"> следующего содержания: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777C5D">
        <w:t>«5.31</w:t>
      </w:r>
      <w:r w:rsidRPr="00777C5D">
        <w:tab/>
        <w:t>Устанавливаемые на транспортном средстве огни, которые были официально утверждены на основании настоящих Правил и официально утверждены для одной или нескольких категорий сменных источников света на основании правил № 37, 99 или 128</w:t>
      </w:r>
      <w:r>
        <w:t xml:space="preserve"> ООН</w:t>
      </w:r>
      <w:r w:rsidRPr="00777C5D">
        <w:t xml:space="preserve">, должны быть оборудованы только источниками света, официально утвержденными в соответствии с этими категориями источников света. 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i/>
        </w:rPr>
      </w:pPr>
      <w:r w:rsidRPr="001C3B57">
        <w:tab/>
      </w:r>
      <w:r w:rsidRPr="00777C5D">
        <w:t>Это требование не относится к модулям источника света, модулям СИД и несменным источникам света, за исключением случаев, когда они должны быть в обязательном порядке официально утверждены на основании применимых правил</w:t>
      </w:r>
      <w:r>
        <w:t xml:space="preserve"> ООН</w:t>
      </w:r>
      <w:r w:rsidRPr="00777C5D">
        <w:t>».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777C5D">
        <w:rPr>
          <w:i/>
          <w:iCs/>
        </w:rPr>
        <w:t>Пункт 6.5.7</w:t>
      </w:r>
      <w:r w:rsidRPr="00777C5D">
        <w:t xml:space="preserve"> изменить следующим образом: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777C5D">
        <w:t>«6.5.7</w:t>
      </w:r>
      <w:r w:rsidRPr="00777C5D">
        <w:tab/>
        <w:t>Электрические соединения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1C3B57">
        <w:tab/>
      </w:r>
      <w:r w:rsidRPr="00777C5D">
        <w:t>Включение указателей поворота производится независимо от включения</w:t>
      </w:r>
      <w:r w:rsidR="002A605E">
        <w:rPr>
          <w:lang w:val="en-US"/>
        </w:rPr>
        <w:t> </w:t>
      </w:r>
      <w:r w:rsidRPr="00777C5D">
        <w:t xml:space="preserve">других огней. Все указатели поворота, </w:t>
      </w:r>
      <w:r w:rsidR="00CF4D5D">
        <w:t>расположенные на одной и той</w:t>
      </w:r>
      <w:r w:rsidR="002A605E" w:rsidRPr="002A605E">
        <w:t xml:space="preserve"> </w:t>
      </w:r>
      <w:r w:rsidR="00CF4D5D">
        <w:t>же</w:t>
      </w:r>
      <w:r w:rsidR="002A605E" w:rsidRPr="002A605E">
        <w:t xml:space="preserve"> </w:t>
      </w:r>
      <w:r w:rsidRPr="00777C5D">
        <w:t xml:space="preserve">стороне транспортного средства, </w:t>
      </w:r>
      <w:r w:rsidR="002A605E">
        <w:t xml:space="preserve">должны включаться и выключаться </w:t>
      </w:r>
      <w:r w:rsidRPr="00777C5D">
        <w:t>одним и тем же устройством и работать в мигающем режиме в одной фазе.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1C3B57">
        <w:tab/>
      </w:r>
      <w:r w:rsidRPr="00777C5D">
        <w:t>На транспортных средствах категорий М</w:t>
      </w:r>
      <w:r w:rsidRPr="00777C5D">
        <w:rPr>
          <w:vertAlign w:val="subscript"/>
        </w:rPr>
        <w:t>1</w:t>
      </w:r>
      <w:r w:rsidRPr="00777C5D">
        <w:t xml:space="preserve"> и N</w:t>
      </w:r>
      <w:r w:rsidRPr="00777C5D">
        <w:rPr>
          <w:vertAlign w:val="subscript"/>
        </w:rPr>
        <w:t>1</w:t>
      </w:r>
      <w:r w:rsidRPr="00777C5D">
        <w:t xml:space="preserve"> длиной менее 6</w:t>
      </w:r>
      <w:r w:rsidR="00CF4D5D" w:rsidRPr="00CF4D5D">
        <w:t xml:space="preserve"> </w:t>
      </w:r>
      <w:r w:rsidRPr="00777C5D">
        <w:t>м, соответствующих требованиям пункта 6.5.5.2 выше, боковые габаритные огни автожелтого цвета, если таковые установлены, должны работать в мигающем режиме с такой же частотой (в одной фазе), с какой включаются огни указателей поворота.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1C3B57">
        <w:tab/>
      </w:r>
      <w:r w:rsidRPr="00777C5D">
        <w:t xml:space="preserve">Указатель поворота, который может быть активирован в различных режимах (статическом или последовательном), не должен переключаться между этими двумя режимами после активации. 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1C3B57">
        <w:tab/>
      </w:r>
      <w:r w:rsidRPr="00777C5D">
        <w:t>Если на транспортных средствах категорий M</w:t>
      </w:r>
      <w:r w:rsidRPr="00777C5D">
        <w:rPr>
          <w:vertAlign w:val="subscript"/>
        </w:rPr>
        <w:t>2</w:t>
      </w:r>
      <w:r w:rsidRPr="00777C5D">
        <w:t>, M</w:t>
      </w:r>
      <w:r w:rsidRPr="00777C5D">
        <w:rPr>
          <w:vertAlign w:val="subscript"/>
        </w:rPr>
        <w:t>3</w:t>
      </w:r>
      <w:r w:rsidRPr="00777C5D">
        <w:t>, N</w:t>
      </w:r>
      <w:r w:rsidRPr="00777C5D">
        <w:rPr>
          <w:vertAlign w:val="subscript"/>
        </w:rPr>
        <w:t>2</w:t>
      </w:r>
      <w:r w:rsidRPr="00777C5D">
        <w:t xml:space="preserve"> и N</w:t>
      </w:r>
      <w:r w:rsidRPr="00777C5D">
        <w:rPr>
          <w:vertAlign w:val="subscript"/>
        </w:rPr>
        <w:t xml:space="preserve">3 </w:t>
      </w:r>
      <w:r w:rsidRPr="00777C5D">
        <w:t>установлены два факультативных огня (категории 2а или 2b), то они должны функционировать в том же режиме, что и другие обязательные задние указатели поворота (категории 2a или 2b), т.</w:t>
      </w:r>
      <w:r w:rsidR="002A605E">
        <w:rPr>
          <w:lang w:val="en-US"/>
        </w:rPr>
        <w:t> </w:t>
      </w:r>
      <w:r w:rsidRPr="00777C5D">
        <w:t>е. в статическом или последовательном режиме</w:t>
      </w:r>
      <w:r>
        <w:t>»</w:t>
      </w:r>
      <w:r w:rsidRPr="00777C5D">
        <w:t xml:space="preserve">. 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777C5D">
        <w:rPr>
          <w:i/>
          <w:iCs/>
        </w:rPr>
        <w:t>Пункт 6.6.1</w:t>
      </w:r>
      <w:r w:rsidRPr="00777C5D">
        <w:t xml:space="preserve"> изменить следующим образом: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777C5D">
        <w:t>«6.6.1</w:t>
      </w:r>
      <w:r w:rsidRPr="00777C5D">
        <w:tab/>
        <w:t>Установка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1C3B57">
        <w:tab/>
      </w:r>
      <w:r w:rsidRPr="00777C5D">
        <w:t>Обязательна.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1C3B57">
        <w:tab/>
      </w:r>
      <w:r w:rsidRPr="00777C5D">
        <w:t>Сигнал функционирует в результате одновременной работы указателей поворота, соответствующих требованиям пункта 6.5 выше.</w:t>
      </w:r>
    </w:p>
    <w:p w:rsidR="008F016A" w:rsidRPr="00777C5D" w:rsidRDefault="008F016A" w:rsidP="008F016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1C3B57">
        <w:tab/>
      </w:r>
      <w:r w:rsidRPr="00777C5D">
        <w:t>Все указатели поворота категории 1 (1, 1a, 1b), активированные одновременно, работают в одном и том же режиме, т.</w:t>
      </w:r>
      <w:r w:rsidR="002A605E">
        <w:rPr>
          <w:lang w:val="en-US"/>
        </w:rPr>
        <w:t> </w:t>
      </w:r>
      <w:r w:rsidRPr="00777C5D">
        <w:t xml:space="preserve">е. в статическом или последовательном режиме. </w:t>
      </w:r>
    </w:p>
    <w:p w:rsidR="008F016A" w:rsidRDefault="008F016A" w:rsidP="00CF4D5D">
      <w:pPr>
        <w:pStyle w:val="SingleTxtGR"/>
        <w:pageBreakBefore/>
        <w:ind w:left="1985"/>
      </w:pPr>
      <w:r w:rsidRPr="00777C5D">
        <w:lastRenderedPageBreak/>
        <w:t>Все указатели поворота категории 2 (2a, 2b), активированные одновременно, работают в одном и том же режиме, т.</w:t>
      </w:r>
      <w:r w:rsidR="00CF4D5D">
        <w:rPr>
          <w:lang w:val="en-US"/>
        </w:rPr>
        <w:t> </w:t>
      </w:r>
      <w:r w:rsidRPr="00777C5D">
        <w:t>е. в статическом или последовательном режиме».</w:t>
      </w:r>
    </w:p>
    <w:p w:rsidR="00E12C5F" w:rsidRPr="00CF4D5D" w:rsidRDefault="00CF4D5D" w:rsidP="00CF4D5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F4D5D" w:rsidSect="008F01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EC" w:rsidRPr="00A312BC" w:rsidRDefault="00F716EC" w:rsidP="00A312BC"/>
  </w:endnote>
  <w:endnote w:type="continuationSeparator" w:id="0">
    <w:p w:rsidR="00F716EC" w:rsidRPr="00A312BC" w:rsidRDefault="00F716E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6A" w:rsidRPr="008F016A" w:rsidRDefault="008F016A">
    <w:pPr>
      <w:pStyle w:val="a8"/>
    </w:pPr>
    <w:r w:rsidRPr="008F016A">
      <w:rPr>
        <w:b/>
        <w:sz w:val="18"/>
      </w:rPr>
      <w:fldChar w:fldCharType="begin"/>
    </w:r>
    <w:r w:rsidRPr="008F016A">
      <w:rPr>
        <w:b/>
        <w:sz w:val="18"/>
      </w:rPr>
      <w:instrText xml:space="preserve"> PAGE  \* MERGEFORMAT </w:instrText>
    </w:r>
    <w:r w:rsidRPr="008F016A">
      <w:rPr>
        <w:b/>
        <w:sz w:val="18"/>
      </w:rPr>
      <w:fldChar w:fldCharType="separate"/>
    </w:r>
    <w:r w:rsidR="00F67C6B">
      <w:rPr>
        <w:b/>
        <w:noProof/>
        <w:sz w:val="18"/>
      </w:rPr>
      <w:t>2</w:t>
    </w:r>
    <w:r w:rsidRPr="008F016A">
      <w:rPr>
        <w:b/>
        <w:sz w:val="18"/>
      </w:rPr>
      <w:fldChar w:fldCharType="end"/>
    </w:r>
    <w:r>
      <w:rPr>
        <w:b/>
        <w:sz w:val="18"/>
      </w:rPr>
      <w:tab/>
    </w:r>
    <w:r>
      <w:t>GE.18-06677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6A" w:rsidRPr="008F016A" w:rsidRDefault="008F016A" w:rsidP="008F016A">
    <w:pPr>
      <w:pStyle w:val="a8"/>
      <w:tabs>
        <w:tab w:val="clear" w:pos="9639"/>
        <w:tab w:val="right" w:pos="9638"/>
      </w:tabs>
      <w:rPr>
        <w:b/>
        <w:sz w:val="18"/>
      </w:rPr>
    </w:pPr>
    <w:r>
      <w:t>GE.18-06677</w:t>
    </w:r>
    <w:r>
      <w:tab/>
    </w:r>
    <w:r w:rsidRPr="008F016A">
      <w:rPr>
        <w:b/>
        <w:sz w:val="18"/>
      </w:rPr>
      <w:fldChar w:fldCharType="begin"/>
    </w:r>
    <w:r w:rsidRPr="008F016A">
      <w:rPr>
        <w:b/>
        <w:sz w:val="18"/>
      </w:rPr>
      <w:instrText xml:space="preserve"> PAGE  \* MERGEFORMAT </w:instrText>
    </w:r>
    <w:r w:rsidRPr="008F016A">
      <w:rPr>
        <w:b/>
        <w:sz w:val="18"/>
      </w:rPr>
      <w:fldChar w:fldCharType="separate"/>
    </w:r>
    <w:r w:rsidR="00F67C6B">
      <w:rPr>
        <w:b/>
        <w:noProof/>
        <w:sz w:val="18"/>
      </w:rPr>
      <w:t>3</w:t>
    </w:r>
    <w:r w:rsidRPr="008F01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F016A" w:rsidRDefault="008F016A" w:rsidP="008F016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06677  (</w:t>
    </w:r>
    <w:proofErr w:type="gramEnd"/>
    <w:r>
      <w:t>R)</w:t>
    </w:r>
    <w:r w:rsidR="00052677">
      <w:rPr>
        <w:lang w:val="en-US"/>
      </w:rPr>
      <w:t xml:space="preserve">  090518  10</w:t>
    </w:r>
    <w:r w:rsidR="00CF4D5D">
      <w:rPr>
        <w:lang w:val="en-US"/>
      </w:rPr>
      <w:t>0518</w:t>
    </w:r>
    <w:r>
      <w:br/>
    </w:r>
    <w:r w:rsidRPr="008F016A">
      <w:rPr>
        <w:rFonts w:ascii="C39T30Lfz" w:hAnsi="C39T30Lfz"/>
        <w:kern w:val="14"/>
        <w:sz w:val="56"/>
      </w:rPr>
      <w:t></w:t>
    </w:r>
    <w:r w:rsidRPr="008F016A">
      <w:rPr>
        <w:rFonts w:ascii="C39T30Lfz" w:hAnsi="C39T30Lfz"/>
        <w:kern w:val="14"/>
        <w:sz w:val="56"/>
      </w:rPr>
      <w:t></w:t>
    </w:r>
    <w:r w:rsidRPr="008F016A">
      <w:rPr>
        <w:rFonts w:ascii="C39T30Lfz" w:hAnsi="C39T30Lfz"/>
        <w:kern w:val="14"/>
        <w:sz w:val="56"/>
      </w:rPr>
      <w:t></w:t>
    </w:r>
    <w:r w:rsidRPr="008F016A">
      <w:rPr>
        <w:rFonts w:ascii="C39T30Lfz" w:hAnsi="C39T30Lfz"/>
        <w:kern w:val="14"/>
        <w:sz w:val="56"/>
      </w:rPr>
      <w:t></w:t>
    </w:r>
    <w:r w:rsidRPr="008F016A">
      <w:rPr>
        <w:rFonts w:ascii="C39T30Lfz" w:hAnsi="C39T30Lfz"/>
        <w:kern w:val="14"/>
        <w:sz w:val="56"/>
      </w:rPr>
      <w:t></w:t>
    </w:r>
    <w:r w:rsidRPr="008F016A">
      <w:rPr>
        <w:rFonts w:ascii="C39T30Lfz" w:hAnsi="C39T30Lfz"/>
        <w:kern w:val="14"/>
        <w:sz w:val="56"/>
      </w:rPr>
      <w:t></w:t>
    </w:r>
    <w:r w:rsidRPr="008F016A">
      <w:rPr>
        <w:rFonts w:ascii="C39T30Lfz" w:hAnsi="C39T30Lfz"/>
        <w:kern w:val="14"/>
        <w:sz w:val="56"/>
      </w:rPr>
      <w:t></w:t>
    </w:r>
    <w:r w:rsidRPr="008F016A">
      <w:rPr>
        <w:rFonts w:ascii="C39T30Lfz" w:hAnsi="C39T30Lfz"/>
        <w:kern w:val="14"/>
        <w:sz w:val="56"/>
      </w:rPr>
      <w:t></w:t>
    </w:r>
    <w:r w:rsidRPr="008F016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7/Rev.12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7/Rev.12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EC" w:rsidRPr="001075E9" w:rsidRDefault="00F716E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16EC" w:rsidRDefault="00F716E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F016A" w:rsidRPr="008F016A" w:rsidRDefault="008F016A" w:rsidP="008F016A">
      <w:pPr>
        <w:pStyle w:val="ad"/>
      </w:pPr>
      <w:r>
        <w:tab/>
      </w:r>
      <w:r w:rsidRPr="008F016A">
        <w:rPr>
          <w:rStyle w:val="aa"/>
          <w:sz w:val="20"/>
          <w:vertAlign w:val="baseline"/>
        </w:rPr>
        <w:t>*</w:t>
      </w:r>
      <w:r w:rsidRPr="008F016A">
        <w:rPr>
          <w:rStyle w:val="aa"/>
          <w:vertAlign w:val="baseline"/>
        </w:rPr>
        <w:tab/>
      </w:r>
      <w:r w:rsidRPr="008F016A">
        <w:t>Прежние названия Соглашения:</w:t>
      </w:r>
    </w:p>
    <w:p w:rsidR="008F016A" w:rsidRPr="008F016A" w:rsidRDefault="008F016A" w:rsidP="008F016A">
      <w:pPr>
        <w:pStyle w:val="ad"/>
      </w:pPr>
      <w:r w:rsidRPr="008F016A">
        <w:tab/>
      </w:r>
      <w:r w:rsidRPr="008F016A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8F016A" w:rsidRPr="00CF4D5D" w:rsidRDefault="008F016A" w:rsidP="008F016A">
      <w:pPr>
        <w:pStyle w:val="ad"/>
        <w:rPr>
          <w:sz w:val="20"/>
        </w:rPr>
      </w:pPr>
      <w:r w:rsidRPr="008F016A">
        <w:tab/>
      </w:r>
      <w:r w:rsidRPr="008F016A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CF4D5D">
        <w:t>едписаний, совершено в Женеве 5 </w:t>
      </w:r>
      <w:r w:rsidRPr="008F016A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6A" w:rsidRDefault="00F67C6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E/ECE/324/Rev.1/Add.47/Rev.12/Amend.5</w:t>
    </w:r>
    <w:r>
      <w:fldChar w:fldCharType="end"/>
    </w:r>
    <w:r w:rsidR="00CF4D5D">
      <w:br/>
    </w:r>
    <w:r w:rsidR="002A605E" w:rsidRPr="00CF4D5D">
      <w:t>E/ECE/TRANS/505/Rev.1/Add.47/Rev.12/Amend.5</w:t>
    </w:r>
  </w:p>
  <w:p w:rsidR="00CF4D5D" w:rsidRPr="00CF4D5D" w:rsidRDefault="00CF4D5D" w:rsidP="00CF4D5D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6A" w:rsidRDefault="00F67C6B" w:rsidP="008F016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E/ECE/324/Rev.1/Add.47/Rev.12/Amend.5</w:t>
    </w:r>
    <w:r>
      <w:fldChar w:fldCharType="end"/>
    </w:r>
    <w:r w:rsidR="002A605E">
      <w:br/>
    </w:r>
    <w:r w:rsidR="002A605E" w:rsidRPr="00CF4D5D">
      <w:t>E/ECE/TRANS/505/Rev.1/Add.47/Rev.12/Amend.5</w:t>
    </w:r>
  </w:p>
  <w:p w:rsidR="002A605E" w:rsidRPr="002A605E" w:rsidRDefault="002A605E" w:rsidP="002A605E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EC"/>
    <w:rsid w:val="00033EE1"/>
    <w:rsid w:val="00042B72"/>
    <w:rsid w:val="00052677"/>
    <w:rsid w:val="000558BD"/>
    <w:rsid w:val="000B57E7"/>
    <w:rsid w:val="000B6373"/>
    <w:rsid w:val="000B63C8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605E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016A"/>
    <w:rsid w:val="008F7609"/>
    <w:rsid w:val="00906890"/>
    <w:rsid w:val="00911BE4"/>
    <w:rsid w:val="00951972"/>
    <w:rsid w:val="009608F3"/>
    <w:rsid w:val="009A24AC"/>
    <w:rsid w:val="009B3195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3FB0"/>
    <w:rsid w:val="00C60F0C"/>
    <w:rsid w:val="00C805C9"/>
    <w:rsid w:val="00C92939"/>
    <w:rsid w:val="00CA1679"/>
    <w:rsid w:val="00CB151C"/>
    <w:rsid w:val="00CE5A1A"/>
    <w:rsid w:val="00CF4D5D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7C6B"/>
    <w:rsid w:val="00F716E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53FF9"/>
  <w15:docId w15:val="{1473F1B6-03BA-4FA4-935D-83D0F683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qFormat/>
    <w:rsid w:val="008F016A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a"/>
    <w:next w:val="a"/>
    <w:link w:val="HChGChar"/>
    <w:qFormat/>
    <w:rsid w:val="008F016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link w:val="H1GChar"/>
    <w:qFormat/>
    <w:rsid w:val="008F016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8F016A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8F016A"/>
    <w:rPr>
      <w:lang w:val="en-GB" w:eastAsia="en-US"/>
    </w:rPr>
  </w:style>
  <w:style w:type="character" w:customStyle="1" w:styleId="HChGChar">
    <w:name w:val="_ H _Ch_G Char"/>
    <w:link w:val="HChG"/>
    <w:rsid w:val="008F016A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471</Words>
  <Characters>3165</Characters>
  <Application>Microsoft Office Word</Application>
  <DocSecurity>0</DocSecurity>
  <Lines>79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E/ECE/324/Rev.1/Add.47/Rev.12/Amend.5</vt:lpstr>
      <vt:lpstr>A/</vt:lpstr>
      <vt:lpstr>A/</vt:lpstr>
    </vt:vector>
  </TitlesOfParts>
  <Company>DCM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E/ECE/324/Rev.1/Add.47/Rev.12/Amend.5</dc:title>
  <dc:subject/>
  <dc:creator>Elena IZOTOVA</dc:creator>
  <cp:keywords/>
  <cp:lastModifiedBy>Elena Izotova</cp:lastModifiedBy>
  <cp:revision>3</cp:revision>
  <cp:lastPrinted>2018-05-10T08:32:00Z</cp:lastPrinted>
  <dcterms:created xsi:type="dcterms:W3CDTF">2018-05-10T08:32:00Z</dcterms:created>
  <dcterms:modified xsi:type="dcterms:W3CDTF">2018-05-10T08:33:00Z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