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D4FC2" w:rsidTr="00A27C92">
        <w:trPr>
          <w:trHeight w:hRule="exact" w:val="851"/>
        </w:trPr>
        <w:tc>
          <w:tcPr>
            <w:tcW w:w="9639" w:type="dxa"/>
            <w:gridSpan w:val="2"/>
            <w:tcBorders>
              <w:bottom w:val="single" w:sz="4" w:space="0" w:color="auto"/>
            </w:tcBorders>
            <w:shd w:val="clear" w:color="auto" w:fill="auto"/>
            <w:vAlign w:val="bottom"/>
          </w:tcPr>
          <w:p w:rsidR="001F4CF1" w:rsidRPr="002D4FC2" w:rsidRDefault="001F4CF1" w:rsidP="001F4CF1">
            <w:pPr>
              <w:jc w:val="right"/>
            </w:pPr>
            <w:bookmarkStart w:id="0" w:name="_GoBack"/>
            <w:bookmarkEnd w:id="0"/>
            <w:r w:rsidRPr="002D4FC2">
              <w:rPr>
                <w:sz w:val="40"/>
              </w:rPr>
              <w:t>E</w:t>
            </w:r>
            <w:r w:rsidRPr="002D4FC2">
              <w:t>/ECE/324/Rev.1/Add.38/Rev.2−</w:t>
            </w:r>
            <w:r w:rsidRPr="002D4FC2">
              <w:rPr>
                <w:sz w:val="40"/>
              </w:rPr>
              <w:t>E</w:t>
            </w:r>
            <w:r w:rsidRPr="002D4FC2">
              <w:t>/ECE/TRANS/505/Rev.1/Add.38/Rev.2</w:t>
            </w:r>
          </w:p>
        </w:tc>
      </w:tr>
      <w:tr w:rsidR="00421A10" w:rsidRPr="002D4FC2" w:rsidTr="00A27C92">
        <w:trPr>
          <w:trHeight w:hRule="exact" w:val="2835"/>
        </w:trPr>
        <w:tc>
          <w:tcPr>
            <w:tcW w:w="6804" w:type="dxa"/>
            <w:tcBorders>
              <w:top w:val="single" w:sz="4" w:space="0" w:color="auto"/>
              <w:bottom w:val="single" w:sz="12" w:space="0" w:color="auto"/>
            </w:tcBorders>
            <w:shd w:val="clear" w:color="auto" w:fill="auto"/>
          </w:tcPr>
          <w:p w:rsidR="00421A10" w:rsidRPr="002D4FC2"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rsidR="00421A10" w:rsidRPr="002D4FC2" w:rsidRDefault="001F4CF1" w:rsidP="001F4CF1">
            <w:pPr>
              <w:spacing w:before="480" w:line="240" w:lineRule="exact"/>
            </w:pPr>
            <w:r w:rsidRPr="002D4FC2">
              <w:t>24 janvier 2018</w:t>
            </w:r>
          </w:p>
        </w:tc>
      </w:tr>
    </w:tbl>
    <w:p w:rsidR="00991DBA" w:rsidRPr="002D4FC2" w:rsidRDefault="00D21F68" w:rsidP="00991DBA">
      <w:pPr>
        <w:pStyle w:val="HChG"/>
      </w:pPr>
      <w:r w:rsidRPr="002D4FC2">
        <w:tab/>
      </w:r>
      <w:r w:rsidR="00A362DF">
        <w:tab/>
      </w:r>
      <w:r w:rsidR="00991DBA" w:rsidRPr="002D4FC2">
        <w:t>Accord</w:t>
      </w:r>
      <w:bookmarkStart w:id="1" w:name="_Toc340666199"/>
      <w:bookmarkStart w:id="2" w:name="_Toc340745062"/>
      <w:bookmarkStart w:id="3" w:name="_Toc441498792"/>
      <w:bookmarkEnd w:id="1"/>
      <w:bookmarkEnd w:id="2"/>
      <w:bookmarkEnd w:id="3"/>
    </w:p>
    <w:p w:rsidR="00991DBA" w:rsidRPr="002D4FC2" w:rsidRDefault="00D21F68" w:rsidP="00991DBA">
      <w:pPr>
        <w:pStyle w:val="H1G"/>
      </w:pPr>
      <w:r w:rsidRPr="002D4FC2">
        <w:tab/>
      </w:r>
      <w:r w:rsidR="00675314">
        <w:tab/>
      </w:r>
      <w:r w:rsidR="00991DBA" w:rsidRPr="002D4FC2">
        <w:t>Concernant l</w:t>
      </w:r>
      <w:r w:rsidR="00BC0876" w:rsidRPr="002D4FC2">
        <w:t>’</w:t>
      </w:r>
      <w:r w:rsidR="00991DBA" w:rsidRPr="002D4FC2">
        <w:t>adoption de Règlements techniques harmonisés de l</w:t>
      </w:r>
      <w:r w:rsidR="00BC0876" w:rsidRPr="002D4FC2">
        <w:t>’</w:t>
      </w:r>
      <w:r w:rsidR="00991DBA" w:rsidRPr="002D4FC2">
        <w:t>ONU applicables aux véhicules à roues et aux équipements et pièces susceptibles d</w:t>
      </w:r>
      <w:r w:rsidR="00BC0876" w:rsidRPr="002D4FC2">
        <w:t>’</w:t>
      </w:r>
      <w:r w:rsidR="00991DBA" w:rsidRPr="002D4FC2">
        <w:t>être montés ou utilisés sur les véhicules à roues et les conditions de reconnaissance réciproque des homologations délivrées conformément à ces Règlements</w:t>
      </w:r>
      <w:r w:rsidR="00991DBA" w:rsidRPr="002D4FC2">
        <w:rPr>
          <w:b w:val="0"/>
          <w:sz w:val="20"/>
        </w:rPr>
        <w:footnoteReference w:customMarkFollows="1" w:id="2"/>
        <w:t>*</w:t>
      </w:r>
    </w:p>
    <w:p w:rsidR="00421A10" w:rsidRPr="002D4FC2" w:rsidRDefault="00991DBA" w:rsidP="00991DBA">
      <w:pPr>
        <w:pStyle w:val="SingleTxtG"/>
        <w:rPr>
          <w:b/>
          <w:sz w:val="24"/>
          <w:szCs w:val="24"/>
        </w:rPr>
      </w:pPr>
      <w:r w:rsidRPr="002D4FC2">
        <w:t>(Révision 3, comprenant les amendements entrés en vigueur le 14 septembre 2017)</w:t>
      </w:r>
    </w:p>
    <w:p w:rsidR="00421A10" w:rsidRPr="002D4FC2" w:rsidRDefault="0029791D" w:rsidP="0029791D">
      <w:pPr>
        <w:jc w:val="center"/>
      </w:pPr>
      <w:r w:rsidRPr="002D4FC2">
        <w:t>_______________</w:t>
      </w:r>
    </w:p>
    <w:p w:rsidR="00991DBA" w:rsidRPr="002D4FC2" w:rsidRDefault="00D21F68" w:rsidP="00452D54">
      <w:pPr>
        <w:pStyle w:val="H1G"/>
      </w:pPr>
      <w:r w:rsidRPr="002D4FC2">
        <w:tab/>
      </w:r>
      <w:r w:rsidR="00675314">
        <w:tab/>
      </w:r>
      <w:r w:rsidR="00991DBA" w:rsidRPr="002D4FC2">
        <w:t xml:space="preserve">Additif 38 − Règlement </w:t>
      </w:r>
      <w:r w:rsidR="006021F0" w:rsidRPr="002D4FC2">
        <w:rPr>
          <w:rFonts w:eastAsia="MS Mincho"/>
        </w:rPr>
        <w:t>n</w:t>
      </w:r>
      <w:r w:rsidR="006021F0" w:rsidRPr="002D4FC2">
        <w:rPr>
          <w:rFonts w:eastAsia="MS Mincho"/>
          <w:vertAlign w:val="superscript"/>
        </w:rPr>
        <w:t>o</w:t>
      </w:r>
      <w:r w:rsidR="006021F0" w:rsidRPr="002D4FC2">
        <w:t> </w:t>
      </w:r>
      <w:r w:rsidR="00991DBA" w:rsidRPr="002D4FC2">
        <w:t>39</w:t>
      </w:r>
    </w:p>
    <w:p w:rsidR="00991DBA" w:rsidRPr="002D4FC2" w:rsidRDefault="00D21F68" w:rsidP="00452D54">
      <w:pPr>
        <w:pStyle w:val="H1G"/>
      </w:pPr>
      <w:r w:rsidRPr="002D4FC2">
        <w:tab/>
      </w:r>
      <w:r w:rsidR="00675314">
        <w:tab/>
      </w:r>
      <w:r w:rsidR="00991DBA" w:rsidRPr="002D4FC2">
        <w:t>Révision 2</w:t>
      </w:r>
    </w:p>
    <w:p w:rsidR="00991DBA" w:rsidRPr="002D4FC2" w:rsidRDefault="00991DBA" w:rsidP="00E019E7">
      <w:pPr>
        <w:pStyle w:val="SingleTxtG"/>
        <w:spacing w:after="0"/>
      </w:pPr>
      <w:r w:rsidRPr="002D4FC2">
        <w:t>Rectificatif 1 à la Révision 1 − Date d</w:t>
      </w:r>
      <w:r w:rsidR="00BC0876" w:rsidRPr="002D4FC2">
        <w:t>’</w:t>
      </w:r>
      <w:r w:rsidRPr="002D4FC2">
        <w:t>entrée en vigueur</w:t>
      </w:r>
      <w:r w:rsidR="006021F0" w:rsidRPr="002D4FC2">
        <w:t> :</w:t>
      </w:r>
      <w:r w:rsidRPr="002D4FC2">
        <w:t xml:space="preserve"> 9 mars 2011</w:t>
      </w:r>
    </w:p>
    <w:p w:rsidR="00991DBA" w:rsidRPr="002D4FC2" w:rsidRDefault="00991DBA" w:rsidP="00452D54">
      <w:pPr>
        <w:pStyle w:val="SingleTxtG"/>
      </w:pPr>
      <w:r w:rsidRPr="002D4FC2">
        <w:t>Série 01 d</w:t>
      </w:r>
      <w:r w:rsidR="00BC0876" w:rsidRPr="002D4FC2">
        <w:t>’</w:t>
      </w:r>
      <w:r w:rsidRPr="002D4FC2">
        <w:t>amendements − Date d</w:t>
      </w:r>
      <w:r w:rsidR="00BC0876" w:rsidRPr="002D4FC2">
        <w:t>’</w:t>
      </w:r>
      <w:r w:rsidRPr="002D4FC2">
        <w:t>entrée en vigueur</w:t>
      </w:r>
      <w:r w:rsidR="006021F0" w:rsidRPr="002D4FC2">
        <w:t> :</w:t>
      </w:r>
      <w:r w:rsidRPr="002D4FC2">
        <w:t xml:space="preserve"> 18 juin 2016</w:t>
      </w:r>
    </w:p>
    <w:p w:rsidR="00991DBA" w:rsidRPr="002D4FC2" w:rsidRDefault="00D21F68" w:rsidP="00452D54">
      <w:pPr>
        <w:pStyle w:val="H1G"/>
      </w:pPr>
      <w:r w:rsidRPr="002D4FC2">
        <w:tab/>
      </w:r>
      <w:r w:rsidR="00675314">
        <w:tab/>
      </w:r>
      <w:r w:rsidR="00991DBA" w:rsidRPr="002D4FC2">
        <w:t>Prescriptions uniformes relatives à l</w:t>
      </w:r>
      <w:r w:rsidR="00BC0876" w:rsidRPr="002D4FC2">
        <w:t>’</w:t>
      </w:r>
      <w:r w:rsidR="00991DBA" w:rsidRPr="002D4FC2">
        <w:t>h</w:t>
      </w:r>
      <w:r w:rsidR="006021F0" w:rsidRPr="002D4FC2">
        <w:t>omologation des véhicules en ce </w:t>
      </w:r>
      <w:r w:rsidR="00991DBA" w:rsidRPr="002D4FC2">
        <w:t>qui concerne l</w:t>
      </w:r>
      <w:r w:rsidR="00BC0876" w:rsidRPr="002D4FC2">
        <w:t>’</w:t>
      </w:r>
      <w:r w:rsidR="00991DBA" w:rsidRPr="002D4FC2">
        <w:t>appareil indicateur de vitesse et le compteur kilométrique, y compris leur installation</w:t>
      </w:r>
    </w:p>
    <w:p w:rsidR="00BC0876" w:rsidRPr="002D4FC2" w:rsidRDefault="00452D54" w:rsidP="00452D54">
      <w:pPr>
        <w:pStyle w:val="SingleTxtG"/>
        <w:ind w:firstLine="567"/>
      </w:pPr>
      <w:r w:rsidRPr="002D4FC2">
        <w:rPr>
          <w:noProof/>
          <w:lang w:eastAsia="fr-CH"/>
        </w:rPr>
        <mc:AlternateContent>
          <mc:Choice Requires="wps">
            <w:drawing>
              <wp:anchor distT="0" distB="0" distL="114300" distR="114300" simplePos="0" relativeHeight="251646976" behindDoc="0" locked="0" layoutInCell="1" allowOverlap="1" wp14:anchorId="13405C66" wp14:editId="272565D6">
                <wp:simplePos x="0" y="0"/>
                <wp:positionH relativeFrom="margin">
                  <wp:posOffset>12526</wp:posOffset>
                </wp:positionH>
                <wp:positionV relativeFrom="margin">
                  <wp:posOffset>6419946</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36F6E" w:rsidRPr="0029791D" w:rsidRDefault="00436F6E" w:rsidP="00436F6E">
                            <w:pPr>
                              <w:ind w:left="1134" w:right="1134"/>
                              <w:jc w:val="center"/>
                            </w:pPr>
                            <w:r>
                              <w:t>_______________</w:t>
                            </w:r>
                          </w:p>
                          <w:p w:rsidR="00436F6E" w:rsidRDefault="00436F6E" w:rsidP="00436F6E">
                            <w:pPr>
                              <w:jc w:val="center"/>
                              <w:rPr>
                                <w:b/>
                                <w:bCs/>
                                <w:sz w:val="22"/>
                              </w:rPr>
                            </w:pPr>
                            <w:r>
                              <w:rPr>
                                <w:noProof/>
                                <w:lang w:eastAsia="fr-CH"/>
                              </w:rPr>
                              <w:drawing>
                                <wp:inline distT="0" distB="0" distL="0" distR="0" wp14:anchorId="75CFB935" wp14:editId="3D012DE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36F6E" w:rsidRDefault="00436F6E"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05C66" id="_x0000_t202" coordsize="21600,21600" o:spt="202" path="m,l,21600r21600,l21600,xe">
                <v:stroke joinstyle="miter"/>
                <v:path gradientshapeok="t" o:connecttype="rect"/>
              </v:shapetype>
              <v:shape id="Zone de texte 4" o:spid="_x0000_s1026" type="#_x0000_t202" style="position:absolute;left:0;text-align:left;margin-left:1pt;margin-top:505.5pt;width:481.9pt;height:90.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" stroked="f">
                <v:textbox inset="0,0,0,0">
                  <w:txbxContent>
                    <w:p w:rsidR="00436F6E" w:rsidRPr="0029791D" w:rsidRDefault="00436F6E" w:rsidP="00436F6E">
                      <w:pPr>
                        <w:ind w:left="1134" w:right="1134"/>
                        <w:jc w:val="center"/>
                      </w:pPr>
                      <w:r>
                        <w:t>_______________</w:t>
                      </w:r>
                    </w:p>
                    <w:p w:rsidR="00436F6E" w:rsidRDefault="00436F6E" w:rsidP="00436F6E">
                      <w:pPr>
                        <w:jc w:val="center"/>
                        <w:rPr>
                          <w:b/>
                          <w:bCs/>
                          <w:sz w:val="22"/>
                        </w:rPr>
                      </w:pPr>
                      <w:r>
                        <w:rPr>
                          <w:noProof/>
                          <w:lang w:eastAsia="fr-CH"/>
                        </w:rPr>
                        <w:drawing>
                          <wp:inline distT="0" distB="0" distL="0" distR="0" wp14:anchorId="75CFB935" wp14:editId="3D012DE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36F6E" w:rsidRDefault="00436F6E" w:rsidP="00C6525D">
                      <w:pPr>
                        <w:jc w:val="center"/>
                      </w:pPr>
                      <w:r w:rsidRPr="0029791D">
                        <w:rPr>
                          <w:b/>
                          <w:bCs/>
                          <w:sz w:val="24"/>
                          <w:szCs w:val="24"/>
                        </w:rPr>
                        <w:t>Nations Unies</w:t>
                      </w:r>
                    </w:p>
                  </w:txbxContent>
                </v:textbox>
                <w10:wrap anchorx="margin" anchory="margin"/>
              </v:shape>
            </w:pict>
          </mc:Fallback>
        </mc:AlternateContent>
      </w:r>
      <w:r w:rsidR="00991DBA" w:rsidRPr="002D4FC2">
        <w:t>Le présent document est communiqué uniquement à titre d</w:t>
      </w:r>
      <w:r w:rsidR="00BC0876" w:rsidRPr="002D4FC2">
        <w:t>’</w:t>
      </w:r>
      <w:r w:rsidR="00991DBA" w:rsidRPr="002D4FC2">
        <w:t>information. Le texte authentique, juridiquement contraignant, est celui des documents ECE/TRANS/WP.29/</w:t>
      </w:r>
      <w:r w:rsidRPr="002D4FC2">
        <w:t xml:space="preserve"> </w:t>
      </w:r>
      <w:r w:rsidR="00991DBA" w:rsidRPr="002D4FC2">
        <w:t>2011/39 et ECE/TRANS/WP.29/2015/83.</w:t>
      </w:r>
    </w:p>
    <w:p w:rsidR="001F4CF1" w:rsidRPr="002D4FC2" w:rsidRDefault="001F4CF1" w:rsidP="005F0207">
      <w:pPr>
        <w:sectPr w:rsidR="001F4CF1" w:rsidRPr="002D4FC2" w:rsidSect="001F4CF1">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rsidR="00C72C97" w:rsidRPr="002D4FC2" w:rsidRDefault="00C72C97" w:rsidP="00221939">
      <w:pPr>
        <w:pStyle w:val="HChG"/>
      </w:pPr>
      <w:bookmarkStart w:id="4" w:name="_Toc441498655"/>
      <w:bookmarkStart w:id="5" w:name="_Toc441498793"/>
      <w:r w:rsidRPr="002D4FC2">
        <w:lastRenderedPageBreak/>
        <w:t>Règlement n</w:t>
      </w:r>
      <w:r w:rsidRPr="002D4FC2">
        <w:rPr>
          <w:vertAlign w:val="superscript"/>
        </w:rPr>
        <w:t>o</w:t>
      </w:r>
      <w:r w:rsidRPr="002D4FC2">
        <w:t xml:space="preserve"> 39</w:t>
      </w:r>
      <w:bookmarkEnd w:id="4"/>
      <w:bookmarkEnd w:id="5"/>
    </w:p>
    <w:p w:rsidR="00C72C97" w:rsidRPr="002D4FC2" w:rsidRDefault="00D21F68" w:rsidP="00221939">
      <w:pPr>
        <w:pStyle w:val="HChG"/>
      </w:pPr>
      <w:r w:rsidRPr="002D4FC2">
        <w:tab/>
      </w:r>
      <w:r w:rsidR="00675314">
        <w:tab/>
      </w:r>
      <w:r w:rsidR="00C72C97" w:rsidRPr="002D4FC2">
        <w:t>Prescriptions uniformes relatives à l</w:t>
      </w:r>
      <w:r w:rsidR="00BC0876" w:rsidRPr="002D4FC2">
        <w:t>’</w:t>
      </w:r>
      <w:r w:rsidR="00221939" w:rsidRPr="002D4FC2">
        <w:t>homologation des </w:t>
      </w:r>
      <w:r w:rsidR="00C72C97" w:rsidRPr="002D4FC2">
        <w:t>véhicules en ce qui concerne l</w:t>
      </w:r>
      <w:r w:rsidR="00BC0876" w:rsidRPr="002D4FC2">
        <w:t>’</w:t>
      </w:r>
      <w:r w:rsidR="00221939" w:rsidRPr="002D4FC2">
        <w:t>appareil indicateur de </w:t>
      </w:r>
      <w:r w:rsidR="00C72C97" w:rsidRPr="002D4FC2">
        <w:t>vitesse et le compte</w:t>
      </w:r>
      <w:r w:rsidR="00221939" w:rsidRPr="002D4FC2">
        <w:t>ur kilométrique, y compris leur </w:t>
      </w:r>
      <w:r w:rsidR="00C72C97" w:rsidRPr="002D4FC2">
        <w:t>installation</w:t>
      </w:r>
      <w:bookmarkStart w:id="6" w:name="_Toc441498656"/>
      <w:bookmarkStart w:id="7" w:name="_Toc441498794"/>
      <w:bookmarkEnd w:id="6"/>
      <w:bookmarkEnd w:id="7"/>
    </w:p>
    <w:p w:rsidR="00221939" w:rsidRPr="002D4FC2" w:rsidRDefault="00221939" w:rsidP="00221939">
      <w:pPr>
        <w:spacing w:after="120"/>
        <w:rPr>
          <w:sz w:val="28"/>
        </w:rPr>
      </w:pPr>
      <w:r w:rsidRPr="002D4FC2">
        <w:rPr>
          <w:sz w:val="28"/>
        </w:rPr>
        <w:t>Table des matières</w:t>
      </w:r>
    </w:p>
    <w:p w:rsidR="00221939" w:rsidRPr="002D4FC2" w:rsidRDefault="00221939" w:rsidP="00221939">
      <w:pPr>
        <w:tabs>
          <w:tab w:val="right" w:pos="9638"/>
        </w:tabs>
        <w:spacing w:after="120"/>
        <w:ind w:left="283"/>
        <w:rPr>
          <w:i/>
          <w:sz w:val="18"/>
        </w:rPr>
      </w:pPr>
      <w:r w:rsidRPr="002D4FC2">
        <w:rPr>
          <w:i/>
          <w:sz w:val="18"/>
        </w:rPr>
        <w:tab/>
        <w:t>Page</w:t>
      </w:r>
    </w:p>
    <w:p w:rsidR="00675314" w:rsidRPr="00675314" w:rsidRDefault="00675314" w:rsidP="00675314">
      <w:pPr>
        <w:tabs>
          <w:tab w:val="right" w:pos="850"/>
          <w:tab w:val="right" w:leader="dot" w:pos="8787"/>
          <w:tab w:val="right" w:pos="9638"/>
        </w:tabs>
        <w:spacing w:after="120"/>
        <w:ind w:left="1134" w:hanging="1134"/>
      </w:pPr>
      <w:r w:rsidRPr="00675314">
        <w:tab/>
        <w:t>1.</w:t>
      </w:r>
      <w:r w:rsidRPr="00675314">
        <w:tab/>
        <w:t>Domaine d’application</w:t>
      </w:r>
      <w:r w:rsidRPr="00675314">
        <w:tab/>
      </w:r>
      <w:r w:rsidRPr="00675314">
        <w:tab/>
      </w:r>
      <w:r w:rsidR="007B01AC">
        <w:t>4</w:t>
      </w:r>
    </w:p>
    <w:p w:rsidR="00675314" w:rsidRPr="00675314" w:rsidRDefault="00675314" w:rsidP="00675314">
      <w:pPr>
        <w:tabs>
          <w:tab w:val="right" w:pos="850"/>
          <w:tab w:val="right" w:leader="dot" w:pos="8787"/>
          <w:tab w:val="right" w:pos="9638"/>
        </w:tabs>
        <w:spacing w:after="120"/>
        <w:ind w:left="1134" w:hanging="1134"/>
      </w:pPr>
      <w:r w:rsidRPr="00675314">
        <w:tab/>
        <w:t>2.</w:t>
      </w:r>
      <w:r w:rsidRPr="00675314">
        <w:tab/>
        <w:t>Définitions</w:t>
      </w:r>
      <w:r w:rsidRPr="00675314">
        <w:tab/>
      </w:r>
      <w:r w:rsidRPr="00675314">
        <w:tab/>
      </w:r>
      <w:r w:rsidR="007B01AC">
        <w:t>4</w:t>
      </w:r>
    </w:p>
    <w:p w:rsidR="00675314" w:rsidRPr="00675314" w:rsidRDefault="00675314" w:rsidP="00675314">
      <w:pPr>
        <w:tabs>
          <w:tab w:val="right" w:pos="850"/>
          <w:tab w:val="right" w:leader="dot" w:pos="8787"/>
          <w:tab w:val="right" w:pos="9638"/>
        </w:tabs>
        <w:spacing w:after="120"/>
        <w:ind w:left="1134" w:hanging="1134"/>
      </w:pPr>
      <w:r w:rsidRPr="00675314">
        <w:tab/>
        <w:t>3.</w:t>
      </w:r>
      <w:r w:rsidRPr="00675314">
        <w:tab/>
        <w:t>Demande d’homologation</w:t>
      </w:r>
      <w:r w:rsidRPr="00675314">
        <w:tab/>
      </w:r>
      <w:r w:rsidRPr="00675314">
        <w:tab/>
      </w:r>
      <w:r w:rsidR="007B01AC">
        <w:t>5</w:t>
      </w:r>
    </w:p>
    <w:p w:rsidR="00675314" w:rsidRPr="00675314" w:rsidRDefault="00675314" w:rsidP="00675314">
      <w:pPr>
        <w:tabs>
          <w:tab w:val="right" w:pos="850"/>
          <w:tab w:val="right" w:leader="dot" w:pos="8787"/>
          <w:tab w:val="right" w:pos="9638"/>
        </w:tabs>
        <w:spacing w:after="120"/>
        <w:ind w:left="1134" w:hanging="1134"/>
      </w:pPr>
      <w:r w:rsidRPr="00675314">
        <w:tab/>
        <w:t>4.</w:t>
      </w:r>
      <w:r w:rsidRPr="00675314">
        <w:tab/>
        <w:t>Homologation</w:t>
      </w:r>
      <w:r w:rsidRPr="00675314">
        <w:tab/>
      </w:r>
      <w:r w:rsidRPr="00675314">
        <w:tab/>
      </w:r>
      <w:r w:rsidR="007B01AC">
        <w:t>5</w:t>
      </w:r>
    </w:p>
    <w:p w:rsidR="00675314" w:rsidRPr="00675314" w:rsidRDefault="00675314" w:rsidP="00675314">
      <w:pPr>
        <w:tabs>
          <w:tab w:val="right" w:pos="850"/>
          <w:tab w:val="right" w:leader="dot" w:pos="8787"/>
          <w:tab w:val="right" w:pos="9638"/>
        </w:tabs>
        <w:spacing w:after="120"/>
        <w:ind w:left="1134" w:hanging="1134"/>
      </w:pPr>
      <w:r w:rsidRPr="00675314">
        <w:tab/>
        <w:t>5.</w:t>
      </w:r>
      <w:r w:rsidRPr="00675314">
        <w:tab/>
        <w:t>Spécifications</w:t>
      </w:r>
      <w:r w:rsidRPr="00675314">
        <w:tab/>
      </w:r>
      <w:r w:rsidRPr="00675314">
        <w:tab/>
      </w:r>
      <w:r w:rsidR="007B01AC">
        <w:t>6</w:t>
      </w:r>
    </w:p>
    <w:p w:rsidR="00675314" w:rsidRPr="00675314" w:rsidRDefault="00675314" w:rsidP="00675314">
      <w:pPr>
        <w:tabs>
          <w:tab w:val="right" w:pos="850"/>
          <w:tab w:val="right" w:leader="dot" w:pos="8787"/>
          <w:tab w:val="right" w:pos="9638"/>
        </w:tabs>
        <w:spacing w:after="120"/>
        <w:ind w:left="1134" w:hanging="1134"/>
      </w:pPr>
      <w:r w:rsidRPr="00675314">
        <w:tab/>
        <w:t>6.</w:t>
      </w:r>
      <w:r w:rsidRPr="00675314">
        <w:tab/>
        <w:t>Modifications du type de véhicule</w:t>
      </w:r>
      <w:r w:rsidRPr="00675314">
        <w:tab/>
      </w:r>
      <w:r w:rsidRPr="00675314">
        <w:tab/>
      </w:r>
      <w:r w:rsidR="007B01AC">
        <w:t>7</w:t>
      </w:r>
    </w:p>
    <w:p w:rsidR="00675314" w:rsidRPr="00675314" w:rsidRDefault="00675314" w:rsidP="00675314">
      <w:pPr>
        <w:tabs>
          <w:tab w:val="right" w:pos="850"/>
          <w:tab w:val="right" w:leader="dot" w:pos="8787"/>
          <w:tab w:val="right" w:pos="9638"/>
        </w:tabs>
        <w:spacing w:after="120"/>
        <w:ind w:left="1134" w:hanging="1134"/>
      </w:pPr>
      <w:r w:rsidRPr="00675314">
        <w:tab/>
        <w:t>7.</w:t>
      </w:r>
      <w:r w:rsidRPr="00675314">
        <w:tab/>
        <w:t>Conformité de la production</w:t>
      </w:r>
      <w:r w:rsidRPr="00675314">
        <w:tab/>
      </w:r>
      <w:r w:rsidRPr="00675314">
        <w:tab/>
      </w:r>
      <w:r w:rsidR="007B01AC">
        <w:t>8</w:t>
      </w:r>
    </w:p>
    <w:p w:rsidR="00675314" w:rsidRPr="00675314" w:rsidRDefault="00675314" w:rsidP="00675314">
      <w:pPr>
        <w:tabs>
          <w:tab w:val="right" w:pos="850"/>
          <w:tab w:val="right" w:leader="dot" w:pos="8787"/>
          <w:tab w:val="right" w:pos="9638"/>
        </w:tabs>
        <w:spacing w:after="120"/>
        <w:ind w:left="1134" w:hanging="1134"/>
      </w:pPr>
      <w:r w:rsidRPr="00675314">
        <w:tab/>
        <w:t>8.</w:t>
      </w:r>
      <w:r w:rsidRPr="00675314">
        <w:tab/>
        <w:t>Sanctions pour non-conformité de la production</w:t>
      </w:r>
      <w:r w:rsidRPr="00675314">
        <w:tab/>
      </w:r>
      <w:r w:rsidRPr="00675314">
        <w:tab/>
      </w:r>
      <w:r w:rsidR="007B01AC">
        <w:t>8</w:t>
      </w:r>
    </w:p>
    <w:p w:rsidR="00675314" w:rsidRPr="00675314" w:rsidRDefault="00675314" w:rsidP="00675314">
      <w:pPr>
        <w:tabs>
          <w:tab w:val="right" w:pos="850"/>
          <w:tab w:val="right" w:leader="dot" w:pos="8787"/>
          <w:tab w:val="right" w:pos="9638"/>
        </w:tabs>
        <w:spacing w:after="120"/>
        <w:ind w:left="1134" w:hanging="1134"/>
      </w:pPr>
      <w:r w:rsidRPr="00675314">
        <w:tab/>
        <w:t>9.</w:t>
      </w:r>
      <w:r w:rsidRPr="00675314">
        <w:tab/>
        <w:t>Noms et adresses des services techniques chargés des essais d’homologation et des autorités d’homologation de type</w:t>
      </w:r>
      <w:r w:rsidRPr="00675314">
        <w:tab/>
      </w:r>
      <w:r w:rsidRPr="00675314">
        <w:tab/>
      </w:r>
      <w:r w:rsidR="007B01AC">
        <w:t>8</w:t>
      </w:r>
    </w:p>
    <w:p w:rsidR="00675314" w:rsidRPr="002D4FC2" w:rsidRDefault="00675314" w:rsidP="00675314">
      <w:pPr>
        <w:tabs>
          <w:tab w:val="right" w:pos="850"/>
          <w:tab w:val="right" w:leader="dot" w:pos="8787"/>
          <w:tab w:val="right" w:pos="9638"/>
        </w:tabs>
        <w:spacing w:after="120"/>
        <w:ind w:left="1134" w:hanging="1134"/>
      </w:pPr>
      <w:r w:rsidRPr="00675314">
        <w:tab/>
        <w:t>10.</w:t>
      </w:r>
      <w:r w:rsidRPr="00675314">
        <w:tab/>
        <w:t>Dispositions transitoires</w:t>
      </w:r>
      <w:r w:rsidRPr="002D4FC2">
        <w:tab/>
      </w:r>
      <w:r>
        <w:tab/>
      </w:r>
      <w:r w:rsidR="007B01AC">
        <w:t>8</w:t>
      </w:r>
    </w:p>
    <w:p w:rsidR="00221939" w:rsidRPr="002D4FC2" w:rsidRDefault="00221939" w:rsidP="00221939">
      <w:pPr>
        <w:tabs>
          <w:tab w:val="right" w:pos="850"/>
        </w:tabs>
        <w:spacing w:after="120"/>
      </w:pPr>
      <w:r w:rsidRPr="002D4FC2">
        <w:tab/>
        <w:t>Annexes</w:t>
      </w:r>
    </w:p>
    <w:p w:rsidR="00675314" w:rsidRPr="002D4FC2" w:rsidRDefault="00675314" w:rsidP="00675314">
      <w:pPr>
        <w:tabs>
          <w:tab w:val="right" w:pos="850"/>
          <w:tab w:val="right" w:leader="dot" w:pos="8787"/>
          <w:tab w:val="right" w:pos="9638"/>
        </w:tabs>
        <w:spacing w:after="120"/>
        <w:ind w:left="1134" w:hanging="1134"/>
      </w:pPr>
      <w:r>
        <w:tab/>
        <w:t>1</w:t>
      </w:r>
      <w:r w:rsidRPr="002D4FC2">
        <w:t>.</w:t>
      </w:r>
      <w:r w:rsidRPr="002D4FC2">
        <w:tab/>
        <w:t>Communication</w:t>
      </w:r>
      <w:r w:rsidRPr="002D4FC2">
        <w:tab/>
      </w:r>
      <w:r>
        <w:tab/>
      </w:r>
      <w:r w:rsidR="007B01AC">
        <w:t>10</w:t>
      </w:r>
    </w:p>
    <w:p w:rsidR="00675314" w:rsidRPr="002D4FC2" w:rsidRDefault="00675314" w:rsidP="00675314">
      <w:pPr>
        <w:tabs>
          <w:tab w:val="right" w:pos="850"/>
          <w:tab w:val="right" w:leader="dot" w:pos="8787"/>
          <w:tab w:val="right" w:pos="9638"/>
        </w:tabs>
        <w:spacing w:after="120"/>
        <w:ind w:left="1134" w:hanging="1134"/>
      </w:pPr>
      <w:r>
        <w:tab/>
        <w:t>2</w:t>
      </w:r>
      <w:r w:rsidRPr="002D4FC2">
        <w:t>.</w:t>
      </w:r>
      <w:r w:rsidRPr="002D4FC2">
        <w:tab/>
        <w:t>Exemples de marque d’homologation</w:t>
      </w:r>
      <w:r w:rsidRPr="002D4FC2">
        <w:tab/>
      </w:r>
      <w:r>
        <w:tab/>
      </w:r>
      <w:r w:rsidR="007B01AC">
        <w:t>12</w:t>
      </w:r>
    </w:p>
    <w:p w:rsidR="00675314" w:rsidRPr="002D4FC2" w:rsidRDefault="00675314" w:rsidP="00675314">
      <w:pPr>
        <w:tabs>
          <w:tab w:val="right" w:pos="850"/>
          <w:tab w:val="right" w:leader="dot" w:pos="8787"/>
          <w:tab w:val="right" w:pos="9638"/>
        </w:tabs>
        <w:spacing w:after="120"/>
        <w:ind w:left="1134" w:hanging="1134"/>
      </w:pPr>
      <w:r>
        <w:tab/>
        <w:t>3</w:t>
      </w:r>
      <w:r w:rsidRPr="002D4FC2">
        <w:t>.</w:t>
      </w:r>
      <w:r w:rsidRPr="002D4FC2">
        <w:tab/>
        <w:t xml:space="preserve">Mesure de la précision de </w:t>
      </w:r>
      <w:r w:rsidR="007B01AC">
        <w:t xml:space="preserve">l’indicateur de vitesse pour le </w:t>
      </w:r>
      <w:r w:rsidRPr="002D4FC2">
        <w:t xml:space="preserve">contrôle de conformité </w:t>
      </w:r>
      <w:r w:rsidR="007B01AC">
        <w:br/>
      </w:r>
      <w:r w:rsidRPr="002D4FC2">
        <w:t>de la production</w:t>
      </w:r>
      <w:r w:rsidRPr="002D4FC2">
        <w:tab/>
      </w:r>
      <w:r>
        <w:tab/>
      </w:r>
      <w:r w:rsidR="007B01AC">
        <w:t>13</w:t>
      </w:r>
    </w:p>
    <w:p w:rsidR="00C72C97" w:rsidRPr="002D64B7" w:rsidRDefault="00C72C97" w:rsidP="002D64B7">
      <w:pPr>
        <w:pStyle w:val="SingleTxtG"/>
        <w:ind w:left="2268" w:hanging="1134"/>
        <w:rPr>
          <w:b/>
          <w:sz w:val="28"/>
          <w:szCs w:val="28"/>
        </w:rPr>
      </w:pPr>
      <w:r w:rsidRPr="002D4FC2">
        <w:br w:type="page"/>
      </w:r>
      <w:r w:rsidRPr="002D64B7">
        <w:rPr>
          <w:b/>
          <w:sz w:val="28"/>
          <w:szCs w:val="28"/>
        </w:rPr>
        <w:lastRenderedPageBreak/>
        <w:t>1.</w:t>
      </w:r>
      <w:r w:rsidRPr="002D64B7">
        <w:rPr>
          <w:b/>
          <w:sz w:val="28"/>
          <w:szCs w:val="28"/>
        </w:rPr>
        <w:tab/>
        <w:t>Domaine d</w:t>
      </w:r>
      <w:r w:rsidR="00BC0876" w:rsidRPr="002D64B7">
        <w:rPr>
          <w:b/>
          <w:sz w:val="28"/>
          <w:szCs w:val="28"/>
        </w:rPr>
        <w:t>’</w:t>
      </w:r>
      <w:r w:rsidRPr="002D64B7">
        <w:rPr>
          <w:b/>
          <w:sz w:val="28"/>
          <w:szCs w:val="28"/>
        </w:rPr>
        <w:t>application</w:t>
      </w:r>
      <w:bookmarkStart w:id="8" w:name="_Toc441498657"/>
      <w:bookmarkStart w:id="9" w:name="_Toc441498795"/>
      <w:bookmarkEnd w:id="8"/>
      <w:bookmarkEnd w:id="9"/>
    </w:p>
    <w:p w:rsidR="00C72C97" w:rsidRPr="002D4FC2" w:rsidRDefault="00C72C97" w:rsidP="002D64B7">
      <w:pPr>
        <w:pStyle w:val="SingleTxtG"/>
        <w:ind w:left="2268"/>
      </w:pPr>
      <w:r w:rsidRPr="002D4FC2">
        <w:t>Le présent Règlement s</w:t>
      </w:r>
      <w:r w:rsidR="00BC0876" w:rsidRPr="002D4FC2">
        <w:t>’</w:t>
      </w:r>
      <w:r w:rsidRPr="002D4FC2">
        <w:t>applique à l</w:t>
      </w:r>
      <w:r w:rsidR="00BC0876" w:rsidRPr="002D4FC2">
        <w:t>’</w:t>
      </w:r>
      <w:r w:rsidRPr="002D4FC2">
        <w:t>homologation des véhicules des catégories L, M et N</w:t>
      </w:r>
      <w:r w:rsidRPr="002D4FC2">
        <w:rPr>
          <w:rStyle w:val="FootnoteReference"/>
        </w:rPr>
        <w:footnoteReference w:id="3"/>
      </w:r>
      <w:r w:rsidR="009368EE">
        <w:t>.</w:t>
      </w:r>
    </w:p>
    <w:p w:rsidR="00C72C97" w:rsidRPr="002D64B7" w:rsidRDefault="00C72C97" w:rsidP="002D64B7">
      <w:pPr>
        <w:pStyle w:val="SingleTxtG"/>
        <w:ind w:left="2268" w:hanging="1134"/>
        <w:rPr>
          <w:b/>
          <w:sz w:val="28"/>
          <w:szCs w:val="28"/>
        </w:rPr>
      </w:pPr>
      <w:r w:rsidRPr="002D64B7">
        <w:rPr>
          <w:b/>
          <w:sz w:val="28"/>
          <w:szCs w:val="28"/>
        </w:rPr>
        <w:t>2.</w:t>
      </w:r>
      <w:r w:rsidR="00D21F68" w:rsidRPr="002D64B7">
        <w:rPr>
          <w:b/>
          <w:sz w:val="28"/>
          <w:szCs w:val="28"/>
        </w:rPr>
        <w:tab/>
      </w:r>
      <w:r w:rsidRPr="002D64B7">
        <w:rPr>
          <w:b/>
          <w:sz w:val="28"/>
          <w:szCs w:val="28"/>
        </w:rPr>
        <w:t>Définitions</w:t>
      </w:r>
      <w:bookmarkStart w:id="10" w:name="_Toc441498658"/>
      <w:bookmarkStart w:id="11" w:name="_Toc441498796"/>
      <w:bookmarkEnd w:id="10"/>
      <w:bookmarkEnd w:id="11"/>
    </w:p>
    <w:p w:rsidR="00C72C97" w:rsidRPr="002D4FC2" w:rsidRDefault="00C72C97" w:rsidP="002D64B7">
      <w:pPr>
        <w:pStyle w:val="SingleTxtG"/>
        <w:ind w:left="2268"/>
      </w:pPr>
      <w:r w:rsidRPr="002D4FC2">
        <w:t>Aux fins du présent Règlement, on entend par</w:t>
      </w:r>
      <w:r w:rsidR="006021F0" w:rsidRPr="002D4FC2">
        <w:t> :</w:t>
      </w:r>
    </w:p>
    <w:p w:rsidR="00C72C97" w:rsidRPr="002D4FC2" w:rsidRDefault="009368EE" w:rsidP="00C00099">
      <w:pPr>
        <w:pStyle w:val="SingleTxtG"/>
        <w:ind w:left="2268" w:hanging="1134"/>
        <w:rPr>
          <w:iCs/>
        </w:rPr>
      </w:pPr>
      <w:r>
        <w:t>2.1</w:t>
      </w:r>
      <w:r w:rsidR="00C72C97" w:rsidRPr="002D4FC2">
        <w:tab/>
        <w:t>«</w:t>
      </w:r>
      <w:r w:rsidR="0074585C">
        <w:t> </w:t>
      </w:r>
      <w:r w:rsidR="00C72C97" w:rsidRPr="002D4FC2">
        <w:rPr>
          <w:i/>
        </w:rPr>
        <w:t>Homologation du véhicule</w:t>
      </w:r>
      <w:r w:rsidR="0074585C">
        <w:rPr>
          <w:i/>
        </w:rPr>
        <w:t> </w:t>
      </w:r>
      <w:r w:rsidR="00C72C97" w:rsidRPr="002D4FC2">
        <w:t>», l</w:t>
      </w:r>
      <w:r w:rsidR="00BC0876" w:rsidRPr="002D4FC2">
        <w:t>’</w:t>
      </w:r>
      <w:r w:rsidR="00C72C97" w:rsidRPr="002D4FC2">
        <w:t>homologation d</w:t>
      </w:r>
      <w:r w:rsidR="00BC0876" w:rsidRPr="002D4FC2">
        <w:t>’</w:t>
      </w:r>
      <w:r w:rsidR="00C72C97" w:rsidRPr="002D4FC2">
        <w:t>un type de véhicule en ce qui concerne l</w:t>
      </w:r>
      <w:r w:rsidR="00BC0876" w:rsidRPr="002D4FC2">
        <w:t>’</w:t>
      </w:r>
      <w:r w:rsidR="00C72C97" w:rsidRPr="002D4FC2">
        <w:t>appareil indicateur de vitesse et le compteur kilométrique, y compris leur installation.</w:t>
      </w:r>
    </w:p>
    <w:p w:rsidR="00C72C97" w:rsidRPr="002D4FC2" w:rsidRDefault="009368EE" w:rsidP="00C00099">
      <w:pPr>
        <w:pStyle w:val="SingleTxtG"/>
        <w:ind w:left="2268" w:hanging="1134"/>
      </w:pPr>
      <w:r>
        <w:t>2.2</w:t>
      </w:r>
      <w:r w:rsidR="00C72C97" w:rsidRPr="002D4FC2">
        <w:tab/>
        <w:t>«</w:t>
      </w:r>
      <w:r w:rsidR="0074585C">
        <w:t> </w:t>
      </w:r>
      <w:r w:rsidR="00C72C97" w:rsidRPr="002D4FC2">
        <w:rPr>
          <w:i/>
        </w:rPr>
        <w:t>Type de véhicule en ce qui concerne l</w:t>
      </w:r>
      <w:r w:rsidR="00BC0876" w:rsidRPr="002D4FC2">
        <w:rPr>
          <w:i/>
        </w:rPr>
        <w:t>’</w:t>
      </w:r>
      <w:r w:rsidR="00C72C97" w:rsidRPr="002D4FC2">
        <w:rPr>
          <w:i/>
        </w:rPr>
        <w:t>indicateur de vitesse et le compteur kilométrique</w:t>
      </w:r>
      <w:r w:rsidR="0074585C">
        <w:rPr>
          <w:i/>
        </w:rPr>
        <w:t> </w:t>
      </w:r>
      <w:r w:rsidR="00C72C97" w:rsidRPr="002D4FC2">
        <w:t>», les véhicules ne présentant pas entre eux de différences essentielles, ces différences pouvant porter notamment sur les points suivants</w:t>
      </w:r>
      <w:r w:rsidR="006021F0" w:rsidRPr="002D4FC2">
        <w:t> :</w:t>
      </w:r>
    </w:p>
    <w:p w:rsidR="00C72C97" w:rsidRPr="002D4FC2" w:rsidRDefault="009368EE" w:rsidP="00C00099">
      <w:pPr>
        <w:pStyle w:val="SingleTxtG"/>
        <w:ind w:left="2268" w:hanging="1134"/>
      </w:pPr>
      <w:r>
        <w:t>2.2.1</w:t>
      </w:r>
      <w:r w:rsidR="00C72C97" w:rsidRPr="002D4FC2">
        <w:tab/>
        <w:t>Les dimensions des pneumatiques choisis dans la gamme des pneumatiques de monte normale</w:t>
      </w:r>
      <w:r w:rsidR="006021F0" w:rsidRPr="002D4FC2">
        <w:t> ;</w:t>
      </w:r>
    </w:p>
    <w:p w:rsidR="00C72C97" w:rsidRPr="002D4FC2" w:rsidRDefault="009368EE" w:rsidP="00C00099">
      <w:pPr>
        <w:pStyle w:val="SingleTxtG"/>
        <w:ind w:left="2268" w:hanging="1134"/>
      </w:pPr>
      <w:r>
        <w:t>2.2.2</w:t>
      </w:r>
      <w:r w:rsidR="00C72C97" w:rsidRPr="002D4FC2">
        <w:tab/>
        <w:t>Le rapport global de transmission, y compris les réducteurs éventuels, à l</w:t>
      </w:r>
      <w:r w:rsidR="00BC0876" w:rsidRPr="002D4FC2">
        <w:t>’</w:t>
      </w:r>
      <w:r w:rsidR="00C72C97" w:rsidRPr="002D4FC2">
        <w:t>indicateur de vitesse</w:t>
      </w:r>
      <w:r w:rsidR="006021F0" w:rsidRPr="002D4FC2">
        <w:t> ;</w:t>
      </w:r>
    </w:p>
    <w:p w:rsidR="00C72C97" w:rsidRPr="002D4FC2" w:rsidRDefault="009368EE" w:rsidP="00C00099">
      <w:pPr>
        <w:pStyle w:val="SingleTxtG"/>
        <w:ind w:left="2268" w:hanging="1134"/>
      </w:pPr>
      <w:r>
        <w:t>2.2.3</w:t>
      </w:r>
      <w:r w:rsidR="00C72C97" w:rsidRPr="002D4FC2">
        <w:tab/>
        <w:t>Le type d</w:t>
      </w:r>
      <w:r w:rsidR="00BC0876" w:rsidRPr="002D4FC2">
        <w:t>’</w:t>
      </w:r>
      <w:r w:rsidR="00C72C97" w:rsidRPr="002D4FC2">
        <w:t>indicateur de vitesse caractérisé par</w:t>
      </w:r>
      <w:r w:rsidR="006021F0" w:rsidRPr="002D4FC2">
        <w:t> :</w:t>
      </w:r>
    </w:p>
    <w:p w:rsidR="00C72C97" w:rsidRPr="002D4FC2" w:rsidRDefault="009368EE" w:rsidP="00C00099">
      <w:pPr>
        <w:pStyle w:val="SingleTxtG"/>
        <w:ind w:left="2268" w:hanging="1134"/>
      </w:pPr>
      <w:r>
        <w:t>2.2.3.1</w:t>
      </w:r>
      <w:r w:rsidR="00C72C97" w:rsidRPr="002D4FC2">
        <w:tab/>
        <w:t>Les tolérances du mécanisme de mesure de l</w:t>
      </w:r>
      <w:r w:rsidR="00BC0876" w:rsidRPr="002D4FC2">
        <w:t>’</w:t>
      </w:r>
      <w:r w:rsidR="00C72C97" w:rsidRPr="002D4FC2">
        <w:t>indicateur de vitesse</w:t>
      </w:r>
      <w:r w:rsidR="006021F0" w:rsidRPr="002D4FC2">
        <w:t> ;</w:t>
      </w:r>
    </w:p>
    <w:p w:rsidR="00C72C97" w:rsidRPr="002D4FC2" w:rsidRDefault="009368EE" w:rsidP="00C00099">
      <w:pPr>
        <w:pStyle w:val="SingleTxtG"/>
        <w:ind w:left="2268" w:hanging="1134"/>
      </w:pPr>
      <w:r>
        <w:t>2.2.3.2</w:t>
      </w:r>
      <w:r w:rsidR="00C72C97" w:rsidRPr="002D4FC2">
        <w:tab/>
        <w:t>La constante technique de l</w:t>
      </w:r>
      <w:r w:rsidR="00BC0876" w:rsidRPr="002D4FC2">
        <w:t>’</w:t>
      </w:r>
      <w:r w:rsidR="00C72C97" w:rsidRPr="002D4FC2">
        <w:t>indicateur de vitesse</w:t>
      </w:r>
      <w:r w:rsidR="006021F0" w:rsidRPr="002D4FC2">
        <w:t> ;</w:t>
      </w:r>
      <w:r w:rsidR="00C72C97" w:rsidRPr="002D4FC2">
        <w:t xml:space="preserve"> </w:t>
      </w:r>
    </w:p>
    <w:p w:rsidR="00C72C97" w:rsidRPr="002D4FC2" w:rsidRDefault="009368EE" w:rsidP="00C00099">
      <w:pPr>
        <w:pStyle w:val="SingleTxtG"/>
        <w:ind w:left="2268" w:hanging="1134"/>
      </w:pPr>
      <w:r>
        <w:t>2.2.3.3</w:t>
      </w:r>
      <w:r w:rsidR="00C72C97" w:rsidRPr="002D4FC2">
        <w:tab/>
        <w:t>La gamme de vitesses affichées.</w:t>
      </w:r>
    </w:p>
    <w:p w:rsidR="00C72C97" w:rsidRPr="002D4FC2" w:rsidRDefault="009368EE" w:rsidP="00C00099">
      <w:pPr>
        <w:pStyle w:val="SingleTxtG"/>
        <w:ind w:left="2268" w:hanging="1134"/>
      </w:pPr>
      <w:r>
        <w:t>2.2.4</w:t>
      </w:r>
      <w:r w:rsidR="00C72C97" w:rsidRPr="002D4FC2">
        <w:tab/>
        <w:t>Le type de compteur kilométrique, caractérisé par</w:t>
      </w:r>
      <w:r w:rsidR="006021F0" w:rsidRPr="002D4FC2">
        <w:t> :</w:t>
      </w:r>
    </w:p>
    <w:p w:rsidR="00C72C97" w:rsidRPr="002D4FC2" w:rsidRDefault="009368EE" w:rsidP="00C00099">
      <w:pPr>
        <w:pStyle w:val="SingleTxtG"/>
        <w:ind w:left="2268" w:hanging="1134"/>
      </w:pPr>
      <w:r>
        <w:t>2.2.4.1</w:t>
      </w:r>
      <w:r w:rsidR="00C72C97" w:rsidRPr="002D4FC2">
        <w:tab/>
        <w:t>La constante technique du compteur kilométrique</w:t>
      </w:r>
      <w:r w:rsidR="006021F0" w:rsidRPr="002D4FC2">
        <w:t> ;</w:t>
      </w:r>
    </w:p>
    <w:p w:rsidR="00C72C97" w:rsidRPr="002D4FC2" w:rsidRDefault="009368EE" w:rsidP="00C00099">
      <w:pPr>
        <w:pStyle w:val="SingleTxtG"/>
        <w:ind w:left="2268" w:hanging="1134"/>
      </w:pPr>
      <w:r>
        <w:t>2.2.4.2</w:t>
      </w:r>
      <w:r w:rsidR="00C72C97" w:rsidRPr="002D4FC2">
        <w:tab/>
        <w:t>Le nombre de chiffres affichés.</w:t>
      </w:r>
    </w:p>
    <w:p w:rsidR="00C72C97" w:rsidRPr="002D4FC2" w:rsidRDefault="009368EE" w:rsidP="00C00099">
      <w:pPr>
        <w:pStyle w:val="SingleTxtG"/>
        <w:ind w:left="2268" w:hanging="1134"/>
      </w:pPr>
      <w:r>
        <w:t>2.3</w:t>
      </w:r>
      <w:r w:rsidR="00C72C97" w:rsidRPr="002D4FC2">
        <w:tab/>
        <w:t>«</w:t>
      </w:r>
      <w:r w:rsidR="0074585C">
        <w:t> </w:t>
      </w:r>
      <w:r w:rsidR="00C72C97" w:rsidRPr="002D4FC2">
        <w:rPr>
          <w:i/>
        </w:rPr>
        <w:t>Pneumatiques de monte normale</w:t>
      </w:r>
      <w:r w:rsidR="0074585C">
        <w:rPr>
          <w:i/>
        </w:rPr>
        <w:t> </w:t>
      </w:r>
      <w:r w:rsidR="00C72C97" w:rsidRPr="002D4FC2">
        <w:t>», le ou les types de pneumatiques prévus par le constructeur pour le type de véhicule considéré</w:t>
      </w:r>
      <w:r w:rsidR="006021F0" w:rsidRPr="002D4FC2">
        <w:t> ;</w:t>
      </w:r>
      <w:r w:rsidR="00C72C97" w:rsidRPr="002D4FC2">
        <w:t xml:space="preserve"> les pneumatiques neige ne seront pas considérés comme des pneumatiques de monte normale</w:t>
      </w:r>
      <w:r w:rsidR="006021F0" w:rsidRPr="002D4FC2">
        <w:t> ;</w:t>
      </w:r>
    </w:p>
    <w:p w:rsidR="00C72C97" w:rsidRPr="002D4FC2" w:rsidRDefault="009368EE" w:rsidP="00C00099">
      <w:pPr>
        <w:pStyle w:val="SingleTxtG"/>
        <w:ind w:left="2268" w:hanging="1134"/>
      </w:pPr>
      <w:r>
        <w:t>2.4</w:t>
      </w:r>
      <w:r w:rsidR="00C72C97" w:rsidRPr="002D4FC2">
        <w:tab/>
        <w:t>«</w:t>
      </w:r>
      <w:r w:rsidR="0074585C">
        <w:t> </w:t>
      </w:r>
      <w:r w:rsidR="00C72C97" w:rsidRPr="002D4FC2">
        <w:rPr>
          <w:i/>
        </w:rPr>
        <w:t>Pression normale de marche</w:t>
      </w:r>
      <w:r w:rsidR="0074585C">
        <w:rPr>
          <w:i/>
        </w:rPr>
        <w:t> </w:t>
      </w:r>
      <w:r w:rsidR="00C72C97" w:rsidRPr="002D4FC2">
        <w:t>», la pression de gonflage à froid préconisée par le</w:t>
      </w:r>
      <w:r w:rsidR="0074585C">
        <w:t xml:space="preserve"> constructeur, augmentée de 0,2 </w:t>
      </w:r>
      <w:r w:rsidR="00C72C97" w:rsidRPr="002D4FC2">
        <w:t>bar</w:t>
      </w:r>
      <w:r w:rsidR="006021F0" w:rsidRPr="002D4FC2">
        <w:t> ;</w:t>
      </w:r>
    </w:p>
    <w:p w:rsidR="00C72C97" w:rsidRPr="002D4FC2" w:rsidRDefault="009368EE" w:rsidP="00C00099">
      <w:pPr>
        <w:pStyle w:val="SingleTxtG"/>
        <w:ind w:left="2268" w:hanging="1134"/>
        <w:rPr>
          <w:szCs w:val="24"/>
        </w:rPr>
      </w:pPr>
      <w:r>
        <w:rPr>
          <w:szCs w:val="24"/>
        </w:rPr>
        <w:t>2.5</w:t>
      </w:r>
      <w:r w:rsidR="00C72C97" w:rsidRPr="002D4FC2">
        <w:rPr>
          <w:szCs w:val="24"/>
        </w:rPr>
        <w:tab/>
        <w:t>«</w:t>
      </w:r>
      <w:r w:rsidR="0074585C">
        <w:rPr>
          <w:szCs w:val="24"/>
        </w:rPr>
        <w:t> </w:t>
      </w:r>
      <w:r w:rsidR="00C72C97" w:rsidRPr="002D4FC2">
        <w:rPr>
          <w:i/>
          <w:szCs w:val="24"/>
        </w:rPr>
        <w:t>Indicateur de vitesse</w:t>
      </w:r>
      <w:r w:rsidR="0074585C">
        <w:rPr>
          <w:i/>
          <w:szCs w:val="24"/>
        </w:rPr>
        <w:t> </w:t>
      </w:r>
      <w:r w:rsidR="00C72C97" w:rsidRPr="002D4FC2">
        <w:rPr>
          <w:szCs w:val="24"/>
        </w:rPr>
        <w:t xml:space="preserve">», </w:t>
      </w:r>
      <w:r w:rsidR="00C72C97" w:rsidRPr="002D4FC2">
        <w:t>la partie de l</w:t>
      </w:r>
      <w:r w:rsidR="00BC0876" w:rsidRPr="002D4FC2">
        <w:t>’</w:t>
      </w:r>
      <w:r w:rsidR="00C72C97" w:rsidRPr="002D4FC2">
        <w:t>appareil destinée à indiquer au conducteur la vitesse instantanée de son véhicule</w:t>
      </w:r>
      <w:r w:rsidR="00C72C97" w:rsidRPr="002D4FC2">
        <w:rPr>
          <w:rStyle w:val="FootnoteReference"/>
        </w:rPr>
        <w:footnoteReference w:id="4"/>
      </w:r>
      <w:r w:rsidR="0074585C">
        <w:t> ;</w:t>
      </w:r>
    </w:p>
    <w:p w:rsidR="00C72C97" w:rsidRPr="002D4FC2" w:rsidRDefault="009368EE" w:rsidP="00C00099">
      <w:pPr>
        <w:pStyle w:val="SingleTxtG"/>
        <w:ind w:left="2268" w:hanging="1134"/>
      </w:pPr>
      <w:r>
        <w:t>2.5.1</w:t>
      </w:r>
      <w:r w:rsidR="00C72C97" w:rsidRPr="002D4FC2">
        <w:tab/>
        <w:t>«</w:t>
      </w:r>
      <w:r w:rsidR="0074585C">
        <w:t> </w:t>
      </w:r>
      <w:r w:rsidR="00C72C97" w:rsidRPr="002D4FC2">
        <w:rPr>
          <w:i/>
          <w:iCs/>
        </w:rPr>
        <w:t>Tolérances du mécanisme de mesure de l</w:t>
      </w:r>
      <w:r w:rsidR="00BC0876" w:rsidRPr="002D4FC2">
        <w:rPr>
          <w:i/>
          <w:iCs/>
        </w:rPr>
        <w:t>’</w:t>
      </w:r>
      <w:r w:rsidR="00C72C97" w:rsidRPr="002D4FC2">
        <w:rPr>
          <w:i/>
          <w:iCs/>
        </w:rPr>
        <w:t>indicateur de vitesse</w:t>
      </w:r>
      <w:r w:rsidR="0074585C" w:rsidRPr="0074585C">
        <w:rPr>
          <w:iCs/>
        </w:rPr>
        <w:t> </w:t>
      </w:r>
      <w:r w:rsidR="00C72C97" w:rsidRPr="0074585C">
        <w:rPr>
          <w:iCs/>
        </w:rPr>
        <w:t>»</w:t>
      </w:r>
      <w:r w:rsidR="00C72C97" w:rsidRPr="002D4FC2">
        <w:t>, la précision de l</w:t>
      </w:r>
      <w:r w:rsidR="00BC0876" w:rsidRPr="002D4FC2">
        <w:t>’</w:t>
      </w:r>
      <w:r w:rsidR="00C72C97" w:rsidRPr="002D4FC2">
        <w:t>appareil indicateur de vitesse proprement dit, exprimée par les limites supérieure et inférieure de l</w:t>
      </w:r>
      <w:r w:rsidR="00BC0876" w:rsidRPr="002D4FC2">
        <w:t>’</w:t>
      </w:r>
      <w:r w:rsidR="00C72C97" w:rsidRPr="002D4FC2">
        <w:t>indicateur de vitesse pour une gamme de vitesses affichées</w:t>
      </w:r>
      <w:r w:rsidR="006021F0" w:rsidRPr="002D4FC2">
        <w:t> ;</w:t>
      </w:r>
    </w:p>
    <w:p w:rsidR="00C72C97" w:rsidRPr="002D4FC2" w:rsidRDefault="009368EE" w:rsidP="00C00099">
      <w:pPr>
        <w:pStyle w:val="SingleTxtG"/>
        <w:ind w:left="2268" w:hanging="1134"/>
      </w:pPr>
      <w:r>
        <w:t>2.5.2</w:t>
      </w:r>
      <w:r w:rsidR="00C72C97" w:rsidRPr="002D4FC2">
        <w:tab/>
      </w:r>
      <w:r w:rsidR="0074585C">
        <w:t>« </w:t>
      </w:r>
      <w:r w:rsidR="00C72C97" w:rsidRPr="002D4FC2">
        <w:rPr>
          <w:i/>
        </w:rPr>
        <w:t>Constante technique du compteur kilométrique</w:t>
      </w:r>
      <w:r w:rsidR="0074585C" w:rsidRPr="0074585C">
        <w:t> »</w:t>
      </w:r>
      <w:r w:rsidR="00C72C97" w:rsidRPr="002D4FC2">
        <w:t>, le rapport entre le nombre de tours à l</w:t>
      </w:r>
      <w:r w:rsidR="00BC0876" w:rsidRPr="002D4FC2">
        <w:t>’</w:t>
      </w:r>
      <w:r w:rsidR="00C72C97" w:rsidRPr="002D4FC2">
        <w:t>entrée ou d</w:t>
      </w:r>
      <w:r w:rsidR="00BC0876" w:rsidRPr="002D4FC2">
        <w:t>’</w:t>
      </w:r>
      <w:r w:rsidR="00C72C97" w:rsidRPr="002D4FC2">
        <w:t>impulsions et la distance parcourue par le véhicule.</w:t>
      </w:r>
    </w:p>
    <w:p w:rsidR="00C72C97" w:rsidRPr="002D4FC2" w:rsidRDefault="009368EE" w:rsidP="00C00099">
      <w:pPr>
        <w:pStyle w:val="SingleTxtG"/>
        <w:ind w:left="2268" w:hanging="1134"/>
      </w:pPr>
      <w:r>
        <w:t>2.6</w:t>
      </w:r>
      <w:r w:rsidR="00C72C97" w:rsidRPr="002D4FC2">
        <w:tab/>
        <w:t>«</w:t>
      </w:r>
      <w:r w:rsidR="0074585C">
        <w:t> </w:t>
      </w:r>
      <w:r w:rsidR="00C72C97" w:rsidRPr="002D4FC2">
        <w:rPr>
          <w:i/>
          <w:iCs/>
        </w:rPr>
        <w:t>Compteur kilométrique</w:t>
      </w:r>
      <w:r w:rsidR="0074585C">
        <w:rPr>
          <w:i/>
          <w:iCs/>
        </w:rPr>
        <w:t> </w:t>
      </w:r>
      <w:r w:rsidR="00C72C97" w:rsidRPr="002D4FC2">
        <w:t>», la partie du système d</w:t>
      </w:r>
      <w:r w:rsidR="00BC0876" w:rsidRPr="002D4FC2">
        <w:t>’</w:t>
      </w:r>
      <w:r w:rsidR="00C72C97" w:rsidRPr="002D4FC2">
        <w:t>enregistrement kilométrique destinée à indiquer au conducteur la distance totale enregistrée par son véhicule depuis sa mise en circulation.</w:t>
      </w:r>
    </w:p>
    <w:p w:rsidR="00C72C97" w:rsidRPr="002D4FC2" w:rsidRDefault="009368EE" w:rsidP="00C00099">
      <w:pPr>
        <w:pStyle w:val="SingleTxtG"/>
        <w:ind w:left="2268" w:hanging="1134"/>
      </w:pPr>
      <w:r>
        <w:t>2.6.1</w:t>
      </w:r>
      <w:r w:rsidR="00C72C97" w:rsidRPr="002D4FC2">
        <w:tab/>
        <w:t>«</w:t>
      </w:r>
      <w:r w:rsidR="0074585C">
        <w:t> </w:t>
      </w:r>
      <w:r w:rsidR="00C72C97" w:rsidRPr="002D4FC2">
        <w:rPr>
          <w:i/>
          <w:iCs/>
        </w:rPr>
        <w:t>Constante technique du compteur kilométrique</w:t>
      </w:r>
      <w:r w:rsidR="0074585C">
        <w:rPr>
          <w:i/>
          <w:iCs/>
        </w:rPr>
        <w:t> </w:t>
      </w:r>
      <w:r w:rsidR="00C72C97" w:rsidRPr="0074585C">
        <w:rPr>
          <w:iCs/>
        </w:rPr>
        <w:t>»</w:t>
      </w:r>
      <w:r w:rsidR="00C72C97" w:rsidRPr="002D4FC2">
        <w:t>, le rapport entre le nombre de tours à l</w:t>
      </w:r>
      <w:r w:rsidR="00BC0876" w:rsidRPr="002D4FC2">
        <w:t>’</w:t>
      </w:r>
      <w:r w:rsidR="00C72C97" w:rsidRPr="002D4FC2">
        <w:t>entrée ou d</w:t>
      </w:r>
      <w:r w:rsidR="00BC0876" w:rsidRPr="002D4FC2">
        <w:t>’</w:t>
      </w:r>
      <w:r w:rsidR="00C72C97" w:rsidRPr="002D4FC2">
        <w:t>impulsions et la distance parcourue par le véhicule.</w:t>
      </w:r>
    </w:p>
    <w:p w:rsidR="00C72C97" w:rsidRPr="002D4FC2" w:rsidRDefault="009368EE" w:rsidP="00C00099">
      <w:pPr>
        <w:pStyle w:val="SingleTxtG"/>
        <w:ind w:left="2268" w:hanging="1134"/>
        <w:rPr>
          <w:szCs w:val="24"/>
        </w:rPr>
      </w:pPr>
      <w:r>
        <w:rPr>
          <w:szCs w:val="24"/>
        </w:rPr>
        <w:lastRenderedPageBreak/>
        <w:t>2.7</w:t>
      </w:r>
      <w:r w:rsidR="00C72C97" w:rsidRPr="002D4FC2">
        <w:rPr>
          <w:szCs w:val="24"/>
        </w:rPr>
        <w:tab/>
        <w:t>«</w:t>
      </w:r>
      <w:r w:rsidR="00EC1C31">
        <w:rPr>
          <w:szCs w:val="24"/>
        </w:rPr>
        <w:t> </w:t>
      </w:r>
      <w:r w:rsidR="00C72C97" w:rsidRPr="002D4FC2">
        <w:rPr>
          <w:i/>
          <w:szCs w:val="24"/>
        </w:rPr>
        <w:t>Véhicule à vide</w:t>
      </w:r>
      <w:r w:rsidR="00EC1C31">
        <w:rPr>
          <w:i/>
          <w:szCs w:val="24"/>
        </w:rPr>
        <w:t> </w:t>
      </w:r>
      <w:r w:rsidR="00C72C97" w:rsidRPr="002D4FC2">
        <w:rPr>
          <w:szCs w:val="24"/>
        </w:rPr>
        <w:t xml:space="preserve">», </w:t>
      </w:r>
      <w:r w:rsidR="00C72C97" w:rsidRPr="002D4FC2">
        <w:t>le véhicule en ordre de marche, avec le plein de carburant, de liquide de refroidissement et de lubrifiant, et avec ses outils et une roue de secours (si elle est fournie comme équipement standard par le constructeur du véhicule), avec un conducteur d</w:t>
      </w:r>
      <w:r w:rsidR="00BC0876" w:rsidRPr="002D4FC2">
        <w:t>’</w:t>
      </w:r>
      <w:r w:rsidR="00EC1C31">
        <w:t>un poids de 75 </w:t>
      </w:r>
      <w:r w:rsidR="00C72C97" w:rsidRPr="002D4FC2">
        <w:t>kg, sans convoyeur, ni accessoires optionnels ni chargement.</w:t>
      </w:r>
    </w:p>
    <w:p w:rsidR="00C72C97" w:rsidRPr="002D64B7" w:rsidRDefault="00C72C97" w:rsidP="00EC1C31">
      <w:pPr>
        <w:pStyle w:val="SingleTxtG"/>
        <w:keepNext/>
        <w:ind w:left="2268" w:hanging="1134"/>
        <w:rPr>
          <w:b/>
          <w:sz w:val="28"/>
          <w:szCs w:val="28"/>
        </w:rPr>
      </w:pPr>
      <w:r w:rsidRPr="002D64B7">
        <w:rPr>
          <w:b/>
          <w:sz w:val="28"/>
          <w:szCs w:val="28"/>
        </w:rPr>
        <w:t>3.</w:t>
      </w:r>
      <w:r w:rsidR="00D21F68" w:rsidRPr="002D64B7">
        <w:rPr>
          <w:b/>
          <w:sz w:val="28"/>
          <w:szCs w:val="28"/>
        </w:rPr>
        <w:tab/>
      </w:r>
      <w:r w:rsidRPr="002D64B7">
        <w:rPr>
          <w:b/>
          <w:sz w:val="28"/>
          <w:szCs w:val="28"/>
        </w:rPr>
        <w:t>Demande d</w:t>
      </w:r>
      <w:r w:rsidR="00BC0876" w:rsidRPr="002D64B7">
        <w:rPr>
          <w:b/>
          <w:sz w:val="28"/>
          <w:szCs w:val="28"/>
        </w:rPr>
        <w:t>’</w:t>
      </w:r>
      <w:r w:rsidRPr="002D64B7">
        <w:rPr>
          <w:b/>
          <w:sz w:val="28"/>
          <w:szCs w:val="28"/>
        </w:rPr>
        <w:t>homologation</w:t>
      </w:r>
      <w:bookmarkStart w:id="12" w:name="_Toc441498659"/>
      <w:bookmarkStart w:id="13" w:name="_Toc441498797"/>
      <w:bookmarkEnd w:id="12"/>
      <w:bookmarkEnd w:id="13"/>
    </w:p>
    <w:p w:rsidR="00C72C97" w:rsidRPr="002D4FC2" w:rsidRDefault="009368EE" w:rsidP="00C00099">
      <w:pPr>
        <w:pStyle w:val="SingleTxtG"/>
        <w:ind w:left="2268" w:hanging="1134"/>
      </w:pPr>
      <w:r>
        <w:t>3.1</w:t>
      </w:r>
      <w:r w:rsidR="00C72C97" w:rsidRPr="002D4FC2">
        <w:tab/>
        <w:t>La demande d</w:t>
      </w:r>
      <w:r w:rsidR="00BC0876" w:rsidRPr="002D4FC2">
        <w:t>’</w:t>
      </w:r>
      <w:r w:rsidR="00C72C97" w:rsidRPr="002D4FC2">
        <w:t>homologation d</w:t>
      </w:r>
      <w:r w:rsidR="00BC0876" w:rsidRPr="002D4FC2">
        <w:t>’</w:t>
      </w:r>
      <w:r w:rsidR="00C72C97" w:rsidRPr="002D4FC2">
        <w:t>un type de véhicule en ce qui concerne l</w:t>
      </w:r>
      <w:r w:rsidR="00BC0876" w:rsidRPr="002D4FC2">
        <w:t>’</w:t>
      </w:r>
      <w:r w:rsidR="00C72C97" w:rsidRPr="002D4FC2">
        <w:t>appareil indicateur de vitesse et le compteur kilométrique, y compris leur installation, est présentée par le constructeur du véhicule ou par son représentant dûment accrédité.</w:t>
      </w:r>
    </w:p>
    <w:p w:rsidR="00C72C97" w:rsidRPr="002D4FC2" w:rsidRDefault="009368EE" w:rsidP="00C00099">
      <w:pPr>
        <w:pStyle w:val="SingleTxtG"/>
        <w:ind w:left="2268" w:hanging="1134"/>
      </w:pPr>
      <w:r>
        <w:t>3.2</w:t>
      </w:r>
      <w:r w:rsidR="00C72C97" w:rsidRPr="002D4FC2">
        <w:tab/>
        <w:t>Elle doit être accompagnée des pièces mentionnées ci-après, en triple exemplaire, et des indications suivantes</w:t>
      </w:r>
      <w:r w:rsidR="006021F0" w:rsidRPr="002D4FC2">
        <w:t> :</w:t>
      </w:r>
    </w:p>
    <w:p w:rsidR="00C72C97" w:rsidRPr="002D4FC2" w:rsidRDefault="009368EE" w:rsidP="00C00099">
      <w:pPr>
        <w:pStyle w:val="SingleTxtG"/>
        <w:ind w:left="2268" w:hanging="1134"/>
      </w:pPr>
      <w:r>
        <w:t>3.2.1</w:t>
      </w:r>
      <w:r w:rsidR="00C72C97" w:rsidRPr="002D4FC2">
        <w:tab/>
        <w:t>Description du type de véhicule en ce qui concerne les points mentionnés aux paragraphes 2.2, 2.3, 2.4, 2.5 et 2.6 ci-dessus</w:t>
      </w:r>
      <w:r w:rsidR="006021F0" w:rsidRPr="002D4FC2">
        <w:t> ;</w:t>
      </w:r>
      <w:r w:rsidR="00C72C97" w:rsidRPr="002D4FC2">
        <w:t xml:space="preserve"> le type de véhicule doit être indiqué.</w:t>
      </w:r>
    </w:p>
    <w:p w:rsidR="00C72C97" w:rsidRPr="002D4FC2" w:rsidRDefault="009368EE" w:rsidP="00C00099">
      <w:pPr>
        <w:pStyle w:val="SingleTxtG"/>
        <w:ind w:left="2268" w:hanging="1134"/>
      </w:pPr>
      <w:r>
        <w:t>3.3</w:t>
      </w:r>
      <w:r w:rsidR="00C72C97" w:rsidRPr="002D4FC2">
        <w:tab/>
        <w:t>Un véhicule à vide, représentatif du type de véhicule à homologuer, doit être présenté au service technique chargé des essais d</w:t>
      </w:r>
      <w:r w:rsidR="00BC0876" w:rsidRPr="002D4FC2">
        <w:t>’</w:t>
      </w:r>
      <w:r w:rsidR="00C72C97" w:rsidRPr="002D4FC2">
        <w:t>homologation.</w:t>
      </w:r>
    </w:p>
    <w:p w:rsidR="00C72C97" w:rsidRPr="002D4FC2" w:rsidRDefault="009368EE" w:rsidP="00C00099">
      <w:pPr>
        <w:pStyle w:val="SingleTxtG"/>
        <w:ind w:left="2268" w:hanging="1134"/>
      </w:pPr>
      <w:r>
        <w:t>3.4</w:t>
      </w:r>
      <w:r w:rsidR="00C72C97" w:rsidRPr="002D4FC2">
        <w:tab/>
        <w:t>L</w:t>
      </w:r>
      <w:r w:rsidR="00BC0876" w:rsidRPr="002D4FC2">
        <w:t>’</w:t>
      </w:r>
      <w:r w:rsidR="00C72C97" w:rsidRPr="002D4FC2">
        <w:t>autorité d</w:t>
      </w:r>
      <w:r w:rsidR="00BC0876" w:rsidRPr="002D4FC2">
        <w:t>’</w:t>
      </w:r>
      <w:r w:rsidR="00C72C97" w:rsidRPr="002D4FC2">
        <w:t>homologation de type doit vérifier qu</w:t>
      </w:r>
      <w:r w:rsidR="00BC0876" w:rsidRPr="002D4FC2">
        <w:t>’</w:t>
      </w:r>
      <w:r w:rsidR="00C72C97" w:rsidRPr="002D4FC2">
        <w:t>il existe des arrangements satisfaisants pour assurer un contrôle efficace de la conformité de la production avant d</w:t>
      </w:r>
      <w:r w:rsidR="00BC0876" w:rsidRPr="002D4FC2">
        <w:t>’</w:t>
      </w:r>
      <w:r w:rsidR="00C72C97" w:rsidRPr="002D4FC2">
        <w:t>accorder l</w:t>
      </w:r>
      <w:r w:rsidR="00BC0876" w:rsidRPr="002D4FC2">
        <w:t>’</w:t>
      </w:r>
      <w:r w:rsidR="00C72C97" w:rsidRPr="002D4FC2">
        <w:t>homologation de type.</w:t>
      </w:r>
    </w:p>
    <w:p w:rsidR="00C72C97" w:rsidRPr="002D64B7" w:rsidRDefault="00C72C97" w:rsidP="00EC1C31">
      <w:pPr>
        <w:pStyle w:val="SingleTxtG"/>
        <w:keepNext/>
        <w:ind w:left="2268" w:hanging="1134"/>
        <w:rPr>
          <w:b/>
          <w:sz w:val="28"/>
          <w:szCs w:val="28"/>
        </w:rPr>
      </w:pPr>
      <w:r w:rsidRPr="002D64B7">
        <w:rPr>
          <w:b/>
          <w:sz w:val="28"/>
          <w:szCs w:val="28"/>
        </w:rPr>
        <w:t>4.</w:t>
      </w:r>
      <w:r w:rsidR="00D21F68" w:rsidRPr="002D64B7">
        <w:rPr>
          <w:b/>
          <w:sz w:val="28"/>
          <w:szCs w:val="28"/>
        </w:rPr>
        <w:tab/>
      </w:r>
      <w:r w:rsidRPr="002D64B7">
        <w:rPr>
          <w:b/>
          <w:sz w:val="28"/>
          <w:szCs w:val="28"/>
        </w:rPr>
        <w:t>Homologation</w:t>
      </w:r>
      <w:bookmarkStart w:id="14" w:name="_Toc441498660"/>
      <w:bookmarkStart w:id="15" w:name="_Toc441498798"/>
      <w:bookmarkEnd w:id="14"/>
      <w:bookmarkEnd w:id="15"/>
    </w:p>
    <w:p w:rsidR="00C72C97" w:rsidRPr="002D4FC2" w:rsidRDefault="009368EE" w:rsidP="00C00099">
      <w:pPr>
        <w:pStyle w:val="SingleTxtG"/>
        <w:ind w:left="2268" w:hanging="1134"/>
      </w:pPr>
      <w:r>
        <w:t>4.1</w:t>
      </w:r>
      <w:r w:rsidR="00C72C97" w:rsidRPr="002D4FC2">
        <w:tab/>
        <w:t>Lorsque le type de véhicule présenté à l</w:t>
      </w:r>
      <w:r w:rsidR="00BC0876" w:rsidRPr="002D4FC2">
        <w:t>’</w:t>
      </w:r>
      <w:r w:rsidR="00C72C97" w:rsidRPr="002D4FC2">
        <w:t>homologation en application du présent Règlement satisfait aux prescriptions dudit Règlement en ce qui concerne l</w:t>
      </w:r>
      <w:r w:rsidR="00BC0876" w:rsidRPr="002D4FC2">
        <w:t>’</w:t>
      </w:r>
      <w:r w:rsidR="00C72C97" w:rsidRPr="002D4FC2">
        <w:t>appareil indicateur de vitesse</w:t>
      </w:r>
      <w:r w:rsidR="00EC1C31">
        <w:t xml:space="preserve"> et le compteur kilométrique, y </w:t>
      </w:r>
      <w:r w:rsidR="00C72C97" w:rsidRPr="002D4FC2">
        <w:t>compris leur installation, l</w:t>
      </w:r>
      <w:r w:rsidR="00BC0876" w:rsidRPr="002D4FC2">
        <w:t>’</w:t>
      </w:r>
      <w:r w:rsidR="00C72C97" w:rsidRPr="002D4FC2">
        <w:t>homologation pour ce type de véhicule est accordée.</w:t>
      </w:r>
    </w:p>
    <w:p w:rsidR="00C72C97" w:rsidRPr="002D4FC2" w:rsidRDefault="009368EE" w:rsidP="00C00099">
      <w:pPr>
        <w:pStyle w:val="SingleTxtG"/>
        <w:ind w:left="2268" w:hanging="1134"/>
      </w:pPr>
      <w:r>
        <w:t>4.2</w:t>
      </w:r>
      <w:r w:rsidR="00C72C97" w:rsidRPr="002D4FC2">
        <w:tab/>
        <w:t>Chaque homologation comporte l</w:t>
      </w:r>
      <w:r w:rsidR="00BC0876" w:rsidRPr="002D4FC2">
        <w:t>’</w:t>
      </w:r>
      <w:r w:rsidR="00C72C97" w:rsidRPr="002D4FC2">
        <w:t>attribution d</w:t>
      </w:r>
      <w:r w:rsidR="00BC0876" w:rsidRPr="002D4FC2">
        <w:t>’</w:t>
      </w:r>
      <w:r w:rsidR="00C72C97" w:rsidRPr="002D4FC2">
        <w:t>un numéro d</w:t>
      </w:r>
      <w:r w:rsidR="00BC0876" w:rsidRPr="002D4FC2">
        <w:t>’</w:t>
      </w:r>
      <w:r w:rsidR="00C72C97" w:rsidRPr="002D4FC2">
        <w:t>homologation. Les deux premiers chiffres de ce numéro sont constitués par le numéro de la plus récente série d</w:t>
      </w:r>
      <w:r w:rsidR="00BC0876" w:rsidRPr="002D4FC2">
        <w:t>’</w:t>
      </w:r>
      <w:r w:rsidR="00C72C97" w:rsidRPr="002D4FC2">
        <w:t>amendements incorporée au Règlement à la date de délivrance de l</w:t>
      </w:r>
      <w:r w:rsidR="00BC0876" w:rsidRPr="002D4FC2">
        <w:t>’</w:t>
      </w:r>
      <w:r w:rsidR="00C72C97" w:rsidRPr="002D4FC2">
        <w:t>homologation. Une même Partie contractante ne peut pas attribuer ce numéro à un autre type de véhicule (voir les dispositions du paragraphe 6 du présent Règlement).</w:t>
      </w:r>
    </w:p>
    <w:p w:rsidR="00C72C97" w:rsidRPr="002D4FC2" w:rsidRDefault="009368EE" w:rsidP="00C00099">
      <w:pPr>
        <w:pStyle w:val="SingleTxtG"/>
        <w:ind w:left="2268" w:hanging="1134"/>
      </w:pPr>
      <w:r>
        <w:t>4.3</w:t>
      </w:r>
      <w:r w:rsidR="00C72C97" w:rsidRPr="002D4FC2">
        <w:tab/>
        <w:t>L</w:t>
      </w:r>
      <w:r w:rsidR="00BC0876" w:rsidRPr="002D4FC2">
        <w:t>’</w:t>
      </w:r>
      <w:r w:rsidR="00C72C97" w:rsidRPr="002D4FC2">
        <w:t>homologation ou le refus d</w:t>
      </w:r>
      <w:r w:rsidR="00BC0876" w:rsidRPr="002D4FC2">
        <w:t>’</w:t>
      </w:r>
      <w:r w:rsidR="00C72C97" w:rsidRPr="002D4FC2">
        <w:t>homologation d</w:t>
      </w:r>
      <w:r w:rsidR="00BC0876" w:rsidRPr="002D4FC2">
        <w:t>’</w:t>
      </w:r>
      <w:r w:rsidR="00C72C97" w:rsidRPr="002D4FC2">
        <w:t>un type de véhicule en application du présent Règlement sera notifié aux Parties à l</w:t>
      </w:r>
      <w:r w:rsidR="00BC0876" w:rsidRPr="002D4FC2">
        <w:t>’</w:t>
      </w:r>
      <w:r w:rsidR="00C72C97" w:rsidRPr="002D4FC2">
        <w:t>Accord appliquant le présent Règlement, au moyen d</w:t>
      </w:r>
      <w:r w:rsidR="00BC0876" w:rsidRPr="002D4FC2">
        <w:t>’</w:t>
      </w:r>
      <w:r w:rsidR="00C72C97" w:rsidRPr="002D4FC2">
        <w:t>une fiche conforme au modèle de l</w:t>
      </w:r>
      <w:r w:rsidR="00BC0876" w:rsidRPr="002D4FC2">
        <w:t>’</w:t>
      </w:r>
      <w:r w:rsidR="00C72C97" w:rsidRPr="002D4FC2">
        <w:t>annexe 1 du présent Règlement et de schémas de l</w:t>
      </w:r>
      <w:r w:rsidR="00BC0876" w:rsidRPr="002D4FC2">
        <w:t>’</w:t>
      </w:r>
      <w:r w:rsidR="00C72C97" w:rsidRPr="002D4FC2">
        <w:t>installation, fournis par le demandeur de l</w:t>
      </w:r>
      <w:r w:rsidR="00BC0876" w:rsidRPr="002D4FC2">
        <w:t>’</w:t>
      </w:r>
      <w:r w:rsidR="00C72C97" w:rsidRPr="002D4FC2">
        <w:t xml:space="preserve">homologation </w:t>
      </w:r>
      <w:r w:rsidR="00EC1C31">
        <w:t>au format maximal A4 (210 x 297 </w:t>
      </w:r>
      <w:r w:rsidR="00C72C97" w:rsidRPr="002D4FC2">
        <w:t>mm), ou pliés à ce format, et à une échelle appropriée.</w:t>
      </w:r>
    </w:p>
    <w:p w:rsidR="00C72C97" w:rsidRPr="002D4FC2" w:rsidRDefault="009368EE" w:rsidP="00C00099">
      <w:pPr>
        <w:pStyle w:val="SingleTxtG"/>
        <w:ind w:left="2268" w:hanging="1134"/>
      </w:pPr>
      <w:r>
        <w:t>4.4</w:t>
      </w:r>
      <w:r w:rsidR="00C72C97" w:rsidRPr="002D4FC2">
        <w:tab/>
        <w:t>Sur tout véhicule conforme à un type de véhicule homologué en application du présent Règlement, il doit être apposé de manière visible, en un endroit facilement accessible et indiqué sur la fiche d</w:t>
      </w:r>
      <w:r w:rsidR="00BC0876" w:rsidRPr="002D4FC2">
        <w:t>’</w:t>
      </w:r>
      <w:r w:rsidR="00C72C97" w:rsidRPr="002D4FC2">
        <w:t>homologation, une marque d</w:t>
      </w:r>
      <w:r w:rsidR="00BC0876" w:rsidRPr="002D4FC2">
        <w:t>’</w:t>
      </w:r>
      <w:r w:rsidR="00C72C97" w:rsidRPr="002D4FC2">
        <w:t>homologation internationale composée</w:t>
      </w:r>
      <w:r w:rsidR="006021F0" w:rsidRPr="002D4FC2">
        <w:t> :</w:t>
      </w:r>
    </w:p>
    <w:p w:rsidR="00C72C97" w:rsidRPr="002D4FC2" w:rsidRDefault="009368EE" w:rsidP="00C00099">
      <w:pPr>
        <w:pStyle w:val="SingleTxtG"/>
        <w:ind w:left="2268" w:hanging="1134"/>
      </w:pPr>
      <w:r>
        <w:t>4.4.1</w:t>
      </w:r>
      <w:r w:rsidR="00C72C97" w:rsidRPr="002D4FC2">
        <w:tab/>
        <w:t>D</w:t>
      </w:r>
      <w:r w:rsidR="00BC0876" w:rsidRPr="002D4FC2">
        <w:t>’</w:t>
      </w:r>
      <w:r w:rsidR="00C72C97" w:rsidRPr="002D4FC2">
        <w:t>un cercle, à l</w:t>
      </w:r>
      <w:r w:rsidR="00BC0876" w:rsidRPr="002D4FC2">
        <w:t>’</w:t>
      </w:r>
      <w:r w:rsidR="00C72C97" w:rsidRPr="002D4FC2">
        <w:t>intérieur duquel est placée la lettre «</w:t>
      </w:r>
      <w:r w:rsidR="00EC1C31">
        <w:t> </w:t>
      </w:r>
      <w:r w:rsidR="00C72C97" w:rsidRPr="002D4FC2">
        <w:t>E</w:t>
      </w:r>
      <w:r w:rsidR="00EC1C31">
        <w:t> </w:t>
      </w:r>
      <w:r w:rsidR="00C72C97" w:rsidRPr="002D4FC2">
        <w:t>» suivie du numéro distinctif du pays ayant accordé l</w:t>
      </w:r>
      <w:r w:rsidR="00BC0876" w:rsidRPr="002D4FC2">
        <w:t>’</w:t>
      </w:r>
      <w:r w:rsidR="00C72C97" w:rsidRPr="002D4FC2">
        <w:t>homologation</w:t>
      </w:r>
      <w:r w:rsidR="00C72C97" w:rsidRPr="002D4FC2">
        <w:rPr>
          <w:rStyle w:val="FootnoteReference"/>
        </w:rPr>
        <w:footnoteReference w:id="5"/>
      </w:r>
      <w:r w:rsidR="00EC1C31">
        <w:t> ;</w:t>
      </w:r>
    </w:p>
    <w:p w:rsidR="00C72C97" w:rsidRPr="002D4FC2" w:rsidRDefault="009368EE" w:rsidP="00C00099">
      <w:pPr>
        <w:pStyle w:val="SingleTxtG"/>
        <w:ind w:left="2268" w:hanging="1134"/>
      </w:pPr>
      <w:r>
        <w:t>4.4.2</w:t>
      </w:r>
      <w:r w:rsidR="00C72C97" w:rsidRPr="002D4FC2">
        <w:tab/>
        <w:t>Du numéro du présent Règlement, suivi de la lettre «</w:t>
      </w:r>
      <w:r w:rsidR="00EC1C31">
        <w:t> </w:t>
      </w:r>
      <w:r w:rsidR="00C72C97" w:rsidRPr="002D4FC2">
        <w:t>R</w:t>
      </w:r>
      <w:r w:rsidR="00EC1C31">
        <w:t> </w:t>
      </w:r>
      <w:r w:rsidR="00C72C97" w:rsidRPr="002D4FC2">
        <w:t>», d</w:t>
      </w:r>
      <w:r w:rsidR="00BC0876" w:rsidRPr="002D4FC2">
        <w:t>’</w:t>
      </w:r>
      <w:r w:rsidR="00C72C97" w:rsidRPr="002D4FC2">
        <w:t>un tiret et du numéro d</w:t>
      </w:r>
      <w:r w:rsidR="00BC0876" w:rsidRPr="002D4FC2">
        <w:t>’</w:t>
      </w:r>
      <w:r w:rsidR="00C72C97" w:rsidRPr="002D4FC2">
        <w:t>homologation, à la droite du cercle prévu au paragraphe 4.4.1.</w:t>
      </w:r>
    </w:p>
    <w:p w:rsidR="00C72C97" w:rsidRPr="002D4FC2" w:rsidRDefault="009368EE" w:rsidP="00C00099">
      <w:pPr>
        <w:pStyle w:val="SingleTxtG"/>
        <w:ind w:left="2268" w:hanging="1134"/>
      </w:pPr>
      <w:r>
        <w:lastRenderedPageBreak/>
        <w:t>4.5</w:t>
      </w:r>
      <w:r w:rsidR="00C72C97" w:rsidRPr="002D4FC2">
        <w:tab/>
        <w:t>Si le véhicule est conforme à un type de véhicule homologué en application d</w:t>
      </w:r>
      <w:r w:rsidR="00BC0876" w:rsidRPr="002D4FC2">
        <w:t>’</w:t>
      </w:r>
      <w:r w:rsidR="00C72C97" w:rsidRPr="002D4FC2">
        <w:t>un autre ou d</w:t>
      </w:r>
      <w:r w:rsidR="00BC0876" w:rsidRPr="002D4FC2">
        <w:t>’</w:t>
      </w:r>
      <w:r w:rsidR="00C72C97" w:rsidRPr="002D4FC2">
        <w:t>autres Règlements annexés à l</w:t>
      </w:r>
      <w:r w:rsidR="00BC0876" w:rsidRPr="002D4FC2">
        <w:t>’</w:t>
      </w:r>
      <w:r w:rsidR="00C72C97" w:rsidRPr="002D4FC2">
        <w:t>Accord dans le même pays que celui qui a accordé l</w:t>
      </w:r>
      <w:r w:rsidR="00BC0876" w:rsidRPr="002D4FC2">
        <w:t>’</w:t>
      </w:r>
      <w:r w:rsidR="00C72C97" w:rsidRPr="002D4FC2">
        <w:t>homologation en application du présent Règlement, le symbole prévu au paragraphe 4.4.1 n</w:t>
      </w:r>
      <w:r w:rsidR="00BC0876" w:rsidRPr="002D4FC2">
        <w:t>’</w:t>
      </w:r>
      <w:r w:rsidR="00C72C97" w:rsidRPr="002D4FC2">
        <w:t>a pas à être répété</w:t>
      </w:r>
      <w:r w:rsidR="006021F0" w:rsidRPr="002D4FC2">
        <w:t> ;</w:t>
      </w:r>
      <w:r w:rsidR="00C72C97" w:rsidRPr="002D4FC2">
        <w:t xml:space="preserve"> dans ce cas, les numéros et symboles additionnels de tous les Règlements au titre desquels l</w:t>
      </w:r>
      <w:r w:rsidR="00BC0876" w:rsidRPr="002D4FC2">
        <w:t>’</w:t>
      </w:r>
      <w:r w:rsidR="00C72C97" w:rsidRPr="002D4FC2">
        <w:t>homologation est accordée dans le pays ayant accordé l</w:t>
      </w:r>
      <w:r w:rsidR="00BC0876" w:rsidRPr="002D4FC2">
        <w:t>’</w:t>
      </w:r>
      <w:r w:rsidR="00C72C97" w:rsidRPr="002D4FC2">
        <w:t>homologation en application du présent Règlement doivent être rangés en colonnes verticales situées à droite du symbole prévu au paragraphe 4.4.1.</w:t>
      </w:r>
    </w:p>
    <w:p w:rsidR="00C72C97" w:rsidRPr="002D4FC2" w:rsidRDefault="009368EE" w:rsidP="00C00099">
      <w:pPr>
        <w:pStyle w:val="SingleTxtG"/>
        <w:ind w:left="2268" w:hanging="1134"/>
      </w:pPr>
      <w:r>
        <w:t>4.6</w:t>
      </w:r>
      <w:r w:rsidR="00C72C97" w:rsidRPr="002D4FC2">
        <w:tab/>
        <w:t>La marque d</w:t>
      </w:r>
      <w:r w:rsidR="00BC0876" w:rsidRPr="002D4FC2">
        <w:t>’</w:t>
      </w:r>
      <w:r w:rsidR="00C72C97" w:rsidRPr="002D4FC2">
        <w:t>homologation doit être nettement lisible et indélébile.</w:t>
      </w:r>
    </w:p>
    <w:p w:rsidR="00C72C97" w:rsidRPr="002D4FC2" w:rsidRDefault="009368EE" w:rsidP="00C00099">
      <w:pPr>
        <w:pStyle w:val="SingleTxtG"/>
        <w:ind w:left="2268" w:hanging="1134"/>
      </w:pPr>
      <w:r>
        <w:t>4.7</w:t>
      </w:r>
      <w:r w:rsidR="00C72C97" w:rsidRPr="002D4FC2">
        <w:tab/>
        <w:t>La marque d</w:t>
      </w:r>
      <w:r w:rsidR="00BC0876" w:rsidRPr="002D4FC2">
        <w:t>’</w:t>
      </w:r>
      <w:r w:rsidR="00C72C97" w:rsidRPr="002D4FC2">
        <w:t>homologation est placée au voisinage de la plaque apposée par le constructeur et donnant les caractéristiques des véhicules, ou sur cette plaque.</w:t>
      </w:r>
    </w:p>
    <w:p w:rsidR="00C72C97" w:rsidRPr="002D4FC2" w:rsidRDefault="009368EE" w:rsidP="00C00099">
      <w:pPr>
        <w:pStyle w:val="SingleTxtG"/>
        <w:ind w:left="2268" w:hanging="1134"/>
      </w:pPr>
      <w:r>
        <w:t>4.8</w:t>
      </w:r>
      <w:r w:rsidR="00C72C97" w:rsidRPr="002D4FC2">
        <w:tab/>
        <w:t>L</w:t>
      </w:r>
      <w:r w:rsidR="00BC0876" w:rsidRPr="002D4FC2">
        <w:t>’</w:t>
      </w:r>
      <w:r w:rsidR="00C72C97" w:rsidRPr="002D4FC2">
        <w:t>annexe 2 du présent Règlement donne des exemples de schémas des marques d</w:t>
      </w:r>
      <w:r w:rsidR="00BC0876" w:rsidRPr="002D4FC2">
        <w:t>’</w:t>
      </w:r>
      <w:r w:rsidR="00C72C97" w:rsidRPr="002D4FC2">
        <w:t>homologation.</w:t>
      </w:r>
    </w:p>
    <w:p w:rsidR="00C72C97" w:rsidRPr="002D64B7" w:rsidRDefault="00C72C97" w:rsidP="00FE11D6">
      <w:pPr>
        <w:pStyle w:val="SingleTxtG"/>
        <w:ind w:left="2268" w:hanging="1134"/>
        <w:jc w:val="left"/>
        <w:rPr>
          <w:b/>
          <w:sz w:val="28"/>
          <w:szCs w:val="28"/>
        </w:rPr>
      </w:pPr>
      <w:r w:rsidRPr="002D64B7">
        <w:rPr>
          <w:b/>
          <w:sz w:val="28"/>
          <w:szCs w:val="28"/>
        </w:rPr>
        <w:t>5.</w:t>
      </w:r>
      <w:r w:rsidR="00D21F68" w:rsidRPr="002D64B7">
        <w:rPr>
          <w:b/>
          <w:sz w:val="28"/>
          <w:szCs w:val="28"/>
        </w:rPr>
        <w:tab/>
      </w:r>
      <w:r w:rsidRPr="002D64B7">
        <w:rPr>
          <w:b/>
          <w:sz w:val="28"/>
          <w:szCs w:val="28"/>
        </w:rPr>
        <w:t>Spécifications</w:t>
      </w:r>
      <w:bookmarkStart w:id="16" w:name="_Toc441498661"/>
      <w:bookmarkStart w:id="17" w:name="_Toc441498799"/>
      <w:bookmarkEnd w:id="16"/>
      <w:bookmarkEnd w:id="17"/>
    </w:p>
    <w:p w:rsidR="00C72C97" w:rsidRPr="002D4FC2" w:rsidRDefault="009368EE" w:rsidP="00C00099">
      <w:pPr>
        <w:pStyle w:val="SingleTxtG"/>
        <w:ind w:left="2268" w:hanging="1134"/>
      </w:pPr>
      <w:r>
        <w:t>5.1</w:t>
      </w:r>
      <w:r w:rsidR="00C72C97" w:rsidRPr="002D4FC2">
        <w:tab/>
        <w:t>Un indicateur de vitesse et un compteur kilométrique conformes aux prescriptions du présent Règlement doivent être installés à bord du véhicule à homologuer.</w:t>
      </w:r>
    </w:p>
    <w:p w:rsidR="00C72C97" w:rsidRPr="002D4FC2" w:rsidRDefault="009368EE" w:rsidP="00C00099">
      <w:pPr>
        <w:pStyle w:val="SingleTxtG"/>
        <w:ind w:left="2268" w:hanging="1134"/>
      </w:pPr>
      <w:r>
        <w:t>5.2</w:t>
      </w:r>
      <w:r w:rsidR="00C72C97" w:rsidRPr="002D4FC2">
        <w:tab/>
        <w:t>L</w:t>
      </w:r>
      <w:r w:rsidR="00BC0876" w:rsidRPr="002D4FC2">
        <w:t>’</w:t>
      </w:r>
      <w:r w:rsidR="00C72C97" w:rsidRPr="002D4FC2">
        <w:t>afficheur de l</w:t>
      </w:r>
      <w:r w:rsidR="00BC0876" w:rsidRPr="002D4FC2">
        <w:t>’</w:t>
      </w:r>
      <w:r w:rsidR="00C72C97" w:rsidRPr="002D4FC2">
        <w:t>indicateur de vitesse doit être situé dans le champ de vision direct du conducteur et doit être clairement lisible de jour et de nuit. La plage de vitesses affichées doit être suffisamment étendue pour inclure la vitesse maximale indiquée par le constructeur pour ce type de véhicule.</w:t>
      </w:r>
    </w:p>
    <w:p w:rsidR="00C72C97" w:rsidRPr="002D4FC2" w:rsidRDefault="009368EE" w:rsidP="00C00099">
      <w:pPr>
        <w:pStyle w:val="SingleTxtG"/>
        <w:ind w:left="2268" w:hanging="1134"/>
      </w:pPr>
      <w:r>
        <w:t>5.2.1</w:t>
      </w:r>
      <w:r w:rsidR="00C72C97" w:rsidRPr="002D4FC2">
        <w:tab/>
        <w:t>Sur les indicateurs de vitesse destinés à être montés sur des véhicules des catégories M, N, et L</w:t>
      </w:r>
      <w:r w:rsidR="00C72C97" w:rsidRPr="002D4FC2">
        <w:rPr>
          <w:vertAlign w:val="subscript"/>
        </w:rPr>
        <w:t>3</w:t>
      </w:r>
      <w:r w:rsidR="00C72C97" w:rsidRPr="002D4FC2">
        <w:t>, L</w:t>
      </w:r>
      <w:r w:rsidR="00C72C97" w:rsidRPr="002D4FC2">
        <w:rPr>
          <w:vertAlign w:val="subscript"/>
        </w:rPr>
        <w:t>4</w:t>
      </w:r>
      <w:r w:rsidR="00C72C97" w:rsidRPr="002D4FC2">
        <w:t>, et L</w:t>
      </w:r>
      <w:r w:rsidR="00C72C97" w:rsidRPr="002D4FC2">
        <w:rPr>
          <w:vertAlign w:val="subscript"/>
        </w:rPr>
        <w:t>5</w:t>
      </w:r>
      <w:r w:rsidR="00C72C97" w:rsidRPr="002D4FC2">
        <w:t>, l</w:t>
      </w:r>
      <w:r w:rsidR="00BC0876" w:rsidRPr="002D4FC2">
        <w:t>’</w:t>
      </w:r>
      <w:r w:rsidR="00C72C97" w:rsidRPr="002D4FC2">
        <w:t>intervalle entre deux graduations do</w:t>
      </w:r>
      <w:r w:rsidR="00436F6E">
        <w:t>it correspondre à 1, 2, 5 ou 10 </w:t>
      </w:r>
      <w:r w:rsidR="00C72C97" w:rsidRPr="002D4FC2">
        <w:t>km/h. Quant à l</w:t>
      </w:r>
      <w:r w:rsidR="00BC0876" w:rsidRPr="002D4FC2">
        <w:t>’</w:t>
      </w:r>
      <w:r w:rsidR="00C72C97" w:rsidRPr="002D4FC2">
        <w:t>intervalle entre les valeurs numériques inscrites sur l</w:t>
      </w:r>
      <w:r w:rsidR="00BC0876" w:rsidRPr="002D4FC2">
        <w:t>’</w:t>
      </w:r>
      <w:r w:rsidR="00C72C97" w:rsidRPr="002D4FC2">
        <w:t xml:space="preserve">afficheur, il </w:t>
      </w:r>
      <w:r w:rsidR="00436F6E">
        <w:t>ne doit pas être supérieur à 20 </w:t>
      </w:r>
      <w:r w:rsidR="00C72C97" w:rsidRPr="002D4FC2">
        <w:t>km/h sur les indicateurs de vitesse gradués jusqu</w:t>
      </w:r>
      <w:r w:rsidR="00BC0876" w:rsidRPr="002D4FC2">
        <w:t>’</w:t>
      </w:r>
      <w:r w:rsidR="00436F6E">
        <w:t>à 200 km/h, et à 30 </w:t>
      </w:r>
      <w:r w:rsidR="00C72C97" w:rsidRPr="002D4FC2">
        <w:t>km/h sur les indicateurs de vitesse gradués au-delà. L</w:t>
      </w:r>
      <w:r w:rsidR="00BC0876" w:rsidRPr="002D4FC2">
        <w:t>’</w:t>
      </w:r>
      <w:r w:rsidR="00C72C97" w:rsidRPr="002D4FC2">
        <w:t>intervalle entre les valeurs numériques inscrites ne doit pas nécessairement être uniforme.</w:t>
      </w:r>
    </w:p>
    <w:p w:rsidR="00C72C97" w:rsidRPr="002D4FC2" w:rsidRDefault="009368EE" w:rsidP="00C00099">
      <w:pPr>
        <w:pStyle w:val="SingleTxtG"/>
        <w:ind w:left="2268" w:hanging="1134"/>
      </w:pPr>
      <w:r>
        <w:t>5.2.2</w:t>
      </w:r>
      <w:r w:rsidR="00D21F68" w:rsidRPr="002D4FC2">
        <w:tab/>
      </w:r>
      <w:r w:rsidR="00C72C97" w:rsidRPr="002D4FC2">
        <w:t>Sur les indicateurs de vitesse destinés à être montés sur des véhicules des catégories</w:t>
      </w:r>
      <w:r w:rsidR="00436F6E">
        <w:t xml:space="preserve"> </w:t>
      </w:r>
      <w:r w:rsidR="00C72C97" w:rsidRPr="002D4FC2">
        <w:t>M, N, et L</w:t>
      </w:r>
      <w:r w:rsidR="00C72C97" w:rsidRPr="002D4FC2">
        <w:rPr>
          <w:vertAlign w:val="subscript"/>
        </w:rPr>
        <w:t>3</w:t>
      </w:r>
      <w:r w:rsidR="00C72C97" w:rsidRPr="002D4FC2">
        <w:t>, L</w:t>
      </w:r>
      <w:r w:rsidR="00C72C97" w:rsidRPr="002D4FC2">
        <w:rPr>
          <w:vertAlign w:val="subscript"/>
        </w:rPr>
        <w:t>4</w:t>
      </w:r>
      <w:r w:rsidR="00C72C97" w:rsidRPr="002D4FC2">
        <w:t xml:space="preserve"> et L</w:t>
      </w:r>
      <w:r w:rsidR="00C72C97" w:rsidRPr="002D4FC2">
        <w:rPr>
          <w:vertAlign w:val="subscript"/>
        </w:rPr>
        <w:t>5</w:t>
      </w:r>
      <w:r w:rsidR="00C72C97" w:rsidRPr="002D4FC2">
        <w:t xml:space="preserve"> construits pour être vendus dans un pays utilisant les unités de mesure anglo-saxonnes, l</w:t>
      </w:r>
      <w:r w:rsidR="00BC0876" w:rsidRPr="002D4FC2">
        <w:t>’</w:t>
      </w:r>
      <w:r w:rsidR="00C72C97" w:rsidRPr="002D4FC2">
        <w:t>indicateur de vitesse doit aussi être marqué en mph (miles per hour)</w:t>
      </w:r>
      <w:r w:rsidR="006021F0" w:rsidRPr="002D4FC2">
        <w:t> ;</w:t>
      </w:r>
      <w:r w:rsidR="00C72C97" w:rsidRPr="002D4FC2">
        <w:t xml:space="preserve"> l</w:t>
      </w:r>
      <w:r w:rsidR="00BC0876" w:rsidRPr="002D4FC2">
        <w:t>’</w:t>
      </w:r>
      <w:r w:rsidR="00C72C97" w:rsidRPr="002D4FC2">
        <w:t>intervalle entre deux graduations doit correspondre à</w:t>
      </w:r>
      <w:r w:rsidR="00436F6E">
        <w:t xml:space="preserve"> </w:t>
      </w:r>
      <w:r w:rsidR="00C72C97" w:rsidRPr="002D4FC2">
        <w:t>1, 2, 5 ou 10 mph. Quant à l</w:t>
      </w:r>
      <w:r w:rsidR="00BC0876" w:rsidRPr="002D4FC2">
        <w:t>’</w:t>
      </w:r>
      <w:r w:rsidR="00C72C97" w:rsidRPr="002D4FC2">
        <w:t>intervalle entre les valeurs numériques inscrites sur le cadran, il ne doit pas être supérieur à 20 mph, et la première valeur indiquée doit être 10 ou 20 mph. L</w:t>
      </w:r>
      <w:r w:rsidR="00BC0876" w:rsidRPr="002D4FC2">
        <w:t>’</w:t>
      </w:r>
      <w:r w:rsidR="00C72C97" w:rsidRPr="002D4FC2">
        <w:t>intervalle entre les valeurs numériques inscrites ne doit pas nécessairement être uniforme.</w:t>
      </w:r>
    </w:p>
    <w:p w:rsidR="00C72C97" w:rsidRPr="002D4FC2" w:rsidRDefault="009368EE" w:rsidP="00C00099">
      <w:pPr>
        <w:pStyle w:val="SingleTxtG"/>
        <w:ind w:left="2268" w:hanging="1134"/>
      </w:pPr>
      <w:r>
        <w:t>5.2.3</w:t>
      </w:r>
      <w:r w:rsidR="00C72C97" w:rsidRPr="002D4FC2">
        <w:tab/>
        <w:t>Sur les indicateurs de vitesse destinés à être montés sur des véhicules des catégories L</w:t>
      </w:r>
      <w:r w:rsidR="00C72C97" w:rsidRPr="002D4FC2">
        <w:rPr>
          <w:vertAlign w:val="subscript"/>
        </w:rPr>
        <w:t>1</w:t>
      </w:r>
      <w:r w:rsidR="00C72C97" w:rsidRPr="002D4FC2">
        <w:t xml:space="preserve"> (cyclomoteurs) et L</w:t>
      </w:r>
      <w:r w:rsidR="00C72C97" w:rsidRPr="002D4FC2">
        <w:rPr>
          <w:vertAlign w:val="subscript"/>
        </w:rPr>
        <w:t>2</w:t>
      </w:r>
      <w:r w:rsidR="00C72C97" w:rsidRPr="002D4FC2">
        <w:t>, les valeurs indiquées sur l</w:t>
      </w:r>
      <w:r w:rsidR="00BC0876" w:rsidRPr="002D4FC2">
        <w:t>’</w:t>
      </w:r>
      <w:r w:rsidR="00C72C97" w:rsidRPr="002D4FC2">
        <w:t>afficheur ne do</w:t>
      </w:r>
      <w:r w:rsidR="00436F6E">
        <w:t>ivent pas être supérieures à 80 </w:t>
      </w:r>
      <w:r w:rsidR="00C72C97" w:rsidRPr="002D4FC2">
        <w:t>km/h. L</w:t>
      </w:r>
      <w:r w:rsidR="00BC0876" w:rsidRPr="002D4FC2">
        <w:t>’</w:t>
      </w:r>
      <w:r w:rsidR="00C72C97" w:rsidRPr="002D4FC2">
        <w:t>intervalle entre deux graduations doit correspondre à 1, 2, 5 ou 1</w:t>
      </w:r>
      <w:r w:rsidR="00436F6E">
        <w:t>0 </w:t>
      </w:r>
      <w:r w:rsidR="00C72C97" w:rsidRPr="002D4FC2">
        <w:t>km/h et l</w:t>
      </w:r>
      <w:r w:rsidR="00BC0876" w:rsidRPr="002D4FC2">
        <w:t>’</w:t>
      </w:r>
      <w:r w:rsidR="00C72C97" w:rsidRPr="002D4FC2">
        <w:t xml:space="preserve">intervalle entre les valeurs numériques inscrites </w:t>
      </w:r>
      <w:r w:rsidR="00436F6E">
        <w:t>ne doit pas être supérieur à 10 </w:t>
      </w:r>
      <w:r w:rsidR="00C72C97" w:rsidRPr="002D4FC2">
        <w:t>km/h. L</w:t>
      </w:r>
      <w:r w:rsidR="00BC0876" w:rsidRPr="002D4FC2">
        <w:t>’</w:t>
      </w:r>
      <w:r w:rsidR="00C72C97" w:rsidRPr="002D4FC2">
        <w:t>intervalle entre les valeurs numériques inscrites ne doit pas nécessairement être uniforme.</w:t>
      </w:r>
    </w:p>
    <w:p w:rsidR="00C72C97" w:rsidRPr="002D4FC2" w:rsidRDefault="009368EE" w:rsidP="00C00099">
      <w:pPr>
        <w:pStyle w:val="SingleTxtG"/>
        <w:ind w:left="2268" w:hanging="1134"/>
      </w:pPr>
      <w:r>
        <w:t>5.3</w:t>
      </w:r>
      <w:r w:rsidR="00C72C97" w:rsidRPr="002D4FC2">
        <w:tab/>
        <w:t>La précision de l</w:t>
      </w:r>
      <w:r w:rsidR="00BC0876" w:rsidRPr="002D4FC2">
        <w:t>’</w:t>
      </w:r>
      <w:r w:rsidR="00C72C97" w:rsidRPr="002D4FC2">
        <w:t>appareil indicateur de vitesse sera contrôlée conformément à la procédure ci-après</w:t>
      </w:r>
      <w:r w:rsidR="006021F0" w:rsidRPr="002D4FC2">
        <w:t> :</w:t>
      </w:r>
    </w:p>
    <w:p w:rsidR="00C72C97" w:rsidRPr="002D4FC2" w:rsidRDefault="009368EE" w:rsidP="00C00099">
      <w:pPr>
        <w:pStyle w:val="SingleTxtG"/>
        <w:ind w:left="2268" w:hanging="1134"/>
      </w:pPr>
      <w:r>
        <w:t>5.3.1</w:t>
      </w:r>
      <w:r w:rsidR="00C72C97" w:rsidRPr="002D4FC2">
        <w:tab/>
        <w:t>Les pneumatiques doivent être d</w:t>
      </w:r>
      <w:r w:rsidR="00BC0876" w:rsidRPr="002D4FC2">
        <w:t>’</w:t>
      </w:r>
      <w:r w:rsidR="00C72C97" w:rsidRPr="002D4FC2">
        <w:t>un type de monte normale sur le véhicule selon la définition du paragraphe 2.3 du présent Règlement. Un essai doit être effectué pour chaque type d</w:t>
      </w:r>
      <w:r w:rsidR="00BC0876" w:rsidRPr="002D4FC2">
        <w:t>’</w:t>
      </w:r>
      <w:r w:rsidR="00C72C97" w:rsidRPr="002D4FC2">
        <w:t>indicateur de vitesse dont le montage est prévu par le constructeur</w:t>
      </w:r>
      <w:r w:rsidR="006021F0" w:rsidRPr="002D4FC2">
        <w:t> ;</w:t>
      </w:r>
    </w:p>
    <w:p w:rsidR="00C72C97" w:rsidRPr="002D4FC2" w:rsidRDefault="009368EE" w:rsidP="00AA6A77">
      <w:pPr>
        <w:pStyle w:val="SingleTxtG"/>
        <w:keepLines/>
        <w:ind w:left="2268" w:hanging="1134"/>
      </w:pPr>
      <w:r>
        <w:lastRenderedPageBreak/>
        <w:t>5.3.2</w:t>
      </w:r>
      <w:r w:rsidR="00C72C97" w:rsidRPr="002D4FC2">
        <w:tab/>
        <w:t>La charge sur l</w:t>
      </w:r>
      <w:r w:rsidR="00BC0876" w:rsidRPr="002D4FC2">
        <w:t>’</w:t>
      </w:r>
      <w:r w:rsidR="00C72C97" w:rsidRPr="002D4FC2">
        <w:t>essieu entraînant l</w:t>
      </w:r>
      <w:r w:rsidR="00BC0876" w:rsidRPr="002D4FC2">
        <w:t>’</w:t>
      </w:r>
      <w:r w:rsidR="00C72C97" w:rsidRPr="002D4FC2">
        <w:t>appareil indicateur de vitesse devra correspondre au poids proportionnel du véhicule à vide. Le poids du véhicule et la répartition de ce poids entre les essieux doivent être indiqués sur la fiche de communication (voir annexe 1, point 7)</w:t>
      </w:r>
      <w:r w:rsidR="006021F0" w:rsidRPr="002D4FC2">
        <w:t> ;</w:t>
      </w:r>
    </w:p>
    <w:p w:rsidR="00C72C97" w:rsidRPr="002D4FC2" w:rsidRDefault="009368EE" w:rsidP="00C00099">
      <w:pPr>
        <w:pStyle w:val="SingleTxtG"/>
        <w:ind w:left="2268" w:hanging="1134"/>
      </w:pPr>
      <w:r>
        <w:t>5.3.3</w:t>
      </w:r>
      <w:r w:rsidR="00C72C97" w:rsidRPr="002D4FC2">
        <w:tab/>
        <w:t>La température de référence à l</w:t>
      </w:r>
      <w:r w:rsidR="00BC0876" w:rsidRPr="002D4FC2">
        <w:t>’</w:t>
      </w:r>
      <w:r w:rsidR="00C72C97" w:rsidRPr="002D4FC2">
        <w:t>emplacement de l</w:t>
      </w:r>
      <w:r w:rsidR="00BC0876" w:rsidRPr="002D4FC2">
        <w:t>’</w:t>
      </w:r>
      <w:r w:rsidR="00C72C97" w:rsidRPr="002D4FC2">
        <w:t>indicat</w:t>
      </w:r>
      <w:r w:rsidR="00AA6A77">
        <w:t>eur de vitesse devra être de 23 </w:t>
      </w:r>
      <w:r w:rsidR="00C72C97" w:rsidRPr="002D4FC2">
        <w:sym w:font="WP MathA" w:char="F022"/>
      </w:r>
      <w:r w:rsidR="00AA6A77">
        <w:t> 5 </w:t>
      </w:r>
      <w:r w:rsidR="00C72C97" w:rsidRPr="002D4FC2">
        <w:t>°C</w:t>
      </w:r>
      <w:r w:rsidR="006021F0" w:rsidRPr="002D4FC2">
        <w:t> ;</w:t>
      </w:r>
    </w:p>
    <w:p w:rsidR="00C72C97" w:rsidRPr="002D4FC2" w:rsidRDefault="009368EE" w:rsidP="00C00099">
      <w:pPr>
        <w:pStyle w:val="SingleTxtG"/>
        <w:ind w:left="2268" w:hanging="1134"/>
      </w:pPr>
      <w:r>
        <w:t>5.3.4</w:t>
      </w:r>
      <w:r w:rsidR="00C72C97" w:rsidRPr="002D4FC2">
        <w:tab/>
        <w:t>Lors de chaque essai, la pression des pneumatiques devra être la pression normale de marche définie au paragraphe 2.4</w:t>
      </w:r>
      <w:r w:rsidR="006021F0" w:rsidRPr="002D4FC2">
        <w:t> ;</w:t>
      </w:r>
    </w:p>
    <w:p w:rsidR="00C72C97" w:rsidRPr="002D4FC2" w:rsidRDefault="009368EE" w:rsidP="00C00099">
      <w:pPr>
        <w:pStyle w:val="SingleTxtG"/>
        <w:ind w:left="2268" w:hanging="1134"/>
      </w:pPr>
      <w:r>
        <w:t>5.3.5</w:t>
      </w:r>
      <w:r w:rsidR="00C72C97" w:rsidRPr="002D4FC2">
        <w:tab/>
        <w:t>Le véhicule sera essayé aux vitesses indiquées dans le tableau ci-dessous</w:t>
      </w:r>
      <w:r w:rsidR="006021F0" w:rsidRPr="002D4FC2">
        <w:t> :</w:t>
      </w:r>
      <w:r w:rsidR="00C72C97" w:rsidRPr="002D4FC2">
        <w:t xml:space="preserve"> </w:t>
      </w:r>
    </w:p>
    <w:tbl>
      <w:tblPr>
        <w:tblW w:w="7371" w:type="dxa"/>
        <w:tblInd w:w="1134" w:type="dxa"/>
        <w:tblLayout w:type="fixed"/>
        <w:tblCellMar>
          <w:left w:w="0" w:type="dxa"/>
          <w:right w:w="0" w:type="dxa"/>
        </w:tblCellMar>
        <w:tblLook w:val="0000" w:firstRow="0" w:lastRow="0" w:firstColumn="0" w:lastColumn="0" w:noHBand="0" w:noVBand="0"/>
      </w:tblPr>
      <w:tblGrid>
        <w:gridCol w:w="3733"/>
        <w:gridCol w:w="3638"/>
      </w:tblGrid>
      <w:tr w:rsidR="00C72C97" w:rsidRPr="00AA6A77" w:rsidTr="003F0255">
        <w:trPr>
          <w:tblHeader/>
        </w:trPr>
        <w:tc>
          <w:tcPr>
            <w:tcW w:w="3732" w:type="dxa"/>
            <w:tcBorders>
              <w:top w:val="single" w:sz="4" w:space="0" w:color="auto"/>
              <w:left w:val="single" w:sz="4" w:space="0" w:color="auto"/>
              <w:bottom w:val="single" w:sz="12" w:space="0" w:color="auto"/>
              <w:right w:val="single" w:sz="4" w:space="0" w:color="auto"/>
            </w:tcBorders>
            <w:shd w:val="clear" w:color="auto" w:fill="auto"/>
            <w:vAlign w:val="center"/>
          </w:tcPr>
          <w:p w:rsidR="00C72C97" w:rsidRPr="00AA6A77" w:rsidRDefault="00C72C97" w:rsidP="003F0255">
            <w:pPr>
              <w:suppressAutoHyphens w:val="0"/>
              <w:spacing w:before="80" w:after="80" w:line="200" w:lineRule="exact"/>
              <w:ind w:left="113" w:right="113"/>
              <w:rPr>
                <w:i/>
                <w:sz w:val="16"/>
              </w:rPr>
            </w:pPr>
            <w:r w:rsidRPr="00AA6A77">
              <w:rPr>
                <w:i/>
                <w:sz w:val="16"/>
              </w:rPr>
              <w:t xml:space="preserve">Vitesse maximale déclarée </w:t>
            </w:r>
            <w:r w:rsidR="00040E3A">
              <w:rPr>
                <w:i/>
                <w:sz w:val="16"/>
              </w:rPr>
              <w:br/>
            </w:r>
            <w:r w:rsidRPr="00AA6A77">
              <w:rPr>
                <w:i/>
                <w:sz w:val="16"/>
              </w:rPr>
              <w:t>par le constructeur (Vmax) (km/h)</w:t>
            </w:r>
          </w:p>
        </w:tc>
        <w:tc>
          <w:tcPr>
            <w:tcW w:w="3638" w:type="dxa"/>
            <w:tcBorders>
              <w:top w:val="single" w:sz="4" w:space="0" w:color="auto"/>
              <w:left w:val="single" w:sz="4" w:space="0" w:color="auto"/>
              <w:bottom w:val="single" w:sz="12" w:space="0" w:color="auto"/>
              <w:right w:val="single" w:sz="4" w:space="0" w:color="auto"/>
            </w:tcBorders>
            <w:shd w:val="clear" w:color="auto" w:fill="auto"/>
            <w:vAlign w:val="center"/>
          </w:tcPr>
          <w:p w:rsidR="00C72C97" w:rsidRPr="00AA6A77" w:rsidRDefault="00C72C97" w:rsidP="003F0255">
            <w:pPr>
              <w:suppressAutoHyphens w:val="0"/>
              <w:spacing w:before="80" w:after="80" w:line="200" w:lineRule="exact"/>
              <w:ind w:left="113" w:right="113"/>
              <w:rPr>
                <w:i/>
                <w:sz w:val="16"/>
              </w:rPr>
            </w:pPr>
            <w:r w:rsidRPr="00AA6A77">
              <w:rPr>
                <w:i/>
                <w:sz w:val="16"/>
              </w:rPr>
              <w:t>Vitesse d</w:t>
            </w:r>
            <w:r w:rsidR="00BC0876" w:rsidRPr="00AA6A77">
              <w:rPr>
                <w:i/>
                <w:sz w:val="16"/>
              </w:rPr>
              <w:t>’</w:t>
            </w:r>
            <w:r w:rsidRPr="00AA6A77">
              <w:rPr>
                <w:i/>
                <w:sz w:val="16"/>
              </w:rPr>
              <w:t>essai (V</w:t>
            </w:r>
            <w:r w:rsidRPr="000B5E0E">
              <w:rPr>
                <w:i/>
                <w:sz w:val="16"/>
                <w:vertAlign w:val="subscript"/>
              </w:rPr>
              <w:t>1</w:t>
            </w:r>
            <w:r w:rsidRPr="00AA6A77">
              <w:rPr>
                <w:i/>
                <w:sz w:val="16"/>
              </w:rPr>
              <w:t>) (km/h)</w:t>
            </w:r>
          </w:p>
        </w:tc>
      </w:tr>
      <w:tr w:rsidR="00C72C97" w:rsidRPr="00AA6A77" w:rsidTr="003F0255">
        <w:tc>
          <w:tcPr>
            <w:tcW w:w="3732" w:type="dxa"/>
            <w:tcBorders>
              <w:top w:val="single" w:sz="12" w:space="0" w:color="auto"/>
              <w:left w:val="single" w:sz="4" w:space="0" w:color="auto"/>
              <w:right w:val="single" w:sz="4" w:space="0" w:color="auto"/>
            </w:tcBorders>
            <w:shd w:val="clear" w:color="auto" w:fill="auto"/>
            <w:tcMar>
              <w:left w:w="0" w:type="dxa"/>
            </w:tcMar>
          </w:tcPr>
          <w:p w:rsidR="00C72C97" w:rsidRPr="00AA6A77" w:rsidRDefault="00C72C97" w:rsidP="003F0255">
            <w:pPr>
              <w:suppressAutoHyphens w:val="0"/>
              <w:spacing w:before="40" w:after="40" w:line="220" w:lineRule="exact"/>
              <w:ind w:left="113" w:right="113"/>
              <w:rPr>
                <w:sz w:val="18"/>
              </w:rPr>
            </w:pPr>
            <w:r w:rsidRPr="00AA6A77">
              <w:rPr>
                <w:sz w:val="18"/>
              </w:rPr>
              <w:t>Vmax ≤ 45</w:t>
            </w:r>
          </w:p>
        </w:tc>
        <w:tc>
          <w:tcPr>
            <w:tcW w:w="3638" w:type="dxa"/>
            <w:tcBorders>
              <w:top w:val="single" w:sz="12" w:space="0" w:color="auto"/>
              <w:left w:val="single" w:sz="4" w:space="0" w:color="auto"/>
              <w:right w:val="single" w:sz="4" w:space="0" w:color="auto"/>
            </w:tcBorders>
            <w:shd w:val="clear" w:color="auto" w:fill="auto"/>
            <w:tcMar>
              <w:left w:w="0" w:type="dxa"/>
              <w:right w:w="0" w:type="dxa"/>
            </w:tcMar>
          </w:tcPr>
          <w:p w:rsidR="00C72C97" w:rsidRPr="00AA6A77" w:rsidRDefault="00C72C97" w:rsidP="003F0255">
            <w:pPr>
              <w:suppressAutoHyphens w:val="0"/>
              <w:spacing w:before="40" w:after="40" w:line="220" w:lineRule="exact"/>
              <w:ind w:left="113" w:right="113"/>
              <w:rPr>
                <w:sz w:val="18"/>
              </w:rPr>
            </w:pPr>
            <w:r w:rsidRPr="00AA6A77">
              <w:rPr>
                <w:sz w:val="18"/>
              </w:rPr>
              <w:t>80</w:t>
            </w:r>
            <w:r w:rsidR="0058526D">
              <w:rPr>
                <w:sz w:val="18"/>
              </w:rPr>
              <w:t> </w:t>
            </w:r>
            <w:r w:rsidRPr="00AA6A77">
              <w:rPr>
                <w:sz w:val="18"/>
              </w:rPr>
              <w:t>% Vmax</w:t>
            </w:r>
          </w:p>
        </w:tc>
      </w:tr>
      <w:tr w:rsidR="00C72C97" w:rsidRPr="00AA6A77" w:rsidTr="003F0255">
        <w:tc>
          <w:tcPr>
            <w:tcW w:w="3732" w:type="dxa"/>
            <w:tcBorders>
              <w:left w:val="single" w:sz="4" w:space="0" w:color="auto"/>
              <w:bottom w:val="single" w:sz="4" w:space="0" w:color="auto"/>
              <w:right w:val="single" w:sz="4" w:space="0" w:color="auto"/>
            </w:tcBorders>
            <w:shd w:val="clear" w:color="auto" w:fill="auto"/>
            <w:tcMar>
              <w:left w:w="0" w:type="dxa"/>
            </w:tcMar>
          </w:tcPr>
          <w:p w:rsidR="00C72C97" w:rsidRPr="00AA6A77" w:rsidRDefault="00C72C97" w:rsidP="003F0255">
            <w:pPr>
              <w:suppressAutoHyphens w:val="0"/>
              <w:spacing w:before="40" w:after="40" w:line="220" w:lineRule="exact"/>
              <w:ind w:left="113" w:right="113"/>
              <w:rPr>
                <w:sz w:val="18"/>
              </w:rPr>
            </w:pPr>
            <w:r w:rsidRPr="00AA6A77">
              <w:rPr>
                <w:sz w:val="18"/>
              </w:rPr>
              <w:t>45 &lt; Vmax ≤ 100</w:t>
            </w:r>
          </w:p>
        </w:tc>
        <w:tc>
          <w:tcPr>
            <w:tcW w:w="3638" w:type="dxa"/>
            <w:tcBorders>
              <w:left w:val="single" w:sz="4" w:space="0" w:color="auto"/>
              <w:bottom w:val="single" w:sz="4" w:space="0" w:color="auto"/>
              <w:right w:val="single" w:sz="4" w:space="0" w:color="auto"/>
            </w:tcBorders>
            <w:shd w:val="clear" w:color="auto" w:fill="auto"/>
            <w:tcMar>
              <w:left w:w="0" w:type="dxa"/>
              <w:right w:w="0" w:type="dxa"/>
            </w:tcMar>
          </w:tcPr>
          <w:p w:rsidR="00C72C97" w:rsidRPr="00AA6A77" w:rsidRDefault="0058526D" w:rsidP="003F0255">
            <w:pPr>
              <w:suppressAutoHyphens w:val="0"/>
              <w:spacing w:before="40" w:after="40" w:line="220" w:lineRule="exact"/>
              <w:ind w:left="113" w:right="113"/>
              <w:rPr>
                <w:sz w:val="18"/>
              </w:rPr>
            </w:pPr>
            <w:r>
              <w:rPr>
                <w:sz w:val="18"/>
              </w:rPr>
              <w:t>40 km/h et 80 </w:t>
            </w:r>
            <w:r w:rsidR="00C72C97" w:rsidRPr="00AA6A77">
              <w:rPr>
                <w:sz w:val="18"/>
              </w:rPr>
              <w:t xml:space="preserve">% de Vmax </w:t>
            </w:r>
            <w:r w:rsidR="00040E3A">
              <w:rPr>
                <w:sz w:val="18"/>
              </w:rPr>
              <w:br/>
            </w:r>
            <w:r>
              <w:rPr>
                <w:sz w:val="18"/>
              </w:rPr>
              <w:t>(si la vitesse résultante est ≥55 </w:t>
            </w:r>
            <w:r w:rsidR="00C72C97" w:rsidRPr="00AA6A77">
              <w:rPr>
                <w:sz w:val="18"/>
              </w:rPr>
              <w:t>km/h)</w:t>
            </w:r>
          </w:p>
        </w:tc>
      </w:tr>
      <w:tr w:rsidR="00C72C97" w:rsidRPr="00AA6A77" w:rsidTr="003F0255">
        <w:tc>
          <w:tcPr>
            <w:tcW w:w="3732" w:type="dxa"/>
            <w:tcBorders>
              <w:top w:val="single" w:sz="4" w:space="0" w:color="auto"/>
              <w:left w:val="single" w:sz="4" w:space="0" w:color="auto"/>
              <w:right w:val="single" w:sz="4" w:space="0" w:color="auto"/>
            </w:tcBorders>
            <w:shd w:val="clear" w:color="auto" w:fill="auto"/>
            <w:tcMar>
              <w:left w:w="0" w:type="dxa"/>
            </w:tcMar>
          </w:tcPr>
          <w:p w:rsidR="00C72C97" w:rsidRPr="00AA6A77" w:rsidRDefault="00C72C97" w:rsidP="003F0255">
            <w:pPr>
              <w:suppressAutoHyphens w:val="0"/>
              <w:spacing w:before="40" w:after="40" w:line="220" w:lineRule="exact"/>
              <w:ind w:left="113" w:right="113"/>
              <w:rPr>
                <w:sz w:val="18"/>
              </w:rPr>
            </w:pPr>
            <w:r w:rsidRPr="00AA6A77">
              <w:rPr>
                <w:sz w:val="18"/>
              </w:rPr>
              <w:t>100 &lt; Vmax ≤ 150</w:t>
            </w:r>
          </w:p>
        </w:tc>
        <w:tc>
          <w:tcPr>
            <w:tcW w:w="3638" w:type="dxa"/>
            <w:tcBorders>
              <w:top w:val="single" w:sz="4" w:space="0" w:color="auto"/>
              <w:left w:val="single" w:sz="4" w:space="0" w:color="auto"/>
              <w:right w:val="single" w:sz="4" w:space="0" w:color="auto"/>
            </w:tcBorders>
            <w:shd w:val="clear" w:color="auto" w:fill="auto"/>
            <w:tcMar>
              <w:left w:w="0" w:type="dxa"/>
              <w:right w:w="0" w:type="dxa"/>
            </w:tcMar>
          </w:tcPr>
          <w:p w:rsidR="00C72C97" w:rsidRPr="00AA6A77" w:rsidRDefault="0058526D" w:rsidP="003F0255">
            <w:pPr>
              <w:suppressAutoHyphens w:val="0"/>
              <w:spacing w:before="40" w:after="40" w:line="220" w:lineRule="exact"/>
              <w:ind w:left="113" w:right="113"/>
              <w:rPr>
                <w:sz w:val="18"/>
              </w:rPr>
            </w:pPr>
            <w:r>
              <w:rPr>
                <w:sz w:val="18"/>
              </w:rPr>
              <w:t>40 km/h, 80 km/h et 80 </w:t>
            </w:r>
            <w:r w:rsidR="00C72C97" w:rsidRPr="00AA6A77">
              <w:rPr>
                <w:sz w:val="18"/>
              </w:rPr>
              <w:t xml:space="preserve">% de Vmax </w:t>
            </w:r>
            <w:r w:rsidR="00040E3A">
              <w:rPr>
                <w:sz w:val="18"/>
              </w:rPr>
              <w:br/>
            </w:r>
            <w:r>
              <w:rPr>
                <w:sz w:val="18"/>
              </w:rPr>
              <w:t>(si la vitesse résultante est ≥</w:t>
            </w:r>
            <w:r w:rsidR="00C72C97" w:rsidRPr="00AA6A77">
              <w:rPr>
                <w:sz w:val="18"/>
              </w:rPr>
              <w:t>100</w:t>
            </w:r>
            <w:r>
              <w:rPr>
                <w:sz w:val="18"/>
              </w:rPr>
              <w:t> </w:t>
            </w:r>
            <w:r w:rsidR="00C72C97" w:rsidRPr="00AA6A77">
              <w:rPr>
                <w:sz w:val="18"/>
              </w:rPr>
              <w:t>km/h)</w:t>
            </w:r>
          </w:p>
        </w:tc>
      </w:tr>
      <w:tr w:rsidR="00C72C97" w:rsidRPr="00AA6A77" w:rsidTr="003F0255">
        <w:tc>
          <w:tcPr>
            <w:tcW w:w="3732" w:type="dxa"/>
            <w:tcBorders>
              <w:left w:val="single" w:sz="4" w:space="0" w:color="auto"/>
              <w:bottom w:val="single" w:sz="12" w:space="0" w:color="auto"/>
              <w:right w:val="single" w:sz="4" w:space="0" w:color="auto"/>
            </w:tcBorders>
            <w:shd w:val="clear" w:color="auto" w:fill="auto"/>
            <w:tcMar>
              <w:left w:w="0" w:type="dxa"/>
            </w:tcMar>
          </w:tcPr>
          <w:p w:rsidR="00C72C97" w:rsidRPr="00AA6A77" w:rsidRDefault="00C72C97" w:rsidP="003F0255">
            <w:pPr>
              <w:suppressAutoHyphens w:val="0"/>
              <w:spacing w:before="40" w:after="40" w:line="220" w:lineRule="exact"/>
              <w:ind w:left="113" w:right="113"/>
              <w:rPr>
                <w:sz w:val="18"/>
              </w:rPr>
            </w:pPr>
            <w:r w:rsidRPr="00AA6A77">
              <w:rPr>
                <w:sz w:val="18"/>
              </w:rPr>
              <w:t>150 &lt; Vmax</w:t>
            </w:r>
          </w:p>
        </w:tc>
        <w:tc>
          <w:tcPr>
            <w:tcW w:w="3638" w:type="dxa"/>
            <w:tcBorders>
              <w:left w:val="single" w:sz="4" w:space="0" w:color="auto"/>
              <w:bottom w:val="single" w:sz="12" w:space="0" w:color="auto"/>
              <w:right w:val="single" w:sz="4" w:space="0" w:color="auto"/>
            </w:tcBorders>
            <w:shd w:val="clear" w:color="auto" w:fill="auto"/>
            <w:tcMar>
              <w:left w:w="0" w:type="dxa"/>
              <w:right w:w="0" w:type="dxa"/>
            </w:tcMar>
          </w:tcPr>
          <w:p w:rsidR="00C72C97" w:rsidRPr="00AA6A77" w:rsidRDefault="0058526D" w:rsidP="003F0255">
            <w:pPr>
              <w:suppressAutoHyphens w:val="0"/>
              <w:spacing w:before="40" w:after="40" w:line="220" w:lineRule="exact"/>
              <w:ind w:left="113" w:right="113"/>
              <w:rPr>
                <w:sz w:val="18"/>
              </w:rPr>
            </w:pPr>
            <w:r>
              <w:rPr>
                <w:sz w:val="18"/>
              </w:rPr>
              <w:t>40 km/h, 80 km/h et 120 </w:t>
            </w:r>
            <w:r w:rsidR="00C72C97" w:rsidRPr="00AA6A77">
              <w:rPr>
                <w:sz w:val="18"/>
              </w:rPr>
              <w:t>km/h</w:t>
            </w:r>
          </w:p>
        </w:tc>
      </w:tr>
    </w:tbl>
    <w:p w:rsidR="00C72C97" w:rsidRPr="002D4FC2" w:rsidRDefault="009368EE" w:rsidP="0058526D">
      <w:pPr>
        <w:pStyle w:val="SingleTxtG"/>
        <w:spacing w:before="120"/>
        <w:ind w:left="2268" w:hanging="1134"/>
      </w:pPr>
      <w:r>
        <w:t>5.3.6</w:t>
      </w:r>
      <w:r w:rsidR="00C72C97" w:rsidRPr="002D4FC2">
        <w:tab/>
        <w:t>L</w:t>
      </w:r>
      <w:r w:rsidR="00BC0876" w:rsidRPr="002D4FC2">
        <w:t>’</w:t>
      </w:r>
      <w:r w:rsidR="00C72C97" w:rsidRPr="002D4FC2">
        <w:t xml:space="preserve">appareillage de contrôle utilisé pour la mesure de la vitesse réelle du véhicule devra avoir une précision de </w:t>
      </w:r>
      <w:r w:rsidR="00C72C97" w:rsidRPr="002D4FC2">
        <w:sym w:font="WP MathA" w:char="F022"/>
      </w:r>
      <w:r w:rsidR="00C72C97" w:rsidRPr="002D4FC2">
        <w:t> 0,5 %</w:t>
      </w:r>
      <w:r w:rsidR="006021F0" w:rsidRPr="002D4FC2">
        <w:t> ;</w:t>
      </w:r>
    </w:p>
    <w:p w:rsidR="00C72C97" w:rsidRPr="002D4FC2" w:rsidRDefault="009368EE" w:rsidP="00C00099">
      <w:pPr>
        <w:pStyle w:val="SingleTxtG"/>
        <w:ind w:left="2268" w:hanging="1134"/>
      </w:pPr>
      <w:r>
        <w:t>5.3.6.1</w:t>
      </w:r>
      <w:r w:rsidR="00C72C97" w:rsidRPr="002D4FC2">
        <w:tab/>
        <w:t>Si les essais s</w:t>
      </w:r>
      <w:r w:rsidR="00BC0876" w:rsidRPr="002D4FC2">
        <w:t>’</w:t>
      </w:r>
      <w:r w:rsidR="00C72C97" w:rsidRPr="002D4FC2">
        <w:t>effectuent sur une piste, le revêtement de celle-ci devra être plan et sec, et avoir une adhérence suffisante</w:t>
      </w:r>
      <w:r w:rsidR="006021F0" w:rsidRPr="002D4FC2">
        <w:t> ;</w:t>
      </w:r>
    </w:p>
    <w:p w:rsidR="00C72C97" w:rsidRPr="002D4FC2" w:rsidRDefault="00C72C97" w:rsidP="00C00099">
      <w:pPr>
        <w:pStyle w:val="SingleTxtG"/>
        <w:ind w:left="2268" w:hanging="1134"/>
      </w:pPr>
      <w:r w:rsidRPr="002D4FC2">
        <w:t>5</w:t>
      </w:r>
      <w:r w:rsidR="009368EE">
        <w:t>.3.6.2</w:t>
      </w:r>
      <w:r w:rsidRPr="002D4FC2">
        <w:tab/>
        <w:t>Si un banc dynamométrique à rouleaux est utilisé pour 1</w:t>
      </w:r>
      <w:r w:rsidR="00BC0876" w:rsidRPr="002D4FC2">
        <w:t>’</w:t>
      </w:r>
      <w:r w:rsidRPr="002D4FC2">
        <w:t>essai, les rouleaux devront avoir un diamètre d</w:t>
      </w:r>
      <w:r w:rsidR="00BC0876" w:rsidRPr="002D4FC2">
        <w:t>’</w:t>
      </w:r>
      <w:r w:rsidR="0058526D">
        <w:t>au moins 0,4 </w:t>
      </w:r>
      <w:r w:rsidRPr="002D4FC2">
        <w:t xml:space="preserve">m. </w:t>
      </w:r>
    </w:p>
    <w:p w:rsidR="00C72C97" w:rsidRPr="002D4FC2" w:rsidRDefault="009368EE" w:rsidP="002623F4">
      <w:pPr>
        <w:pStyle w:val="SingleTxtG"/>
        <w:keepNext/>
        <w:ind w:left="2268" w:hanging="1134"/>
      </w:pPr>
      <w:r>
        <w:t>5.4</w:t>
      </w:r>
      <w:r w:rsidR="00C72C97" w:rsidRPr="002D4FC2">
        <w:tab/>
        <w:t>La vitesse affichée ne doit jamais être inférieure à la vitesse réelle du véhicule. Aux vitesses d</w:t>
      </w:r>
      <w:r w:rsidR="00BC0876" w:rsidRPr="002D4FC2">
        <w:t>’</w:t>
      </w:r>
      <w:r w:rsidR="00C72C97" w:rsidRPr="002D4FC2">
        <w:t>essai spécifiées au paragraphe 5.3.5 ci-dessus, la relation entre la vitesse affichée V</w:t>
      </w:r>
      <w:r w:rsidR="00C72C97" w:rsidRPr="000B5E0E">
        <w:rPr>
          <w:vertAlign w:val="subscript"/>
        </w:rPr>
        <w:t>1</w:t>
      </w:r>
      <w:r w:rsidR="00C72C97" w:rsidRPr="002D4FC2">
        <w:t xml:space="preserve"> et la vitesse réelle V</w:t>
      </w:r>
      <w:r w:rsidR="00C72C97" w:rsidRPr="000B5E0E">
        <w:rPr>
          <w:vertAlign w:val="subscript"/>
        </w:rPr>
        <w:t>2</w:t>
      </w:r>
      <w:r w:rsidR="00C72C97" w:rsidRPr="002D4FC2">
        <w:t xml:space="preserve"> doit être la suivante</w:t>
      </w:r>
      <w:r w:rsidR="006021F0" w:rsidRPr="002D4FC2">
        <w:t> :</w:t>
      </w:r>
    </w:p>
    <w:p w:rsidR="00C72C97" w:rsidRPr="002D4FC2" w:rsidRDefault="00C72C97" w:rsidP="002D64B7">
      <w:pPr>
        <w:pStyle w:val="SingleTxtG"/>
        <w:ind w:left="2268"/>
      </w:pPr>
      <w:r w:rsidRPr="002D4FC2">
        <w:t xml:space="preserve">0 </w:t>
      </w:r>
      <w:r w:rsidRPr="002D4FC2">
        <w:sym w:font="Symbol" w:char="F0A3"/>
      </w:r>
      <w:r w:rsidRPr="002D4FC2">
        <w:t xml:space="preserve"> (V</w:t>
      </w:r>
      <w:r w:rsidRPr="002D4FC2">
        <w:rPr>
          <w:vertAlign w:val="subscript"/>
        </w:rPr>
        <w:t>1</w:t>
      </w:r>
      <w:r w:rsidRPr="002D4FC2">
        <w:t xml:space="preserve"> - V</w:t>
      </w:r>
      <w:r w:rsidRPr="002D4FC2">
        <w:rPr>
          <w:vertAlign w:val="subscript"/>
        </w:rPr>
        <w:t>2</w:t>
      </w:r>
      <w:r w:rsidRPr="002D4FC2">
        <w:t xml:space="preserve">) </w:t>
      </w:r>
      <w:r w:rsidRPr="002D4FC2">
        <w:sym w:font="Symbol" w:char="F0A3"/>
      </w:r>
      <w:r w:rsidRPr="002D4FC2">
        <w:t xml:space="preserve"> 0,1 V</w:t>
      </w:r>
      <w:r w:rsidRPr="002D4FC2">
        <w:rPr>
          <w:vertAlign w:val="subscript"/>
        </w:rPr>
        <w:t>2</w:t>
      </w:r>
      <w:r w:rsidRPr="002D4FC2">
        <w:t xml:space="preserve"> + 4 km/h</w:t>
      </w:r>
    </w:p>
    <w:p w:rsidR="00C72C97" w:rsidRPr="002D4FC2" w:rsidRDefault="009368EE" w:rsidP="00C00099">
      <w:pPr>
        <w:pStyle w:val="SingleTxtG"/>
        <w:ind w:left="2268" w:hanging="1134"/>
      </w:pPr>
      <w:r>
        <w:t>5.5</w:t>
      </w:r>
      <w:r w:rsidR="00C72C97" w:rsidRPr="002D4FC2">
        <w:tab/>
        <w:t>L</w:t>
      </w:r>
      <w:r w:rsidR="00BC0876" w:rsidRPr="002D4FC2">
        <w:t>’</w:t>
      </w:r>
      <w:r w:rsidR="00C72C97" w:rsidRPr="002D4FC2">
        <w:t>afficheur du compteur kilométrique doit être visible ou accessible pour le conducteur. Il doit pouvoir afficher un nombre entier à six chiffres au moins po</w:t>
      </w:r>
      <w:r w:rsidR="002623F4">
        <w:t xml:space="preserve">ur les véhicules des catégories </w:t>
      </w:r>
      <w:r w:rsidR="00C72C97" w:rsidRPr="002D4FC2">
        <w:t>M et N, et à cinq chiffres au moins pou</w:t>
      </w:r>
      <w:r w:rsidR="002623F4">
        <w:t xml:space="preserve">r les véhicules de la catégorie </w:t>
      </w:r>
      <w:r w:rsidR="00C72C97" w:rsidRPr="002D4FC2">
        <w:t>L. Les autorités d</w:t>
      </w:r>
      <w:r w:rsidR="00BC0876" w:rsidRPr="002D4FC2">
        <w:t>’</w:t>
      </w:r>
      <w:r w:rsidR="00C72C97" w:rsidRPr="002D4FC2">
        <w:t>homologation de type peuvent néanmoins accepter un nombre entier à cinq chiffres pour les véhicules des catégories M et N aussi, pourvu que l</w:t>
      </w:r>
      <w:r w:rsidR="00BC0876" w:rsidRPr="002D4FC2">
        <w:t>’</w:t>
      </w:r>
      <w:r w:rsidR="00C72C97" w:rsidRPr="002D4FC2">
        <w:t>usage pré</w:t>
      </w:r>
      <w:r w:rsidR="002623F4">
        <w:t>vu pour le véhicule justifie ce </w:t>
      </w:r>
      <w:r w:rsidR="00C72C97" w:rsidRPr="002D4FC2">
        <w:t>choix.</w:t>
      </w:r>
    </w:p>
    <w:p w:rsidR="00C72C97" w:rsidRPr="002D4FC2" w:rsidRDefault="009368EE" w:rsidP="00C00099">
      <w:pPr>
        <w:pStyle w:val="SingleTxtG"/>
        <w:ind w:left="2268" w:hanging="1134"/>
      </w:pPr>
      <w:r>
        <w:t>5.5.1</w:t>
      </w:r>
      <w:r w:rsidR="00C72C97" w:rsidRPr="002D4FC2">
        <w:tab/>
        <w:t>Sur les véhicules destinés à être vendus dans des pays utilisant les unités de mesure anglo-saxonnes, le compteur kilométrique doit être gradué en miles.</w:t>
      </w:r>
    </w:p>
    <w:p w:rsidR="00C72C97" w:rsidRPr="002D64B7" w:rsidRDefault="00C72C97" w:rsidP="00FE11D6">
      <w:pPr>
        <w:pStyle w:val="SingleTxtG"/>
        <w:ind w:left="2268" w:hanging="1134"/>
        <w:jc w:val="left"/>
        <w:rPr>
          <w:b/>
          <w:sz w:val="28"/>
          <w:szCs w:val="28"/>
        </w:rPr>
      </w:pPr>
      <w:r w:rsidRPr="002D64B7">
        <w:rPr>
          <w:b/>
          <w:sz w:val="28"/>
          <w:szCs w:val="28"/>
        </w:rPr>
        <w:t>6.</w:t>
      </w:r>
      <w:r w:rsidR="00D21F68" w:rsidRPr="002D64B7">
        <w:rPr>
          <w:b/>
          <w:sz w:val="28"/>
          <w:szCs w:val="28"/>
        </w:rPr>
        <w:tab/>
      </w:r>
      <w:r w:rsidRPr="002D64B7">
        <w:rPr>
          <w:b/>
          <w:sz w:val="28"/>
          <w:szCs w:val="28"/>
        </w:rPr>
        <w:t>Modifications du type de véhicule</w:t>
      </w:r>
      <w:bookmarkStart w:id="18" w:name="_Toc441498662"/>
      <w:bookmarkStart w:id="19" w:name="_Toc441498800"/>
      <w:bookmarkEnd w:id="18"/>
      <w:bookmarkEnd w:id="19"/>
    </w:p>
    <w:p w:rsidR="00C72C97" w:rsidRPr="002D4FC2" w:rsidRDefault="009368EE" w:rsidP="00C00099">
      <w:pPr>
        <w:pStyle w:val="SingleTxtG"/>
        <w:ind w:left="2268" w:hanging="1134"/>
      </w:pPr>
      <w:r>
        <w:t>6.1</w:t>
      </w:r>
      <w:r w:rsidR="00C72C97" w:rsidRPr="002D4FC2">
        <w:tab/>
        <w:t>Tout modification du type de véhicule est portée à la connaissance de l</w:t>
      </w:r>
      <w:r w:rsidR="00BC0876" w:rsidRPr="002D4FC2">
        <w:t>’</w:t>
      </w:r>
      <w:r w:rsidR="00C72C97" w:rsidRPr="002D4FC2">
        <w:t>autorité d</w:t>
      </w:r>
      <w:r w:rsidR="00BC0876" w:rsidRPr="002D4FC2">
        <w:t>’</w:t>
      </w:r>
      <w:r w:rsidR="00C72C97" w:rsidRPr="002D4FC2">
        <w:t>homologation de type qui a accordé l</w:t>
      </w:r>
      <w:r w:rsidR="00BC0876" w:rsidRPr="002D4FC2">
        <w:t>’</w:t>
      </w:r>
      <w:r w:rsidR="00C72C97" w:rsidRPr="002D4FC2">
        <w:t>homologation du type de ce véhicule. Cette autorité pourra alors</w:t>
      </w:r>
      <w:r w:rsidR="006021F0" w:rsidRPr="002D4FC2">
        <w:t> :</w:t>
      </w:r>
    </w:p>
    <w:p w:rsidR="00C72C97" w:rsidRPr="002D4FC2" w:rsidRDefault="009368EE" w:rsidP="00C00099">
      <w:pPr>
        <w:pStyle w:val="SingleTxtG"/>
        <w:ind w:left="2268" w:hanging="1134"/>
      </w:pPr>
      <w:r>
        <w:t>6.1.1</w:t>
      </w:r>
      <w:r w:rsidR="00C72C97" w:rsidRPr="002D4FC2">
        <w:tab/>
        <w:t>Soit considérer que les modifications apportées ne risquent pas d</w:t>
      </w:r>
      <w:r w:rsidR="00BC0876" w:rsidRPr="002D4FC2">
        <w:t>’</w:t>
      </w:r>
      <w:r w:rsidR="00C72C97" w:rsidRPr="002D4FC2">
        <w:t>entraîner des conséquences défavorables notables et, en tout cas, que ce véhicule satisfait encore aux prescriptions, soit</w:t>
      </w:r>
    </w:p>
    <w:p w:rsidR="00C72C97" w:rsidRPr="002D4FC2" w:rsidRDefault="009368EE" w:rsidP="00C00099">
      <w:pPr>
        <w:pStyle w:val="SingleTxtG"/>
        <w:ind w:left="2268" w:hanging="1134"/>
      </w:pPr>
      <w:r>
        <w:t>6.1.2</w:t>
      </w:r>
      <w:r w:rsidR="00C72C97" w:rsidRPr="002D4FC2">
        <w:tab/>
        <w:t>Exiger un nouveau procès-verbal d</w:t>
      </w:r>
      <w:r w:rsidR="00BC0876" w:rsidRPr="002D4FC2">
        <w:t>’</w:t>
      </w:r>
      <w:r w:rsidR="00C72C97" w:rsidRPr="002D4FC2">
        <w:t>essai du service technique chargé des essais.</w:t>
      </w:r>
    </w:p>
    <w:p w:rsidR="00C72C97" w:rsidRPr="002D4FC2" w:rsidRDefault="009368EE" w:rsidP="00FE11D6">
      <w:pPr>
        <w:pStyle w:val="SingleTxtG"/>
        <w:keepLines/>
        <w:ind w:left="2268" w:hanging="1134"/>
      </w:pPr>
      <w:r>
        <w:lastRenderedPageBreak/>
        <w:t>6.2</w:t>
      </w:r>
      <w:r w:rsidR="00C72C97" w:rsidRPr="002D4FC2">
        <w:tab/>
        <w:t>La confirmation de l</w:t>
      </w:r>
      <w:r w:rsidR="00BC0876" w:rsidRPr="002D4FC2">
        <w:t>’</w:t>
      </w:r>
      <w:r w:rsidR="00C72C97" w:rsidRPr="002D4FC2">
        <w:t>homologation ou le refus de l</w:t>
      </w:r>
      <w:r w:rsidR="00BC0876" w:rsidRPr="002D4FC2">
        <w:t>’</w:t>
      </w:r>
      <w:r w:rsidR="00C72C97" w:rsidRPr="002D4FC2">
        <w:t>homologation, avec l</w:t>
      </w:r>
      <w:r w:rsidR="00BC0876" w:rsidRPr="002D4FC2">
        <w:t>’</w:t>
      </w:r>
      <w:r w:rsidR="00C72C97" w:rsidRPr="002D4FC2">
        <w:t>indication des modifications, sont communiqués aux Parties à l</w:t>
      </w:r>
      <w:r w:rsidR="00BC0876" w:rsidRPr="002D4FC2">
        <w:t>’</w:t>
      </w:r>
      <w:r w:rsidR="00C72C97" w:rsidRPr="002D4FC2">
        <w:t>Accord appliquant le présent Règlement par la procédure indiquée au paragraphe 4.3 ci-dessus.</w:t>
      </w:r>
    </w:p>
    <w:p w:rsidR="00C72C97" w:rsidRPr="002D64B7" w:rsidRDefault="00C72C97" w:rsidP="00FE11D6">
      <w:pPr>
        <w:pStyle w:val="SingleTxtG"/>
        <w:ind w:left="2268" w:hanging="1134"/>
        <w:jc w:val="left"/>
        <w:rPr>
          <w:b/>
          <w:sz w:val="28"/>
          <w:szCs w:val="28"/>
        </w:rPr>
      </w:pPr>
      <w:r w:rsidRPr="002D64B7">
        <w:rPr>
          <w:b/>
          <w:sz w:val="28"/>
          <w:szCs w:val="28"/>
        </w:rPr>
        <w:t>7.</w:t>
      </w:r>
      <w:r w:rsidR="00D21F68" w:rsidRPr="002D64B7">
        <w:rPr>
          <w:b/>
          <w:sz w:val="28"/>
          <w:szCs w:val="28"/>
        </w:rPr>
        <w:tab/>
      </w:r>
      <w:r w:rsidRPr="002D64B7">
        <w:rPr>
          <w:b/>
          <w:sz w:val="28"/>
          <w:szCs w:val="28"/>
        </w:rPr>
        <w:t>Conformité de la production</w:t>
      </w:r>
      <w:bookmarkStart w:id="20" w:name="_Toc441498663"/>
      <w:bookmarkStart w:id="21" w:name="_Toc441498801"/>
      <w:bookmarkEnd w:id="20"/>
      <w:bookmarkEnd w:id="21"/>
    </w:p>
    <w:p w:rsidR="00C72C97" w:rsidRPr="002D4FC2" w:rsidRDefault="009368EE" w:rsidP="00C00099">
      <w:pPr>
        <w:pStyle w:val="SingleTxtG"/>
        <w:ind w:left="2268" w:hanging="1134"/>
      </w:pPr>
      <w:r>
        <w:t>7.1</w:t>
      </w:r>
      <w:r w:rsidR="00D21F68" w:rsidRPr="002D4FC2">
        <w:tab/>
      </w:r>
      <w:r w:rsidR="00C72C97" w:rsidRPr="002D4FC2">
        <w:t>Les procédures de contrôle de la conformité de la production doivent être conformes à celles définies dans le tableau 1 de l</w:t>
      </w:r>
      <w:r w:rsidR="00BC0876" w:rsidRPr="002D4FC2">
        <w:t>’</w:t>
      </w:r>
      <w:r w:rsidR="00C72C97" w:rsidRPr="002D4FC2">
        <w:t>Accord (E/ECE/TRANS/505/Rev.3), et en particulier aux prescriptions suivantes</w:t>
      </w:r>
      <w:r w:rsidR="006021F0" w:rsidRPr="002D4FC2">
        <w:t> :</w:t>
      </w:r>
    </w:p>
    <w:p w:rsidR="00C72C97" w:rsidRPr="002D4FC2" w:rsidRDefault="009368EE" w:rsidP="00C00099">
      <w:pPr>
        <w:pStyle w:val="SingleTxtG"/>
        <w:ind w:left="2268" w:hanging="1134"/>
      </w:pPr>
      <w:r>
        <w:t>7.2</w:t>
      </w:r>
      <w:r w:rsidR="00D21F68" w:rsidRPr="002D4FC2">
        <w:tab/>
      </w:r>
      <w:r w:rsidR="00C72C97" w:rsidRPr="002D4FC2">
        <w:t xml:space="preserve">Tout véhicule homologué en application du présent Règlement doit être fabriqué de manière conforme au type homologué en satisfaisant aux prescriptions de la (des) partie(s) pertinente(s) du présent Règlement. </w:t>
      </w:r>
    </w:p>
    <w:p w:rsidR="00C72C97" w:rsidRPr="002D4FC2" w:rsidRDefault="009368EE" w:rsidP="00C00099">
      <w:pPr>
        <w:pStyle w:val="SingleTxtG"/>
        <w:ind w:left="2268" w:hanging="1134"/>
      </w:pPr>
      <w:r>
        <w:t>7.3</w:t>
      </w:r>
      <w:r w:rsidR="00D21F68" w:rsidRPr="002D4FC2">
        <w:tab/>
      </w:r>
      <w:r w:rsidR="00C72C97" w:rsidRPr="002D4FC2">
        <w:t>Des contrôles suffisants doivent être effectués pour chaque type de véhicule en ce qui concerne l</w:t>
      </w:r>
      <w:r w:rsidR="00BC0876" w:rsidRPr="002D4FC2">
        <w:t>’</w:t>
      </w:r>
      <w:r w:rsidR="00C72C97" w:rsidRPr="002D4FC2">
        <w:t>appareil indicateur de vitesse et son installation</w:t>
      </w:r>
      <w:r w:rsidR="006021F0" w:rsidRPr="002D4FC2">
        <w:t> ;</w:t>
      </w:r>
      <w:r w:rsidR="00C72C97" w:rsidRPr="002D4FC2">
        <w:t xml:space="preserve"> l</w:t>
      </w:r>
      <w:r w:rsidR="00BC0876" w:rsidRPr="002D4FC2">
        <w:t>’</w:t>
      </w:r>
      <w:r w:rsidR="00C72C97" w:rsidRPr="002D4FC2">
        <w:t>essai prescrit à l</w:t>
      </w:r>
      <w:r w:rsidR="00BC0876" w:rsidRPr="002D4FC2">
        <w:t>’</w:t>
      </w:r>
      <w:r w:rsidR="00C72C97" w:rsidRPr="002D4FC2">
        <w:t>annexe 3 du présent Règlement, au moins, doit en particulier être effectué pour chaque type de véhicule.</w:t>
      </w:r>
    </w:p>
    <w:p w:rsidR="00C72C97" w:rsidRPr="002D4FC2" w:rsidRDefault="009368EE" w:rsidP="00C00099">
      <w:pPr>
        <w:pStyle w:val="SingleTxtG"/>
        <w:ind w:left="2268" w:hanging="1134"/>
      </w:pPr>
      <w:r>
        <w:t>7.4</w:t>
      </w:r>
      <w:r w:rsidR="00D21F68" w:rsidRPr="002D4FC2">
        <w:tab/>
      </w:r>
      <w:r w:rsidR="00C72C97" w:rsidRPr="002D4FC2">
        <w:t>L</w:t>
      </w:r>
      <w:r w:rsidR="00BC0876" w:rsidRPr="002D4FC2">
        <w:t>’</w:t>
      </w:r>
      <w:r w:rsidR="00C72C97" w:rsidRPr="002D4FC2">
        <w:t>autorité qui a accordé l</w:t>
      </w:r>
      <w:r w:rsidR="00BC0876" w:rsidRPr="002D4FC2">
        <w:t>’</w:t>
      </w:r>
      <w:r w:rsidR="00C72C97" w:rsidRPr="002D4FC2">
        <w:t>homologation de type peut à tout moment vérifier les méthodes de contrôle de la conformité appliquées dans chaque unité de production. La fréquence normale de ces vérifications est d</w:t>
      </w:r>
      <w:r w:rsidR="00BC0876" w:rsidRPr="002D4FC2">
        <w:t>’</w:t>
      </w:r>
      <w:r w:rsidR="00FE11D6">
        <w:t>une tous les deux </w:t>
      </w:r>
      <w:r w:rsidR="00C72C97" w:rsidRPr="002D4FC2">
        <w:t>ans.</w:t>
      </w:r>
    </w:p>
    <w:p w:rsidR="00C72C97" w:rsidRPr="002D4FC2" w:rsidRDefault="009368EE" w:rsidP="00C00099">
      <w:pPr>
        <w:pStyle w:val="SingleTxtG"/>
        <w:ind w:left="2268" w:hanging="1134"/>
      </w:pPr>
      <w:r>
        <w:t>7.5</w:t>
      </w:r>
      <w:r w:rsidR="00C72C97" w:rsidRPr="002D4FC2">
        <w:tab/>
        <w:t>Si, au cours des contrôles effectués conformément aux spécifications du paragraphe 7.4 ci-dessus, des résultats négatifs sont constatés, l</w:t>
      </w:r>
      <w:r w:rsidR="00BC0876" w:rsidRPr="002D4FC2">
        <w:t>’</w:t>
      </w:r>
      <w:r w:rsidR="00C72C97" w:rsidRPr="002D4FC2">
        <w:t>autorité compétente veillera à ce que toutes les dispositions nécessaires soient prises pour rétablir aussi rapidement que possible la conformité de production.</w:t>
      </w:r>
    </w:p>
    <w:p w:rsidR="00C72C97" w:rsidRPr="002D64B7" w:rsidRDefault="00C72C97" w:rsidP="00FE11D6">
      <w:pPr>
        <w:pStyle w:val="SingleTxtG"/>
        <w:ind w:left="2268" w:hanging="1134"/>
        <w:jc w:val="left"/>
        <w:rPr>
          <w:b/>
          <w:sz w:val="28"/>
          <w:szCs w:val="28"/>
        </w:rPr>
      </w:pPr>
      <w:r w:rsidRPr="002D64B7">
        <w:rPr>
          <w:b/>
          <w:sz w:val="28"/>
          <w:szCs w:val="28"/>
        </w:rPr>
        <w:t>8.</w:t>
      </w:r>
      <w:r w:rsidR="00D21F68" w:rsidRPr="002D64B7">
        <w:rPr>
          <w:b/>
          <w:sz w:val="28"/>
          <w:szCs w:val="28"/>
        </w:rPr>
        <w:tab/>
      </w:r>
      <w:r w:rsidRPr="002D64B7">
        <w:rPr>
          <w:b/>
          <w:sz w:val="28"/>
          <w:szCs w:val="28"/>
        </w:rPr>
        <w:t>Sanctions pour non-conformité de la production</w:t>
      </w:r>
      <w:bookmarkStart w:id="22" w:name="_Toc441498664"/>
      <w:bookmarkStart w:id="23" w:name="_Toc441498802"/>
      <w:bookmarkEnd w:id="22"/>
      <w:bookmarkEnd w:id="23"/>
    </w:p>
    <w:p w:rsidR="00C72C97" w:rsidRPr="002D4FC2" w:rsidRDefault="009368EE" w:rsidP="00C00099">
      <w:pPr>
        <w:pStyle w:val="SingleTxtG"/>
        <w:ind w:left="2268" w:hanging="1134"/>
      </w:pPr>
      <w:r>
        <w:t>8.1</w:t>
      </w:r>
      <w:r w:rsidR="00C72C97" w:rsidRPr="002D4FC2">
        <w:tab/>
        <w:t>L</w:t>
      </w:r>
      <w:r w:rsidR="00BC0876" w:rsidRPr="002D4FC2">
        <w:t>’</w:t>
      </w:r>
      <w:r w:rsidR="00C72C97" w:rsidRPr="002D4FC2">
        <w:t>homologation délivrée pour un type de véhicule en application du présent Règlement peut être retirée si la condition énoncée au paragraphe 7.1 n</w:t>
      </w:r>
      <w:r w:rsidR="00BC0876" w:rsidRPr="002D4FC2">
        <w:t>’</w:t>
      </w:r>
      <w:r w:rsidR="00C72C97" w:rsidRPr="002D4FC2">
        <w:t>est pas respectée ou si le véhicule n</w:t>
      </w:r>
      <w:r w:rsidR="00BC0876" w:rsidRPr="002D4FC2">
        <w:t>’</w:t>
      </w:r>
      <w:r w:rsidR="00C72C97" w:rsidRPr="002D4FC2">
        <w:t>a pas subi avec succès les vérifications prévues au paragraphe 7 ci-dessus.</w:t>
      </w:r>
    </w:p>
    <w:p w:rsidR="00C72C97" w:rsidRPr="002D4FC2" w:rsidRDefault="009368EE" w:rsidP="00C00099">
      <w:pPr>
        <w:pStyle w:val="SingleTxtG"/>
        <w:ind w:left="2268" w:hanging="1134"/>
      </w:pPr>
      <w:r>
        <w:t>8.2</w:t>
      </w:r>
      <w:r w:rsidR="00C72C97" w:rsidRPr="002D4FC2">
        <w:tab/>
        <w:t>Au cas où une Partie à l</w:t>
      </w:r>
      <w:r w:rsidR="00BC0876" w:rsidRPr="002D4FC2">
        <w:t>’</w:t>
      </w:r>
      <w:r w:rsidR="00C72C97" w:rsidRPr="002D4FC2">
        <w:t>Accord appliquant le présent Règlement retirerait une homologation qu</w:t>
      </w:r>
      <w:r w:rsidR="00BC0876" w:rsidRPr="002D4FC2">
        <w:t>’</w:t>
      </w:r>
      <w:r w:rsidR="00C72C97" w:rsidRPr="002D4FC2">
        <w:t>elle a précédemment accordée, elle en informera aussitôt les autres Parties à l</w:t>
      </w:r>
      <w:r w:rsidR="00BC0876" w:rsidRPr="002D4FC2">
        <w:t>’</w:t>
      </w:r>
      <w:r w:rsidR="00C72C97" w:rsidRPr="002D4FC2">
        <w:t>Accord appliquant le présent Règlement, au moyen d</w:t>
      </w:r>
      <w:r w:rsidR="00BC0876" w:rsidRPr="002D4FC2">
        <w:t>’</w:t>
      </w:r>
      <w:r w:rsidR="00C72C97" w:rsidRPr="002D4FC2">
        <w:t>une copie de la fiche de communication conforme au modèle de l</w:t>
      </w:r>
      <w:r w:rsidR="00BC0876" w:rsidRPr="002D4FC2">
        <w:t>’</w:t>
      </w:r>
      <w:r w:rsidR="00C72C97" w:rsidRPr="002D4FC2">
        <w:t>annexe 1 du présent Règlement.</w:t>
      </w:r>
    </w:p>
    <w:p w:rsidR="00C72C97" w:rsidRPr="00C00099" w:rsidRDefault="00C72C97" w:rsidP="00FE11D6">
      <w:pPr>
        <w:pStyle w:val="SingleTxtG"/>
        <w:ind w:left="2268" w:hanging="1134"/>
        <w:jc w:val="left"/>
        <w:rPr>
          <w:b/>
          <w:sz w:val="28"/>
          <w:szCs w:val="28"/>
        </w:rPr>
      </w:pPr>
      <w:bookmarkStart w:id="24" w:name="_Toc441498665"/>
      <w:bookmarkStart w:id="25" w:name="_Toc441498803"/>
      <w:r w:rsidRPr="002D64B7">
        <w:rPr>
          <w:b/>
          <w:sz w:val="28"/>
          <w:szCs w:val="28"/>
        </w:rPr>
        <w:t>9.</w:t>
      </w:r>
      <w:r w:rsidR="00D21F68" w:rsidRPr="002D64B7">
        <w:rPr>
          <w:b/>
          <w:sz w:val="28"/>
          <w:szCs w:val="28"/>
        </w:rPr>
        <w:tab/>
      </w:r>
      <w:r w:rsidRPr="002D64B7">
        <w:rPr>
          <w:b/>
          <w:sz w:val="28"/>
          <w:szCs w:val="28"/>
        </w:rPr>
        <w:t>Noms et adresses des services techniques chargés des essais d</w:t>
      </w:r>
      <w:r w:rsidR="00BC0876" w:rsidRPr="002D64B7">
        <w:rPr>
          <w:b/>
          <w:sz w:val="28"/>
          <w:szCs w:val="28"/>
        </w:rPr>
        <w:t>’</w:t>
      </w:r>
      <w:r w:rsidRPr="002D64B7">
        <w:rPr>
          <w:b/>
          <w:sz w:val="28"/>
          <w:szCs w:val="28"/>
        </w:rPr>
        <w:t>homologation et des</w:t>
      </w:r>
      <w:r w:rsidRPr="00C00099">
        <w:rPr>
          <w:b/>
          <w:sz w:val="28"/>
          <w:szCs w:val="28"/>
        </w:rPr>
        <w:t xml:space="preserve"> autorités d</w:t>
      </w:r>
      <w:r w:rsidR="00BC0876" w:rsidRPr="00C00099">
        <w:rPr>
          <w:b/>
          <w:sz w:val="28"/>
          <w:szCs w:val="28"/>
        </w:rPr>
        <w:t>’</w:t>
      </w:r>
      <w:r w:rsidRPr="00C00099">
        <w:rPr>
          <w:b/>
          <w:sz w:val="28"/>
          <w:szCs w:val="28"/>
        </w:rPr>
        <w:t>homologation de type</w:t>
      </w:r>
      <w:bookmarkEnd w:id="24"/>
      <w:bookmarkEnd w:id="25"/>
    </w:p>
    <w:p w:rsidR="00C72C97" w:rsidRPr="002D4FC2" w:rsidRDefault="00C72C97" w:rsidP="002D64B7">
      <w:pPr>
        <w:pStyle w:val="SingleTxtG"/>
        <w:ind w:left="2268"/>
      </w:pPr>
      <w:r w:rsidRPr="002D4FC2">
        <w:t>Les Parties contractantes à l</w:t>
      </w:r>
      <w:r w:rsidR="00BC0876" w:rsidRPr="002D4FC2">
        <w:t>’</w:t>
      </w:r>
      <w:r w:rsidRPr="002D4FC2">
        <w:t>Accord de 1958 appliquant le présent Règlement doivent communiquer au secrétariat de l</w:t>
      </w:r>
      <w:r w:rsidR="00BC0876" w:rsidRPr="002D4FC2">
        <w:t>’</w:t>
      </w:r>
      <w:r w:rsidRPr="002D4FC2">
        <w:t>Organisation des Nations Unies, les noms et adresses des services techniques chargés des essais d</w:t>
      </w:r>
      <w:r w:rsidR="00BC0876" w:rsidRPr="002D4FC2">
        <w:t>’</w:t>
      </w:r>
      <w:r w:rsidRPr="002D4FC2">
        <w:t xml:space="preserve">homologation et ceux des </w:t>
      </w:r>
      <w:r w:rsidR="00A349D3">
        <w:t>a</w:t>
      </w:r>
      <w:r w:rsidRPr="002D4FC2">
        <w:t>utorités compétentes en matière d</w:t>
      </w:r>
      <w:r w:rsidR="00BC0876" w:rsidRPr="002D4FC2">
        <w:t>’</w:t>
      </w:r>
      <w:r w:rsidRPr="002D4FC2">
        <w:t>homologation et auxquels doivent être envoyées les fiches d</w:t>
      </w:r>
      <w:r w:rsidR="00BC0876" w:rsidRPr="002D4FC2">
        <w:t>’</w:t>
      </w:r>
      <w:r w:rsidRPr="002D4FC2">
        <w:t>homologation ou d</w:t>
      </w:r>
      <w:r w:rsidR="00BC0876" w:rsidRPr="002D4FC2">
        <w:t>’</w:t>
      </w:r>
      <w:r w:rsidRPr="002D4FC2">
        <w:t>extension, de refus ou de retrait d</w:t>
      </w:r>
      <w:r w:rsidR="00BC0876" w:rsidRPr="002D4FC2">
        <w:t>’</w:t>
      </w:r>
      <w:r w:rsidRPr="002D4FC2">
        <w:t>homologation délivrées dans d</w:t>
      </w:r>
      <w:r w:rsidR="00BC0876" w:rsidRPr="002D4FC2">
        <w:t>’</w:t>
      </w:r>
      <w:r w:rsidRPr="002D4FC2">
        <w:t>autres pays.</w:t>
      </w:r>
    </w:p>
    <w:p w:rsidR="00C72C97" w:rsidRPr="00C00099" w:rsidRDefault="00C72C97" w:rsidP="00FE11D6">
      <w:pPr>
        <w:pStyle w:val="SingleTxtG"/>
        <w:ind w:left="2268" w:hanging="1134"/>
        <w:jc w:val="left"/>
        <w:rPr>
          <w:b/>
          <w:sz w:val="28"/>
          <w:szCs w:val="28"/>
        </w:rPr>
      </w:pPr>
      <w:r w:rsidRPr="00C00099">
        <w:rPr>
          <w:b/>
          <w:sz w:val="28"/>
          <w:szCs w:val="28"/>
        </w:rPr>
        <w:t>10.</w:t>
      </w:r>
      <w:r w:rsidR="00D21F68" w:rsidRPr="00C00099">
        <w:rPr>
          <w:b/>
          <w:sz w:val="28"/>
          <w:szCs w:val="28"/>
        </w:rPr>
        <w:tab/>
      </w:r>
      <w:r w:rsidRPr="00C00099">
        <w:rPr>
          <w:b/>
          <w:sz w:val="28"/>
          <w:szCs w:val="28"/>
        </w:rPr>
        <w:t>Dispositions transitoires</w:t>
      </w:r>
      <w:bookmarkStart w:id="26" w:name="_Toc441498804"/>
      <w:bookmarkEnd w:id="26"/>
    </w:p>
    <w:p w:rsidR="00C72C97" w:rsidRPr="002D4FC2" w:rsidRDefault="009368EE" w:rsidP="00C00099">
      <w:pPr>
        <w:pStyle w:val="SingleTxtG"/>
        <w:ind w:left="2268" w:hanging="1134"/>
      </w:pPr>
      <w:r>
        <w:t>10.1</w:t>
      </w:r>
      <w:r w:rsidR="00C72C97" w:rsidRPr="002D4FC2">
        <w:tab/>
        <w:t>À compter de la date officielle d</w:t>
      </w:r>
      <w:r w:rsidR="00BC0876" w:rsidRPr="002D4FC2">
        <w:t>’</w:t>
      </w:r>
      <w:r w:rsidR="00C72C97" w:rsidRPr="002D4FC2">
        <w:t>entrée en vigueur de la série 01 d</w:t>
      </w:r>
      <w:r w:rsidR="00BC0876" w:rsidRPr="002D4FC2">
        <w:t>’</w:t>
      </w:r>
      <w:r w:rsidR="00C72C97" w:rsidRPr="002D4FC2">
        <w:t>amendements au présent Règlement, aucune Partie contractante appliquant le présent Règlement ne pourra refuser d</w:t>
      </w:r>
      <w:r w:rsidR="00BC0876" w:rsidRPr="002D4FC2">
        <w:t>’</w:t>
      </w:r>
      <w:r w:rsidR="00C72C97" w:rsidRPr="002D4FC2">
        <w:t>accorder ou refuser d</w:t>
      </w:r>
      <w:r w:rsidR="00BC0876" w:rsidRPr="002D4FC2">
        <w:t>’</w:t>
      </w:r>
      <w:r w:rsidR="00C72C97" w:rsidRPr="002D4FC2">
        <w:t>accepter des homologations de type accordées au titre du présent Règlement modifié par la série 01 d</w:t>
      </w:r>
      <w:r w:rsidR="00BC0876" w:rsidRPr="002D4FC2">
        <w:t>’</w:t>
      </w:r>
      <w:r w:rsidR="00C72C97" w:rsidRPr="002D4FC2">
        <w:t>amendements.</w:t>
      </w:r>
    </w:p>
    <w:p w:rsidR="00C72C97" w:rsidRPr="002D4FC2" w:rsidRDefault="009368EE" w:rsidP="00BE4CFF">
      <w:pPr>
        <w:pStyle w:val="SingleTxtG"/>
        <w:keepLines/>
        <w:ind w:left="2268" w:hanging="1134"/>
      </w:pPr>
      <w:r>
        <w:lastRenderedPageBreak/>
        <w:t>10.2</w:t>
      </w:r>
      <w:r w:rsidR="00BE4CFF">
        <w:tab/>
        <w:t>À compter du 1</w:t>
      </w:r>
      <w:r w:rsidR="00BE4CFF" w:rsidRPr="00BE4CFF">
        <w:rPr>
          <w:vertAlign w:val="superscript"/>
        </w:rPr>
        <w:t>er</w:t>
      </w:r>
      <w:r w:rsidR="00BE4CFF">
        <w:t> </w:t>
      </w:r>
      <w:r w:rsidR="00C72C97" w:rsidRPr="002D4FC2">
        <w:t>septembre 2017, les Parties contractantes appliquant le présent Règlement ne devront accorder de nouvelles homologations de type que si le type du véhicule à homologuer satisfait aux prescriptions du présent Règlement modifié par la série 01 d</w:t>
      </w:r>
      <w:r w:rsidR="00BC0876" w:rsidRPr="002D4FC2">
        <w:t>’</w:t>
      </w:r>
      <w:r w:rsidR="00C72C97" w:rsidRPr="002D4FC2">
        <w:t>amendements.</w:t>
      </w:r>
    </w:p>
    <w:p w:rsidR="00C72C97" w:rsidRPr="002D4FC2" w:rsidRDefault="009368EE" w:rsidP="00C00099">
      <w:pPr>
        <w:pStyle w:val="SingleTxtG"/>
        <w:ind w:left="2268" w:hanging="1134"/>
      </w:pPr>
      <w:r>
        <w:t>10.3</w:t>
      </w:r>
      <w:r w:rsidR="00C72C97" w:rsidRPr="002D4FC2">
        <w:tab/>
        <w:t>Les Parties contractantes appliquant le présent Règlement ne pourront refuser d</w:t>
      </w:r>
      <w:r w:rsidR="00BC0876" w:rsidRPr="002D4FC2">
        <w:t>’</w:t>
      </w:r>
      <w:r w:rsidR="00C72C97" w:rsidRPr="002D4FC2">
        <w:t>accorder des extensions pour les homologations de types existants accordées conformément à la précédente série d</w:t>
      </w:r>
      <w:r w:rsidR="00BC0876" w:rsidRPr="002D4FC2">
        <w:t>’</w:t>
      </w:r>
      <w:r w:rsidR="00C72C97" w:rsidRPr="002D4FC2">
        <w:t>amendements au présent Règlement.</w:t>
      </w:r>
    </w:p>
    <w:p w:rsidR="000C2146" w:rsidRPr="002D4FC2" w:rsidRDefault="009368EE" w:rsidP="00C00099">
      <w:pPr>
        <w:pStyle w:val="SingleTxtG"/>
        <w:ind w:left="2268" w:hanging="1134"/>
      </w:pPr>
      <w:r>
        <w:t>10.4</w:t>
      </w:r>
      <w:r w:rsidR="00C72C97" w:rsidRPr="002D4FC2">
        <w:tab/>
        <w:t>À compter de la date d</w:t>
      </w:r>
      <w:r w:rsidR="00BC0876" w:rsidRPr="002D4FC2">
        <w:t>’</w:t>
      </w:r>
      <w:r w:rsidR="00C72C97" w:rsidRPr="002D4FC2">
        <w:t>entrée en vigueur de la série 01 d</w:t>
      </w:r>
      <w:r w:rsidR="00BC0876" w:rsidRPr="002D4FC2">
        <w:t>’</w:t>
      </w:r>
      <w:r w:rsidR="00C72C97" w:rsidRPr="002D4FC2">
        <w:t>amendements au présent Règlement, les Parties contractantes appliquant le présent Règlement devront continuer d</w:t>
      </w:r>
      <w:r w:rsidR="00BC0876" w:rsidRPr="002D4FC2">
        <w:t>’</w:t>
      </w:r>
      <w:r w:rsidR="00C72C97" w:rsidRPr="002D4FC2">
        <w:t>accepter les homologations de type accordées au titre d</w:t>
      </w:r>
      <w:r w:rsidR="00BC0876" w:rsidRPr="002D4FC2">
        <w:t>’</w:t>
      </w:r>
      <w:r w:rsidR="00C72C97" w:rsidRPr="002D4FC2">
        <w:t>une précédente série d</w:t>
      </w:r>
      <w:r w:rsidR="00BC0876" w:rsidRPr="002D4FC2">
        <w:t>’</w:t>
      </w:r>
      <w:r w:rsidR="00C72C97" w:rsidRPr="002D4FC2">
        <w:t>amendements au présent Règlement.</w:t>
      </w:r>
    </w:p>
    <w:p w:rsidR="00DF5821" w:rsidRPr="002D4FC2" w:rsidRDefault="00DF5821" w:rsidP="00C72C97">
      <w:pPr>
        <w:pStyle w:val="SingleTxtG"/>
      </w:pPr>
    </w:p>
    <w:p w:rsidR="00D21F68" w:rsidRPr="002D4FC2" w:rsidRDefault="00D21F68" w:rsidP="00C72C97">
      <w:pPr>
        <w:pStyle w:val="SingleTxtG"/>
        <w:sectPr w:rsidR="00D21F68" w:rsidRPr="002D4FC2" w:rsidSect="00CF7D2C">
          <w:headerReference w:type="even" r:id="rId14"/>
          <w:headerReference w:type="default" r:id="rId15"/>
          <w:footerReference w:type="even" r:id="rId16"/>
          <w:footerReference w:type="default" r:id="rId17"/>
          <w:endnotePr>
            <w:numFmt w:val="decimal"/>
          </w:endnotePr>
          <w:type w:val="oddPage"/>
          <w:pgSz w:w="11907" w:h="16840" w:code="9"/>
          <w:pgMar w:top="1417" w:right="1134" w:bottom="1134" w:left="1134" w:header="680" w:footer="567" w:gutter="0"/>
          <w:cols w:space="720"/>
          <w:docGrid w:linePitch="272"/>
        </w:sectPr>
      </w:pPr>
    </w:p>
    <w:p w:rsidR="00DF5821" w:rsidRPr="002D4FC2" w:rsidRDefault="00DF5821" w:rsidP="00471DF8">
      <w:pPr>
        <w:pStyle w:val="HChG"/>
      </w:pPr>
      <w:bookmarkStart w:id="27" w:name="_Toc441498805"/>
      <w:r w:rsidRPr="002D4FC2">
        <w:lastRenderedPageBreak/>
        <w:t>Annexe 1</w:t>
      </w:r>
      <w:bookmarkEnd w:id="27"/>
    </w:p>
    <w:p w:rsidR="00BC0876" w:rsidRPr="002D4FC2" w:rsidRDefault="00471DF8" w:rsidP="00471DF8">
      <w:pPr>
        <w:pStyle w:val="HChG"/>
      </w:pPr>
      <w:r w:rsidRPr="002D4FC2">
        <w:tab/>
      </w:r>
      <w:r w:rsidR="00D21F68" w:rsidRPr="002D4FC2">
        <w:tab/>
      </w:r>
      <w:r w:rsidR="00DF5821" w:rsidRPr="002D4FC2">
        <w:t>Communication</w:t>
      </w:r>
    </w:p>
    <w:p w:rsidR="00BC0876" w:rsidRPr="002D4FC2" w:rsidRDefault="00AC60D8" w:rsidP="00471DF8">
      <w:pPr>
        <w:pStyle w:val="SingleTxtG"/>
      </w:pPr>
      <w:r>
        <w:t>(</w:t>
      </w:r>
      <w:r w:rsidR="00DF5821" w:rsidRPr="002D4FC2">
        <w:t>format maximal</w:t>
      </w:r>
      <w:r w:rsidR="006021F0" w:rsidRPr="002D4FC2">
        <w:t> :</w:t>
      </w:r>
      <w:r w:rsidR="00DF5821" w:rsidRPr="002D4FC2">
        <w:t xml:space="preserve"> A4 (210 x 297 mm)</w:t>
      </w:r>
      <w:r>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4389"/>
      </w:tblGrid>
      <w:tr w:rsidR="00FC5222" w:rsidRPr="002D4FC2" w:rsidTr="00AE20D1">
        <w:tc>
          <w:tcPr>
            <w:tcW w:w="2982" w:type="dxa"/>
          </w:tcPr>
          <w:p w:rsidR="00FC5222" w:rsidRPr="002D4FC2" w:rsidRDefault="00FC5222" w:rsidP="00686B8B">
            <w:pPr>
              <w:pStyle w:val="SingleTxtG"/>
              <w:ind w:left="0" w:right="0"/>
            </w:pPr>
            <w:r w:rsidRPr="002D4FC2">
              <w:rPr>
                <w:noProof/>
                <w:lang w:eastAsia="fr-CH"/>
              </w:rPr>
              <w:drawing>
                <wp:inline distT="0" distB="0" distL="0" distR="0" wp14:anchorId="39A39DB2" wp14:editId="54E599B1">
                  <wp:extent cx="1161288" cy="1106424"/>
                  <wp:effectExtent l="0" t="0" r="1270" b="0"/>
                  <wp:docPr id="20" name="Picture 2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1288" cy="1106424"/>
                          </a:xfrm>
                          <a:prstGeom prst="rect">
                            <a:avLst/>
                          </a:prstGeom>
                          <a:noFill/>
                          <a:ln>
                            <a:noFill/>
                          </a:ln>
                        </pic:spPr>
                      </pic:pic>
                    </a:graphicData>
                  </a:graphic>
                </wp:inline>
              </w:drawing>
            </w:r>
            <w:r w:rsidR="00686B8B" w:rsidRPr="00B44523">
              <w:rPr>
                <w:rStyle w:val="FootnoteReference"/>
                <w:color w:val="FFFFFF" w:themeColor="background1"/>
              </w:rPr>
              <w:footnoteReference w:id="6"/>
            </w:r>
          </w:p>
        </w:tc>
        <w:tc>
          <w:tcPr>
            <w:tcW w:w="4389" w:type="dxa"/>
          </w:tcPr>
          <w:p w:rsidR="00FC5222" w:rsidRPr="002D4FC2" w:rsidRDefault="00FC5222" w:rsidP="00686B8B">
            <w:pPr>
              <w:tabs>
                <w:tab w:val="right" w:leader="dot" w:pos="3969"/>
              </w:tabs>
              <w:ind w:left="1418" w:hanging="1418"/>
            </w:pPr>
            <w:r w:rsidRPr="002D4FC2">
              <w:t>Émanant de :</w:t>
            </w:r>
            <w:r w:rsidR="004E7702" w:rsidRPr="002D4FC2">
              <w:tab/>
            </w:r>
            <w:r w:rsidRPr="002D4FC2">
              <w:t>Nom de l’administration :</w:t>
            </w:r>
            <w:r w:rsidR="004E7702" w:rsidRPr="002D4FC2">
              <w:br/>
            </w:r>
            <w:r w:rsidR="004E7702" w:rsidRPr="002D4FC2">
              <w:tab/>
            </w:r>
            <w:r w:rsidR="00686B8B">
              <w:br/>
            </w:r>
            <w:r w:rsidR="004E7702" w:rsidRPr="002D4FC2">
              <w:tab/>
            </w:r>
          </w:p>
        </w:tc>
      </w:tr>
    </w:tbl>
    <w:p w:rsidR="00DF5821" w:rsidRPr="002D4FC2" w:rsidRDefault="00DF5821" w:rsidP="00AC60D8">
      <w:pPr>
        <w:pStyle w:val="SingleTxtG"/>
        <w:tabs>
          <w:tab w:val="left" w:pos="2835"/>
        </w:tabs>
        <w:spacing w:after="0"/>
      </w:pPr>
      <w:r w:rsidRPr="002D4FC2">
        <w:t>Concernant</w:t>
      </w:r>
      <w:r w:rsidR="00B223BC">
        <w:rPr>
          <w:rStyle w:val="FootnoteReference"/>
        </w:rPr>
        <w:footnoteReference w:id="7"/>
      </w:r>
      <w:r w:rsidR="006021F0" w:rsidRPr="002D4FC2">
        <w:t> :</w:t>
      </w:r>
      <w:r w:rsidRPr="002D4FC2">
        <w:tab/>
        <w:t>Délivrance d</w:t>
      </w:r>
      <w:r w:rsidR="00BC0876" w:rsidRPr="002D4FC2">
        <w:t>’</w:t>
      </w:r>
      <w:r w:rsidRPr="002D4FC2">
        <w:t>une homologation</w:t>
      </w:r>
    </w:p>
    <w:p w:rsidR="00DF5821" w:rsidRPr="002D4FC2" w:rsidRDefault="00DF5821" w:rsidP="00AC60D8">
      <w:pPr>
        <w:pStyle w:val="SingleTxtG"/>
        <w:spacing w:after="0"/>
        <w:ind w:left="2835"/>
      </w:pPr>
      <w:r w:rsidRPr="002D4FC2">
        <w:t>Extension d</w:t>
      </w:r>
      <w:r w:rsidR="00BC0876" w:rsidRPr="002D4FC2">
        <w:t>’</w:t>
      </w:r>
      <w:r w:rsidRPr="002D4FC2">
        <w:t>homologation</w:t>
      </w:r>
    </w:p>
    <w:p w:rsidR="00DF5821" w:rsidRPr="002D4FC2" w:rsidRDefault="00DF5821" w:rsidP="00AC60D8">
      <w:pPr>
        <w:pStyle w:val="SingleTxtG"/>
        <w:spacing w:after="0"/>
        <w:ind w:left="2835"/>
      </w:pPr>
      <w:r w:rsidRPr="002D4FC2">
        <w:t>Refus d</w:t>
      </w:r>
      <w:r w:rsidR="00BC0876" w:rsidRPr="002D4FC2">
        <w:t>’</w:t>
      </w:r>
      <w:r w:rsidRPr="002D4FC2">
        <w:t>homologation</w:t>
      </w:r>
    </w:p>
    <w:p w:rsidR="00DF5821" w:rsidRPr="002D4FC2" w:rsidRDefault="00DF5821" w:rsidP="00AC60D8">
      <w:pPr>
        <w:pStyle w:val="SingleTxtG"/>
        <w:spacing w:after="0"/>
        <w:ind w:left="2835"/>
      </w:pPr>
      <w:r w:rsidRPr="002D4FC2">
        <w:t>Retrait d</w:t>
      </w:r>
      <w:r w:rsidR="00BC0876" w:rsidRPr="002D4FC2">
        <w:t>’</w:t>
      </w:r>
      <w:r w:rsidRPr="002D4FC2">
        <w:t>homologation</w:t>
      </w:r>
    </w:p>
    <w:p w:rsidR="00DF5821" w:rsidRPr="002D4FC2" w:rsidRDefault="00DF5821" w:rsidP="00AC60D8">
      <w:pPr>
        <w:pStyle w:val="SingleTxtG"/>
        <w:ind w:left="2835"/>
      </w:pPr>
      <w:r w:rsidRPr="002D4FC2">
        <w:t>Arrêt définitif de la production</w:t>
      </w:r>
    </w:p>
    <w:p w:rsidR="00DF5821" w:rsidRPr="002D4FC2" w:rsidRDefault="00DF5821" w:rsidP="00471DF8">
      <w:pPr>
        <w:pStyle w:val="SingleTxtG"/>
      </w:pPr>
      <w:r w:rsidRPr="002D4FC2">
        <w:t>d</w:t>
      </w:r>
      <w:r w:rsidR="00BC0876" w:rsidRPr="002D4FC2">
        <w:t>’</w:t>
      </w:r>
      <w:r w:rsidRPr="002D4FC2">
        <w:t>un type de véhicule en ce qui concerne l</w:t>
      </w:r>
      <w:r w:rsidR="00BC0876" w:rsidRPr="002D4FC2">
        <w:t>’</w:t>
      </w:r>
      <w:r w:rsidRPr="002D4FC2">
        <w:t>appareil indicateur de vitesse et le compteur kilométrique, y compris leur installation en application du Règlement n</w:t>
      </w:r>
      <w:r w:rsidRPr="002D4FC2">
        <w:rPr>
          <w:vertAlign w:val="superscript"/>
        </w:rPr>
        <w:t>o</w:t>
      </w:r>
      <w:r w:rsidRPr="002D4FC2">
        <w:t> 39.</w:t>
      </w:r>
    </w:p>
    <w:p w:rsidR="00DF5821" w:rsidRPr="002D4FC2" w:rsidRDefault="00DF5821" w:rsidP="006F0402">
      <w:pPr>
        <w:pStyle w:val="SingleTxtG"/>
        <w:tabs>
          <w:tab w:val="right" w:leader="dot" w:pos="4536"/>
          <w:tab w:val="left" w:pos="5103"/>
          <w:tab w:val="right" w:leader="dot" w:pos="8505"/>
        </w:tabs>
      </w:pPr>
      <w:r w:rsidRPr="002D4FC2">
        <w:t>N</w:t>
      </w:r>
      <w:r w:rsidRPr="002D4FC2">
        <w:rPr>
          <w:vertAlign w:val="superscript"/>
        </w:rPr>
        <w:t>o</w:t>
      </w:r>
      <w:r w:rsidRPr="002D4FC2">
        <w:t> d</w:t>
      </w:r>
      <w:r w:rsidR="00BC0876" w:rsidRPr="002D4FC2">
        <w:t>’</w:t>
      </w:r>
      <w:r w:rsidRPr="002D4FC2">
        <w:t>homologation</w:t>
      </w:r>
      <w:r w:rsidR="006F0402" w:rsidRPr="002D4FC2">
        <w:t> :</w:t>
      </w:r>
      <w:r w:rsidR="006F0402" w:rsidRPr="002D4FC2">
        <w:tab/>
      </w:r>
      <w:r w:rsidR="006F0402" w:rsidRPr="002D4FC2">
        <w:tab/>
      </w:r>
      <w:r w:rsidRPr="002D4FC2">
        <w:t>N</w:t>
      </w:r>
      <w:r w:rsidRPr="002D4FC2">
        <w:rPr>
          <w:vertAlign w:val="superscript"/>
        </w:rPr>
        <w:t>o</w:t>
      </w:r>
      <w:r w:rsidRPr="002D4FC2">
        <w:t> de l</w:t>
      </w:r>
      <w:r w:rsidR="00BC0876" w:rsidRPr="002D4FC2">
        <w:t>’</w:t>
      </w:r>
      <w:r w:rsidRPr="002D4FC2">
        <w:t>extension</w:t>
      </w:r>
      <w:r w:rsidR="006F0402" w:rsidRPr="002D4FC2">
        <w:t> :</w:t>
      </w:r>
      <w:r w:rsidR="006F0402" w:rsidRPr="002D4FC2">
        <w:tab/>
      </w:r>
    </w:p>
    <w:p w:rsidR="00DF5821" w:rsidRPr="002D4FC2" w:rsidRDefault="00DF5821" w:rsidP="003725BC">
      <w:pPr>
        <w:pStyle w:val="SingleTxtG"/>
        <w:tabs>
          <w:tab w:val="left" w:pos="1701"/>
          <w:tab w:val="right" w:leader="dot" w:pos="8505"/>
        </w:tabs>
      </w:pPr>
      <w:r w:rsidRPr="002D4FC2">
        <w:t>1.</w:t>
      </w:r>
      <w:r w:rsidRPr="002D4FC2">
        <w:tab/>
        <w:t>Marque de fabrique ou de commerce du véhicule</w:t>
      </w:r>
      <w:r w:rsidR="006021F0" w:rsidRPr="002D4FC2">
        <w:t> :</w:t>
      </w:r>
      <w:r w:rsidRPr="002D4FC2">
        <w:tab/>
      </w:r>
    </w:p>
    <w:p w:rsidR="00DF5821" w:rsidRPr="002D4FC2" w:rsidRDefault="00DF5821" w:rsidP="003725BC">
      <w:pPr>
        <w:pStyle w:val="SingleTxtG"/>
        <w:tabs>
          <w:tab w:val="left" w:pos="1701"/>
          <w:tab w:val="right" w:leader="dot" w:pos="8505"/>
        </w:tabs>
      </w:pPr>
      <w:r w:rsidRPr="002D4FC2">
        <w:t>2.</w:t>
      </w:r>
      <w:r w:rsidRPr="002D4FC2">
        <w:tab/>
        <w:t>Type du véhicule</w:t>
      </w:r>
      <w:r w:rsidR="006021F0" w:rsidRPr="002D4FC2">
        <w:t> :</w:t>
      </w:r>
      <w:r w:rsidRPr="002D4FC2">
        <w:tab/>
      </w:r>
    </w:p>
    <w:p w:rsidR="00DF5821" w:rsidRPr="002D4FC2" w:rsidRDefault="00DF5821" w:rsidP="004D7E8A">
      <w:pPr>
        <w:pStyle w:val="SingleTxtG"/>
        <w:tabs>
          <w:tab w:val="left" w:pos="1701"/>
          <w:tab w:val="right" w:leader="dot" w:pos="8505"/>
        </w:tabs>
        <w:ind w:left="1701" w:hanging="567"/>
      </w:pPr>
      <w:r w:rsidRPr="002D4FC2">
        <w:t>3.</w:t>
      </w:r>
      <w:r w:rsidRPr="002D4FC2">
        <w:tab/>
        <w:t>Nom et adresse du constructeur</w:t>
      </w:r>
      <w:r w:rsidR="006021F0" w:rsidRPr="002D4FC2">
        <w:t> :</w:t>
      </w:r>
      <w:r w:rsidRPr="002D4FC2">
        <w:tab/>
      </w:r>
      <w:r w:rsidR="00E177EE" w:rsidRPr="002D4FC2">
        <w:br/>
      </w:r>
      <w:r w:rsidR="00E177EE" w:rsidRPr="002D4FC2">
        <w:tab/>
      </w:r>
    </w:p>
    <w:p w:rsidR="00DF5821" w:rsidRPr="002D4FC2" w:rsidRDefault="00DF5821" w:rsidP="004D7E8A">
      <w:pPr>
        <w:pStyle w:val="SingleTxtG"/>
        <w:tabs>
          <w:tab w:val="left" w:pos="1701"/>
          <w:tab w:val="right" w:leader="dot" w:pos="8505"/>
        </w:tabs>
        <w:ind w:left="1701" w:hanging="567"/>
      </w:pPr>
      <w:r w:rsidRPr="002D4FC2">
        <w:t>4.</w:t>
      </w:r>
      <w:r w:rsidRPr="002D4FC2">
        <w:tab/>
        <w:t>Le cas échéant, nom et adresse du représentant du constructeur</w:t>
      </w:r>
      <w:r w:rsidR="006021F0" w:rsidRPr="002D4FC2">
        <w:t> :</w:t>
      </w:r>
      <w:r w:rsidR="00E177EE" w:rsidRPr="002D4FC2">
        <w:tab/>
      </w:r>
      <w:r w:rsidR="00E177EE" w:rsidRPr="002D4FC2">
        <w:br/>
      </w:r>
      <w:r w:rsidRPr="002D4FC2">
        <w:tab/>
      </w:r>
    </w:p>
    <w:p w:rsidR="00DF5821" w:rsidRPr="002D4FC2" w:rsidRDefault="00DF5821" w:rsidP="004D7E8A">
      <w:pPr>
        <w:pStyle w:val="SingleTxtG"/>
        <w:tabs>
          <w:tab w:val="left" w:pos="1701"/>
          <w:tab w:val="right" w:leader="dot" w:pos="8505"/>
        </w:tabs>
        <w:ind w:left="1701" w:hanging="567"/>
      </w:pPr>
      <w:r w:rsidRPr="002D4FC2">
        <w:t>5.</w:t>
      </w:r>
      <w:r w:rsidRPr="002D4FC2">
        <w:tab/>
        <w:t>Description de l</w:t>
      </w:r>
      <w:r w:rsidR="00BC0876" w:rsidRPr="002D4FC2">
        <w:t>’</w:t>
      </w:r>
      <w:r w:rsidRPr="002D4FC2">
        <w:t>appareil indicateur de vitesse</w:t>
      </w:r>
      <w:r w:rsidR="006021F0" w:rsidRPr="002D4FC2">
        <w:t> :</w:t>
      </w:r>
      <w:r w:rsidRPr="002D4FC2">
        <w:tab/>
      </w:r>
      <w:r w:rsidR="00E177EE" w:rsidRPr="002D4FC2">
        <w:br/>
      </w:r>
      <w:r w:rsidRPr="002D4FC2">
        <w:tab/>
      </w:r>
    </w:p>
    <w:p w:rsidR="00DF5821" w:rsidRPr="002D4FC2" w:rsidRDefault="00DF5821" w:rsidP="004D7E8A">
      <w:pPr>
        <w:pStyle w:val="SingleTxtG"/>
        <w:tabs>
          <w:tab w:val="left" w:pos="1701"/>
          <w:tab w:val="right" w:leader="dot" w:pos="8505"/>
        </w:tabs>
        <w:ind w:left="1701" w:hanging="567"/>
      </w:pPr>
      <w:r w:rsidRPr="002D4FC2">
        <w:t>5.1</w:t>
      </w:r>
      <w:r w:rsidRPr="002D4FC2">
        <w:tab/>
        <w:t>Caractéristiques des pneumatiques de monte normale</w:t>
      </w:r>
      <w:r w:rsidR="006021F0" w:rsidRPr="002D4FC2">
        <w:t> :</w:t>
      </w:r>
      <w:r w:rsidRPr="002D4FC2">
        <w:tab/>
      </w:r>
    </w:p>
    <w:p w:rsidR="00DF5821" w:rsidRPr="002D4FC2" w:rsidRDefault="00DF5821" w:rsidP="004D7E8A">
      <w:pPr>
        <w:pStyle w:val="SingleTxtG"/>
        <w:tabs>
          <w:tab w:val="left" w:pos="1701"/>
          <w:tab w:val="right" w:leader="dot" w:pos="8505"/>
        </w:tabs>
        <w:ind w:left="1701" w:hanging="567"/>
      </w:pPr>
      <w:r w:rsidRPr="002D4FC2">
        <w:t>5.2</w:t>
      </w:r>
      <w:r w:rsidRPr="002D4FC2">
        <w:tab/>
        <w:t>Caractéristiques des pneumatiques montés pendant l</w:t>
      </w:r>
      <w:r w:rsidR="00BC0876" w:rsidRPr="002D4FC2">
        <w:t>’</w:t>
      </w:r>
      <w:r w:rsidRPr="002D4FC2">
        <w:t>essai</w:t>
      </w:r>
      <w:r w:rsidR="006021F0" w:rsidRPr="002D4FC2">
        <w:t> :</w:t>
      </w:r>
      <w:r w:rsidRPr="002D4FC2">
        <w:tab/>
      </w:r>
    </w:p>
    <w:p w:rsidR="00DF5821" w:rsidRPr="002D4FC2" w:rsidRDefault="00DF5821" w:rsidP="004D7E8A">
      <w:pPr>
        <w:pStyle w:val="SingleTxtG"/>
        <w:tabs>
          <w:tab w:val="left" w:pos="1701"/>
          <w:tab w:val="right" w:leader="dot" w:pos="8505"/>
        </w:tabs>
        <w:ind w:left="1701" w:hanging="567"/>
      </w:pPr>
      <w:r w:rsidRPr="002D4FC2">
        <w:t>5.3</w:t>
      </w:r>
      <w:r w:rsidRPr="002D4FC2">
        <w:tab/>
        <w:t>Ratio d</w:t>
      </w:r>
      <w:r w:rsidR="00BC0876" w:rsidRPr="002D4FC2">
        <w:t>’</w:t>
      </w:r>
      <w:r w:rsidRPr="002D4FC2">
        <w:t>entraînement de l</w:t>
      </w:r>
      <w:r w:rsidR="00BC0876" w:rsidRPr="002D4FC2">
        <w:t>’</w:t>
      </w:r>
      <w:r w:rsidRPr="002D4FC2">
        <w:t>appareil indicateur de vitesse</w:t>
      </w:r>
      <w:r w:rsidR="006021F0" w:rsidRPr="002D4FC2">
        <w:t> :</w:t>
      </w:r>
      <w:r w:rsidRPr="002D4FC2">
        <w:tab/>
      </w:r>
    </w:p>
    <w:p w:rsidR="00DF5821" w:rsidRPr="002D4FC2" w:rsidRDefault="00DF5821" w:rsidP="004D7E8A">
      <w:pPr>
        <w:pStyle w:val="SingleTxtG"/>
        <w:tabs>
          <w:tab w:val="left" w:pos="1701"/>
          <w:tab w:val="right" w:leader="dot" w:pos="8505"/>
        </w:tabs>
        <w:ind w:left="1701" w:hanging="567"/>
      </w:pPr>
      <w:r w:rsidRPr="002D4FC2">
        <w:t>6.</w:t>
      </w:r>
      <w:r w:rsidRPr="002D4FC2">
        <w:tab/>
        <w:t>Description de l</w:t>
      </w:r>
      <w:r w:rsidR="00BC0876" w:rsidRPr="002D4FC2">
        <w:t>’</w:t>
      </w:r>
      <w:r w:rsidRPr="002D4FC2">
        <w:t>équipement du compteur kilométrique</w:t>
      </w:r>
      <w:r w:rsidR="006021F0" w:rsidRPr="002D4FC2">
        <w:t> :</w:t>
      </w:r>
      <w:r w:rsidRPr="002D4FC2">
        <w:tab/>
      </w:r>
    </w:p>
    <w:p w:rsidR="00DF5821" w:rsidRPr="002D4FC2" w:rsidRDefault="00DF5821" w:rsidP="004D7E8A">
      <w:pPr>
        <w:pStyle w:val="SingleTxtG"/>
        <w:tabs>
          <w:tab w:val="left" w:pos="1701"/>
          <w:tab w:val="right" w:leader="dot" w:pos="8505"/>
        </w:tabs>
        <w:ind w:left="1701" w:hanging="567"/>
      </w:pPr>
      <w:r w:rsidRPr="002D4FC2">
        <w:t>7.</w:t>
      </w:r>
      <w:r w:rsidRPr="002D4FC2">
        <w:tab/>
        <w:t>Masse du véhicule lors de l</w:t>
      </w:r>
      <w:r w:rsidR="00BC0876" w:rsidRPr="002D4FC2">
        <w:t>’</w:t>
      </w:r>
      <w:r w:rsidRPr="002D4FC2">
        <w:t>essai et répartition de cette masse entre les essieux</w:t>
      </w:r>
      <w:r w:rsidR="006021F0" w:rsidRPr="002D4FC2">
        <w:t> :</w:t>
      </w:r>
      <w:r w:rsidRPr="002D4FC2">
        <w:tab/>
      </w:r>
      <w:r w:rsidR="004D7E8A" w:rsidRPr="002D4FC2">
        <w:br/>
      </w:r>
      <w:r w:rsidR="004D7E8A" w:rsidRPr="002D4FC2">
        <w:tab/>
      </w:r>
    </w:p>
    <w:p w:rsidR="00DF5821" w:rsidRPr="002D4FC2" w:rsidRDefault="00DF5821" w:rsidP="004D7E8A">
      <w:pPr>
        <w:pStyle w:val="SingleTxtG"/>
        <w:tabs>
          <w:tab w:val="left" w:pos="1701"/>
          <w:tab w:val="right" w:leader="dot" w:pos="8505"/>
        </w:tabs>
        <w:ind w:left="1701" w:hanging="567"/>
      </w:pPr>
      <w:r w:rsidRPr="002D4FC2">
        <w:t>8.</w:t>
      </w:r>
      <w:r w:rsidRPr="002D4FC2">
        <w:tab/>
        <w:t>Variantes</w:t>
      </w:r>
      <w:r w:rsidR="006021F0" w:rsidRPr="002D4FC2">
        <w:t> :</w:t>
      </w:r>
      <w:r w:rsidRPr="002D4FC2">
        <w:tab/>
      </w:r>
    </w:p>
    <w:p w:rsidR="00DF5821" w:rsidRPr="002D4FC2" w:rsidRDefault="00DF5821" w:rsidP="004D7E8A">
      <w:pPr>
        <w:pStyle w:val="SingleTxtG"/>
        <w:tabs>
          <w:tab w:val="left" w:pos="1701"/>
          <w:tab w:val="right" w:leader="dot" w:pos="8505"/>
        </w:tabs>
        <w:ind w:left="1701" w:hanging="567"/>
      </w:pPr>
      <w:r w:rsidRPr="002D4FC2">
        <w:t>9.</w:t>
      </w:r>
      <w:r w:rsidRPr="002D4FC2">
        <w:tab/>
        <w:t>Véhicule présenté à l</w:t>
      </w:r>
      <w:r w:rsidR="00BC0876" w:rsidRPr="002D4FC2">
        <w:t>’</w:t>
      </w:r>
      <w:r w:rsidRPr="002D4FC2">
        <w:t>homologation le</w:t>
      </w:r>
      <w:r w:rsidR="006021F0" w:rsidRPr="002D4FC2">
        <w:t> :</w:t>
      </w:r>
      <w:r w:rsidRPr="002D4FC2">
        <w:tab/>
      </w:r>
    </w:p>
    <w:p w:rsidR="00DF5821" w:rsidRPr="002D4FC2" w:rsidRDefault="00DF5821" w:rsidP="004D7E8A">
      <w:pPr>
        <w:pStyle w:val="SingleTxtG"/>
        <w:tabs>
          <w:tab w:val="left" w:pos="1701"/>
          <w:tab w:val="right" w:leader="dot" w:pos="8505"/>
        </w:tabs>
        <w:ind w:left="1701" w:hanging="567"/>
      </w:pPr>
      <w:r w:rsidRPr="002D4FC2">
        <w:t>10.</w:t>
      </w:r>
      <w:r w:rsidRPr="002D4FC2">
        <w:tab/>
        <w:t>Service technique chargé des essais d</w:t>
      </w:r>
      <w:r w:rsidR="00BC0876" w:rsidRPr="002D4FC2">
        <w:t>’</w:t>
      </w:r>
      <w:r w:rsidRPr="002D4FC2">
        <w:t>homologation</w:t>
      </w:r>
      <w:r w:rsidR="006021F0" w:rsidRPr="002D4FC2">
        <w:t> :</w:t>
      </w:r>
      <w:r w:rsidRPr="002D4FC2">
        <w:tab/>
      </w:r>
      <w:r w:rsidR="00E177EE" w:rsidRPr="002D4FC2">
        <w:br/>
      </w:r>
      <w:r w:rsidRPr="002D4FC2">
        <w:tab/>
      </w:r>
    </w:p>
    <w:p w:rsidR="00DF5821" w:rsidRPr="002D4FC2" w:rsidRDefault="00DF5821" w:rsidP="004D7E8A">
      <w:pPr>
        <w:pStyle w:val="SingleTxtG"/>
        <w:tabs>
          <w:tab w:val="left" w:pos="1701"/>
          <w:tab w:val="right" w:leader="dot" w:pos="8505"/>
        </w:tabs>
        <w:ind w:left="1701" w:hanging="567"/>
      </w:pPr>
      <w:r w:rsidRPr="002D4FC2">
        <w:t>11.</w:t>
      </w:r>
      <w:r w:rsidRPr="002D4FC2">
        <w:tab/>
        <w:t>Date du procès-verbal délivré par ce service</w:t>
      </w:r>
      <w:r w:rsidR="006021F0" w:rsidRPr="002D4FC2">
        <w:t> :</w:t>
      </w:r>
      <w:r w:rsidRPr="002D4FC2">
        <w:tab/>
      </w:r>
    </w:p>
    <w:p w:rsidR="00DF5821" w:rsidRPr="002D4FC2" w:rsidRDefault="00DF5821" w:rsidP="004D7E8A">
      <w:pPr>
        <w:pStyle w:val="SingleTxtG"/>
        <w:tabs>
          <w:tab w:val="left" w:pos="1701"/>
          <w:tab w:val="right" w:leader="dot" w:pos="8505"/>
        </w:tabs>
        <w:ind w:left="1701" w:hanging="567"/>
      </w:pPr>
      <w:r w:rsidRPr="002D4FC2">
        <w:t>12.</w:t>
      </w:r>
      <w:r w:rsidRPr="002D4FC2">
        <w:tab/>
        <w:t>Numéro du procès-verbal délivré par ce service</w:t>
      </w:r>
      <w:r w:rsidR="006021F0" w:rsidRPr="002D4FC2">
        <w:t> :</w:t>
      </w:r>
      <w:r w:rsidRPr="002D4FC2">
        <w:tab/>
      </w:r>
    </w:p>
    <w:p w:rsidR="00DF5821" w:rsidRPr="002D4FC2" w:rsidRDefault="00DF5821" w:rsidP="004D7E8A">
      <w:pPr>
        <w:pStyle w:val="SingleTxtG"/>
        <w:tabs>
          <w:tab w:val="left" w:pos="1701"/>
          <w:tab w:val="right" w:leader="dot" w:pos="8505"/>
        </w:tabs>
        <w:ind w:left="1701" w:hanging="567"/>
      </w:pPr>
      <w:r w:rsidRPr="002D4FC2">
        <w:t>13.</w:t>
      </w:r>
      <w:r w:rsidRPr="002D4FC2">
        <w:tab/>
        <w:t>L</w:t>
      </w:r>
      <w:r w:rsidR="00BC0876" w:rsidRPr="002D4FC2">
        <w:t>’</w:t>
      </w:r>
      <w:r w:rsidRPr="002D4FC2">
        <w:t>homologation est accordée/refusée/étendue/retirée</w:t>
      </w:r>
      <w:r w:rsidRPr="00BE4CFF">
        <w:rPr>
          <w:rStyle w:val="FootnoteReference"/>
        </w:rPr>
        <w:t>2</w:t>
      </w:r>
    </w:p>
    <w:p w:rsidR="00DF5821" w:rsidRPr="002D4FC2" w:rsidRDefault="00DF5821" w:rsidP="004D7E8A">
      <w:pPr>
        <w:pStyle w:val="SingleTxtG"/>
        <w:tabs>
          <w:tab w:val="left" w:pos="1701"/>
          <w:tab w:val="right" w:leader="dot" w:pos="8505"/>
        </w:tabs>
        <w:ind w:left="1701" w:hanging="567"/>
      </w:pPr>
      <w:r w:rsidRPr="002D4FC2">
        <w:t>14.</w:t>
      </w:r>
      <w:r w:rsidRPr="002D4FC2">
        <w:tab/>
        <w:t>Emplacement, sur le véhicule, de la marque d</w:t>
      </w:r>
      <w:r w:rsidR="00BC0876" w:rsidRPr="002D4FC2">
        <w:t>’</w:t>
      </w:r>
      <w:r w:rsidRPr="002D4FC2">
        <w:t>homologation</w:t>
      </w:r>
      <w:r w:rsidR="006021F0" w:rsidRPr="002D4FC2">
        <w:t> :</w:t>
      </w:r>
      <w:r w:rsidRPr="002D4FC2">
        <w:tab/>
      </w:r>
    </w:p>
    <w:p w:rsidR="00DF5821" w:rsidRPr="002D4FC2" w:rsidRDefault="00DF5821" w:rsidP="004D7E8A">
      <w:pPr>
        <w:pStyle w:val="SingleTxtG"/>
        <w:tabs>
          <w:tab w:val="left" w:pos="1701"/>
          <w:tab w:val="right" w:leader="dot" w:pos="8505"/>
        </w:tabs>
        <w:ind w:left="1701" w:hanging="567"/>
      </w:pPr>
      <w:r w:rsidRPr="002D4FC2">
        <w:lastRenderedPageBreak/>
        <w:t>15.</w:t>
      </w:r>
      <w:r w:rsidRPr="002D4FC2">
        <w:tab/>
        <w:t>Lieu</w:t>
      </w:r>
      <w:r w:rsidR="006021F0" w:rsidRPr="002D4FC2">
        <w:t> :</w:t>
      </w:r>
      <w:r w:rsidRPr="002D4FC2">
        <w:tab/>
      </w:r>
    </w:p>
    <w:p w:rsidR="00DF5821" w:rsidRPr="002D4FC2" w:rsidRDefault="00DF5821" w:rsidP="004D7E8A">
      <w:pPr>
        <w:pStyle w:val="SingleTxtG"/>
        <w:tabs>
          <w:tab w:val="left" w:pos="1701"/>
          <w:tab w:val="right" w:leader="dot" w:pos="8505"/>
        </w:tabs>
        <w:ind w:left="1701" w:hanging="567"/>
      </w:pPr>
      <w:r w:rsidRPr="002D4FC2">
        <w:t>16.</w:t>
      </w:r>
      <w:r w:rsidRPr="002D4FC2">
        <w:tab/>
        <w:t>Date</w:t>
      </w:r>
      <w:r w:rsidR="006021F0" w:rsidRPr="002D4FC2">
        <w:t> :</w:t>
      </w:r>
      <w:r w:rsidRPr="002D4FC2">
        <w:t xml:space="preserve"> </w:t>
      </w:r>
      <w:r w:rsidRPr="002D4FC2">
        <w:tab/>
      </w:r>
    </w:p>
    <w:p w:rsidR="00E177EE" w:rsidRPr="002D4FC2" w:rsidRDefault="00DF5821" w:rsidP="004D7E8A">
      <w:pPr>
        <w:pStyle w:val="SingleTxtG"/>
        <w:tabs>
          <w:tab w:val="left" w:pos="1701"/>
          <w:tab w:val="right" w:leader="dot" w:pos="8505"/>
        </w:tabs>
        <w:ind w:left="1701" w:hanging="567"/>
      </w:pPr>
      <w:r w:rsidRPr="002D4FC2">
        <w:t>17.</w:t>
      </w:r>
      <w:r w:rsidRPr="002D4FC2">
        <w:tab/>
        <w:t>Signature</w:t>
      </w:r>
      <w:r w:rsidR="006021F0" w:rsidRPr="002D4FC2">
        <w:t> :</w:t>
      </w:r>
      <w:r w:rsidRPr="002D4FC2">
        <w:t xml:space="preserve"> </w:t>
      </w:r>
      <w:r w:rsidRPr="002D4FC2">
        <w:tab/>
      </w:r>
    </w:p>
    <w:p w:rsidR="00DF5821" w:rsidRPr="002D4FC2" w:rsidRDefault="00DF5821" w:rsidP="00E177EE">
      <w:pPr>
        <w:pStyle w:val="SingleTxtG"/>
      </w:pPr>
    </w:p>
    <w:p w:rsidR="00F4139B" w:rsidRPr="002D4FC2" w:rsidRDefault="00F4139B" w:rsidP="00C72C97">
      <w:pPr>
        <w:pStyle w:val="SingleTxtG"/>
        <w:sectPr w:rsidR="00F4139B" w:rsidRPr="002D4FC2" w:rsidSect="00DF5821">
          <w:headerReference w:type="even" r:id="rId19"/>
          <w:headerReference w:type="default" r:id="rId20"/>
          <w:footerReference w:type="even" r:id="rId21"/>
          <w:footerReference w:type="default" r:id="rId22"/>
          <w:footnotePr>
            <w:numRestart w:val="eachSect"/>
          </w:footnotePr>
          <w:endnotePr>
            <w:numFmt w:val="decimal"/>
          </w:endnotePr>
          <w:pgSz w:w="11907" w:h="16840" w:code="9"/>
          <w:pgMar w:top="1417" w:right="1134" w:bottom="1134" w:left="1134" w:header="850" w:footer="567" w:gutter="0"/>
          <w:cols w:space="720"/>
          <w:docGrid w:linePitch="272"/>
        </w:sectPr>
      </w:pPr>
    </w:p>
    <w:p w:rsidR="00F4139B" w:rsidRPr="002D4FC2" w:rsidRDefault="00F4139B" w:rsidP="004F223F">
      <w:pPr>
        <w:pStyle w:val="HChG"/>
      </w:pPr>
      <w:r w:rsidRPr="002D4FC2">
        <w:lastRenderedPageBreak/>
        <w:t>Annexe 2</w:t>
      </w:r>
    </w:p>
    <w:p w:rsidR="00BC0876" w:rsidRPr="002D4FC2" w:rsidRDefault="004F223F" w:rsidP="004F223F">
      <w:pPr>
        <w:pStyle w:val="HChG"/>
      </w:pPr>
      <w:r>
        <w:tab/>
      </w:r>
      <w:r w:rsidR="00D21F68" w:rsidRPr="002D4FC2">
        <w:tab/>
      </w:r>
      <w:r w:rsidR="00F4139B" w:rsidRPr="002D4FC2">
        <w:t>Exemples de marque d</w:t>
      </w:r>
      <w:r w:rsidR="00BC0876" w:rsidRPr="002D4FC2">
        <w:t>’</w:t>
      </w:r>
      <w:r w:rsidR="00F4139B" w:rsidRPr="002D4FC2">
        <w:t>homologation</w:t>
      </w:r>
    </w:p>
    <w:p w:rsidR="00BC0876" w:rsidRPr="001E0A10" w:rsidRDefault="004F223F" w:rsidP="001E0A10">
      <w:pPr>
        <w:pStyle w:val="H23G"/>
        <w:rPr>
          <w:b w:val="0"/>
        </w:rPr>
      </w:pPr>
      <w:r w:rsidRPr="005F2D1C">
        <w:rPr>
          <w:b w:val="0"/>
        </w:rPr>
        <w:tab/>
      </w:r>
      <w:r w:rsidR="00D21F68" w:rsidRPr="005F2D1C">
        <w:rPr>
          <w:b w:val="0"/>
        </w:rPr>
        <w:tab/>
      </w:r>
      <w:r w:rsidR="00F4139B" w:rsidRPr="005F2D1C">
        <w:rPr>
          <w:b w:val="0"/>
        </w:rPr>
        <w:t xml:space="preserve">Modèle A </w:t>
      </w:r>
      <w:r w:rsidR="00F4139B" w:rsidRPr="005F2D1C">
        <w:rPr>
          <w:b w:val="0"/>
        </w:rPr>
        <w:br/>
      </w:r>
      <w:r w:rsidR="00F4139B" w:rsidRPr="001E0A10">
        <w:rPr>
          <w:b w:val="0"/>
        </w:rPr>
        <w:t>(voir le paragraphe 4.4 du présent Règlement)</w:t>
      </w:r>
    </w:p>
    <w:p w:rsidR="00F4139B" w:rsidRPr="004F223F" w:rsidRDefault="00F4139B" w:rsidP="004F223F">
      <w:pPr>
        <w:pStyle w:val="SingleTxtG"/>
      </w:pPr>
      <w:r w:rsidRPr="002D4FC2">
        <w:rPr>
          <w:noProof/>
          <w:lang w:eastAsia="fr-CH"/>
        </w:rPr>
        <mc:AlternateContent>
          <mc:Choice Requires="wps">
            <w:drawing>
              <wp:anchor distT="0" distB="0" distL="114300" distR="114300" simplePos="0" relativeHeight="251657216" behindDoc="0" locked="0" layoutInCell="1" allowOverlap="1" wp14:anchorId="7AE959FD" wp14:editId="652E2C3B">
                <wp:simplePos x="0" y="0"/>
                <wp:positionH relativeFrom="column">
                  <wp:posOffset>2861945</wp:posOffset>
                </wp:positionH>
                <wp:positionV relativeFrom="paragraph">
                  <wp:posOffset>410297</wp:posOffset>
                </wp:positionV>
                <wp:extent cx="2148214" cy="414068"/>
                <wp:effectExtent l="0" t="0" r="4445"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14" cy="414068"/>
                        </a:xfrm>
                        <a:prstGeom prst="rect">
                          <a:avLst/>
                        </a:prstGeom>
                        <a:solidFill>
                          <a:schemeClr val="bg1"/>
                        </a:solidFill>
                        <a:ln w="9525">
                          <a:noFill/>
                          <a:miter lim="800000"/>
                          <a:headEnd/>
                          <a:tailEnd/>
                        </a:ln>
                      </wps:spPr>
                      <wps:txbx>
                        <w:txbxContent>
                          <w:p w:rsidR="00436F6E" w:rsidRPr="00C90179" w:rsidRDefault="00436F6E" w:rsidP="00F4139B">
                            <w:pPr>
                              <w:spacing w:line="240" w:lineRule="auto"/>
                              <w:jc w:val="center"/>
                              <w:rPr>
                                <w:rFonts w:ascii="Arial" w:hAnsi="Arial"/>
                                <w:b/>
                                <w:sz w:val="48"/>
                                <w:szCs w:val="48"/>
                              </w:rPr>
                            </w:pPr>
                            <w:r w:rsidRPr="00C90179">
                              <w:rPr>
                                <w:rFonts w:ascii="Arial" w:hAnsi="Arial"/>
                                <w:b/>
                                <w:sz w:val="48"/>
                                <w:szCs w:val="48"/>
                              </w:rPr>
                              <w:t>39 R - 012439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959FD" id="Text Box 2" o:spid="_x0000_s1027" type="#_x0000_t202" style="position:absolute;left:0;text-align:left;margin-left:225.35pt;margin-top:32.3pt;width:169.15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" fillcolor="white [3212]" stroked="f">
                <v:textbox inset="0,0,0,0">
                  <w:txbxContent>
                    <w:p w:rsidR="00436F6E" w:rsidRPr="00C90179" w:rsidRDefault="00436F6E" w:rsidP="00F4139B">
                      <w:pPr>
                        <w:spacing w:line="240" w:lineRule="auto"/>
                        <w:jc w:val="center"/>
                        <w:rPr>
                          <w:rFonts w:ascii="Arial" w:hAnsi="Arial"/>
                          <w:b/>
                          <w:sz w:val="48"/>
                          <w:szCs w:val="48"/>
                        </w:rPr>
                      </w:pPr>
                      <w:r w:rsidRPr="00C90179">
                        <w:rPr>
                          <w:rFonts w:ascii="Arial" w:hAnsi="Arial"/>
                          <w:b/>
                          <w:sz w:val="48"/>
                          <w:szCs w:val="48"/>
                        </w:rPr>
                        <w:t>39 R - 012439</w:t>
                      </w:r>
                    </w:p>
                  </w:txbxContent>
                </v:textbox>
              </v:shape>
            </w:pict>
          </mc:Fallback>
        </mc:AlternateContent>
      </w:r>
      <w:r w:rsidRPr="002D4FC2">
        <w:rPr>
          <w:noProof/>
          <w:lang w:eastAsia="fr-CH"/>
        </w:rPr>
        <w:drawing>
          <wp:inline distT="0" distB="0" distL="0" distR="0" wp14:anchorId="3763ADDF" wp14:editId="06122712">
            <wp:extent cx="4644000" cy="1135746"/>
            <wp:effectExtent l="0" t="0" r="4445"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t="3717" b="9221"/>
                    <a:stretch>
                      <a:fillRect/>
                    </a:stretch>
                  </pic:blipFill>
                  <pic:spPr bwMode="auto">
                    <a:xfrm>
                      <a:off x="0" y="0"/>
                      <a:ext cx="4644000" cy="1135746"/>
                    </a:xfrm>
                    <a:prstGeom prst="rect">
                      <a:avLst/>
                    </a:prstGeom>
                    <a:noFill/>
                    <a:ln>
                      <a:noFill/>
                    </a:ln>
                  </pic:spPr>
                </pic:pic>
              </a:graphicData>
            </a:graphic>
          </wp:inline>
        </w:drawing>
      </w:r>
    </w:p>
    <w:p w:rsidR="00F4139B" w:rsidRPr="002D4FC2" w:rsidRDefault="00F4139B" w:rsidP="001E0A10">
      <w:pPr>
        <w:pStyle w:val="SingleTxtG"/>
        <w:jc w:val="right"/>
      </w:pPr>
      <w:r w:rsidRPr="002D4FC2">
        <w:t>a = 8 mm min.</w:t>
      </w:r>
    </w:p>
    <w:p w:rsidR="00F4139B" w:rsidRPr="002D4FC2" w:rsidRDefault="00F4139B" w:rsidP="00E64688">
      <w:pPr>
        <w:pStyle w:val="SingleTxtG"/>
        <w:ind w:firstLine="567"/>
      </w:pPr>
      <w:r w:rsidRPr="002D4FC2">
        <w:t>La marque d</w:t>
      </w:r>
      <w:r w:rsidR="00BC0876" w:rsidRPr="002D4FC2">
        <w:t>’</w:t>
      </w:r>
      <w:r w:rsidRPr="002D4FC2">
        <w:t>homologation ci-dessus, apposée sur un véhicule, indique que le type de ce véhicule a été homologué aux Pays-Bas (E4), en application du Règlement n</w:t>
      </w:r>
      <w:r w:rsidRPr="002D4FC2">
        <w:rPr>
          <w:vertAlign w:val="superscript"/>
        </w:rPr>
        <w:t>o</w:t>
      </w:r>
      <w:r w:rsidRPr="002D4FC2">
        <w:t> 39. Le numéro d</w:t>
      </w:r>
      <w:r w:rsidR="00BC0876" w:rsidRPr="002D4FC2">
        <w:t>’</w:t>
      </w:r>
      <w:r w:rsidRPr="002D4FC2">
        <w:t>homologation indique que l</w:t>
      </w:r>
      <w:r w:rsidR="00BC0876" w:rsidRPr="002D4FC2">
        <w:t>’</w:t>
      </w:r>
      <w:r w:rsidRPr="002D4FC2">
        <w:t>homologation a été accordée conformément aux prescriptions du Règlement n</w:t>
      </w:r>
      <w:r w:rsidRPr="002D4FC2">
        <w:rPr>
          <w:vertAlign w:val="superscript"/>
        </w:rPr>
        <w:t>o</w:t>
      </w:r>
      <w:r w:rsidRPr="002D4FC2">
        <w:t> 39 modifié par la série 01 d</w:t>
      </w:r>
      <w:r w:rsidR="00BC0876" w:rsidRPr="002D4FC2">
        <w:t>’</w:t>
      </w:r>
      <w:r w:rsidRPr="002D4FC2">
        <w:t>amendements.</w:t>
      </w:r>
    </w:p>
    <w:p w:rsidR="00BC0876" w:rsidRPr="001E0A10" w:rsidRDefault="001E0A10" w:rsidP="001E0A10">
      <w:pPr>
        <w:pStyle w:val="H23G"/>
        <w:rPr>
          <w:b w:val="0"/>
        </w:rPr>
      </w:pPr>
      <w:r w:rsidRPr="005F2D1C">
        <w:rPr>
          <w:b w:val="0"/>
        </w:rPr>
        <w:tab/>
      </w:r>
      <w:r w:rsidR="00D21F68" w:rsidRPr="005F2D1C">
        <w:rPr>
          <w:b w:val="0"/>
        </w:rPr>
        <w:tab/>
      </w:r>
      <w:r w:rsidR="00F4139B" w:rsidRPr="005F2D1C">
        <w:rPr>
          <w:b w:val="0"/>
        </w:rPr>
        <w:t xml:space="preserve">Modèle B </w:t>
      </w:r>
      <w:r w:rsidR="00F4139B" w:rsidRPr="005F2D1C">
        <w:rPr>
          <w:b w:val="0"/>
        </w:rPr>
        <w:br/>
      </w:r>
      <w:r w:rsidR="00F4139B" w:rsidRPr="001E0A10">
        <w:rPr>
          <w:b w:val="0"/>
        </w:rPr>
        <w:t>(Voir le paragraphe 4.5 du présent Règlement)</w:t>
      </w:r>
    </w:p>
    <w:p w:rsidR="00F4139B" w:rsidRPr="00652ABB" w:rsidRDefault="00652ABB" w:rsidP="00652ABB">
      <w:pPr>
        <w:pStyle w:val="SingleTxtG"/>
      </w:pPr>
      <w:r w:rsidRPr="002D4FC2">
        <w:rPr>
          <w:noProof/>
          <w:lang w:eastAsia="fr-CH"/>
        </w:rPr>
        <mc:AlternateContent>
          <mc:Choice Requires="wps">
            <w:drawing>
              <wp:anchor distT="0" distB="0" distL="114300" distR="114300" simplePos="0" relativeHeight="251659264" behindDoc="0" locked="0" layoutInCell="1" allowOverlap="1" wp14:anchorId="67D7387A" wp14:editId="469E8B05">
                <wp:simplePos x="0" y="0"/>
                <wp:positionH relativeFrom="column">
                  <wp:posOffset>3618230</wp:posOffset>
                </wp:positionH>
                <wp:positionV relativeFrom="paragraph">
                  <wp:posOffset>214082</wp:posOffset>
                </wp:positionV>
                <wp:extent cx="1221105" cy="37020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370205"/>
                        </a:xfrm>
                        <a:prstGeom prst="rect">
                          <a:avLst/>
                        </a:prstGeom>
                        <a:solidFill>
                          <a:srgbClr val="FFFFFF"/>
                        </a:solidFill>
                        <a:ln w="9525">
                          <a:noFill/>
                          <a:miter lim="800000"/>
                          <a:headEnd/>
                          <a:tailEnd/>
                        </a:ln>
                      </wps:spPr>
                      <wps:txbx>
                        <w:txbxContent>
                          <w:p w:rsidR="00436F6E" w:rsidRPr="00652ABB" w:rsidRDefault="00436F6E" w:rsidP="00F4139B">
                            <w:pPr>
                              <w:spacing w:line="240" w:lineRule="auto"/>
                              <w:jc w:val="center"/>
                              <w:rPr>
                                <w:rFonts w:ascii="Arial" w:hAnsi="Arial"/>
                                <w:b/>
                                <w:sz w:val="50"/>
                                <w:szCs w:val="50"/>
                              </w:rPr>
                            </w:pPr>
                            <w:r w:rsidRPr="00652ABB">
                              <w:rPr>
                                <w:rFonts w:ascii="Arial" w:hAnsi="Arial"/>
                                <w:b/>
                                <w:sz w:val="50"/>
                                <w:szCs w:val="50"/>
                              </w:rPr>
                              <w:t xml:space="preserve">01 2439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7387A" id="_x0000_s1028" type="#_x0000_t202" style="position:absolute;left:0;text-align:left;margin-left:284.9pt;margin-top:16.85pt;width:96.1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" stroked="f">
                <v:textbox inset="0,0,0,0">
                  <w:txbxContent>
                    <w:p w:rsidR="00436F6E" w:rsidRPr="00652ABB" w:rsidRDefault="00436F6E" w:rsidP="00F4139B">
                      <w:pPr>
                        <w:spacing w:line="240" w:lineRule="auto"/>
                        <w:jc w:val="center"/>
                        <w:rPr>
                          <w:rFonts w:ascii="Arial" w:hAnsi="Arial"/>
                          <w:b/>
                          <w:sz w:val="50"/>
                          <w:szCs w:val="50"/>
                        </w:rPr>
                      </w:pPr>
                      <w:r w:rsidRPr="00652ABB">
                        <w:rPr>
                          <w:rFonts w:ascii="Arial" w:hAnsi="Arial"/>
                          <w:b/>
                          <w:sz w:val="50"/>
                          <w:szCs w:val="50"/>
                        </w:rPr>
                        <w:t xml:space="preserve">01 2439 </w:t>
                      </w:r>
                    </w:p>
                  </w:txbxContent>
                </v:textbox>
              </v:shape>
            </w:pict>
          </mc:Fallback>
        </mc:AlternateContent>
      </w:r>
      <w:r w:rsidR="00F4139B" w:rsidRPr="002D4FC2">
        <w:rPr>
          <w:noProof/>
          <w:lang w:eastAsia="fr-CH"/>
        </w:rPr>
        <w:drawing>
          <wp:inline distT="0" distB="0" distL="0" distR="0" wp14:anchorId="0432A9CE" wp14:editId="26A8E9AD">
            <wp:extent cx="4644000" cy="1276985"/>
            <wp:effectExtent l="0" t="0" r="4445" b="0"/>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noChangeArrowheads="1"/>
                    </pic:cNvPicPr>
                  </pic:nvPicPr>
                  <pic:blipFill>
                    <a:blip r:embed="rId24">
                      <a:extLst>
                        <a:ext uri="{28A0092B-C50C-407E-A947-70E740481C1C}">
                          <a14:useLocalDpi xmlns:a14="http://schemas.microsoft.com/office/drawing/2010/main" val="0"/>
                        </a:ext>
                      </a:extLst>
                    </a:blip>
                    <a:srcRect t="4594" b="5963"/>
                    <a:stretch>
                      <a:fillRect/>
                    </a:stretch>
                  </pic:blipFill>
                  <pic:spPr bwMode="auto">
                    <a:xfrm>
                      <a:off x="0" y="0"/>
                      <a:ext cx="4644000" cy="1276985"/>
                    </a:xfrm>
                    <a:prstGeom prst="rect">
                      <a:avLst/>
                    </a:prstGeom>
                    <a:noFill/>
                    <a:ln>
                      <a:noFill/>
                    </a:ln>
                  </pic:spPr>
                </pic:pic>
              </a:graphicData>
            </a:graphic>
          </wp:inline>
        </w:drawing>
      </w:r>
    </w:p>
    <w:p w:rsidR="00F4139B" w:rsidRPr="002D4FC2" w:rsidRDefault="00F4139B" w:rsidP="00652ABB">
      <w:pPr>
        <w:pStyle w:val="SingleTxtG"/>
        <w:jc w:val="right"/>
      </w:pPr>
      <w:r w:rsidRPr="002D4FC2">
        <w:t>a = 8 mm min.</w:t>
      </w:r>
    </w:p>
    <w:p w:rsidR="00F4139B" w:rsidRDefault="00F4139B" w:rsidP="00E64688">
      <w:pPr>
        <w:pStyle w:val="SingleTxtG"/>
        <w:ind w:firstLine="567"/>
      </w:pPr>
      <w:r w:rsidRPr="002D4FC2">
        <w:t>La marque d</w:t>
      </w:r>
      <w:r w:rsidR="00BC0876" w:rsidRPr="002D4FC2">
        <w:t>’</w:t>
      </w:r>
      <w:r w:rsidRPr="002D4FC2">
        <w:t>homologation ci-dessus, apposée sur un véhicule, indique que le type de ce véhicule a été homologué aux Pays-Bas (E4), en application des Règlements n</w:t>
      </w:r>
      <w:r w:rsidRPr="002D4FC2">
        <w:rPr>
          <w:vertAlign w:val="superscript"/>
        </w:rPr>
        <w:t>os</w:t>
      </w:r>
      <w:r w:rsidRPr="002D4FC2">
        <w:t> 39 et 33</w:t>
      </w:r>
      <w:r w:rsidRPr="002D4FC2">
        <w:rPr>
          <w:rStyle w:val="FootnoteReference"/>
        </w:rPr>
        <w:footnoteReference w:id="8"/>
      </w:r>
      <w:r w:rsidRPr="002D4FC2">
        <w:t>. Les numéros d</w:t>
      </w:r>
      <w:r w:rsidR="00BC0876" w:rsidRPr="002D4FC2">
        <w:t>’</w:t>
      </w:r>
      <w:r w:rsidRPr="002D4FC2">
        <w:t>homologation indiquent qu</w:t>
      </w:r>
      <w:r w:rsidR="00BC0876" w:rsidRPr="002D4FC2">
        <w:t>’</w:t>
      </w:r>
      <w:r w:rsidRPr="002D4FC2">
        <w:t>aux dates auxquelles les homologations respectives ont été accordées, le Règlement n</w:t>
      </w:r>
      <w:r w:rsidRPr="002D4FC2">
        <w:rPr>
          <w:vertAlign w:val="superscript"/>
        </w:rPr>
        <w:t>o</w:t>
      </w:r>
      <w:r w:rsidRPr="002D4FC2">
        <w:t> 39 avait été modifié par la série 01 d</w:t>
      </w:r>
      <w:r w:rsidR="00BC0876" w:rsidRPr="002D4FC2">
        <w:t>’</w:t>
      </w:r>
      <w:r w:rsidRPr="002D4FC2">
        <w:t>amendements et le Règlement n</w:t>
      </w:r>
      <w:r w:rsidRPr="002D4FC2">
        <w:rPr>
          <w:vertAlign w:val="superscript"/>
        </w:rPr>
        <w:t>o</w:t>
      </w:r>
      <w:r w:rsidRPr="002D4FC2">
        <w:t> 33 était encore sous sa forme initiale.</w:t>
      </w:r>
    </w:p>
    <w:p w:rsidR="00652ABB" w:rsidRPr="002D4FC2" w:rsidRDefault="00652ABB" w:rsidP="00652ABB">
      <w:pPr>
        <w:pStyle w:val="SingleTxtG"/>
      </w:pPr>
    </w:p>
    <w:p w:rsidR="00BC0876" w:rsidRPr="002D4FC2" w:rsidRDefault="00BC0876" w:rsidP="00F4139B">
      <w:pPr>
        <w:sectPr w:rsidR="00BC0876" w:rsidRPr="002D4FC2" w:rsidSect="00F4139B">
          <w:headerReference w:type="even" r:id="rId25"/>
          <w:headerReference w:type="default" r:id="rId26"/>
          <w:footerReference w:type="even" r:id="rId27"/>
          <w:footerReference w:type="default" r:id="rId28"/>
          <w:footnotePr>
            <w:numRestart w:val="eachSect"/>
          </w:footnotePr>
          <w:endnotePr>
            <w:numFmt w:val="decimal"/>
          </w:endnotePr>
          <w:pgSz w:w="11907" w:h="16840" w:code="9"/>
          <w:pgMar w:top="1417" w:right="1134" w:bottom="1134" w:left="1134" w:header="850" w:footer="567" w:gutter="0"/>
          <w:cols w:space="720"/>
          <w:docGrid w:linePitch="272"/>
        </w:sectPr>
      </w:pPr>
    </w:p>
    <w:p w:rsidR="00BC0876" w:rsidRPr="002D4FC2" w:rsidRDefault="00BC0876" w:rsidP="00172AE9">
      <w:pPr>
        <w:pStyle w:val="HChG"/>
      </w:pPr>
      <w:bookmarkStart w:id="28" w:name="_Toc441498666"/>
      <w:bookmarkStart w:id="29" w:name="_Toc441498809"/>
      <w:r w:rsidRPr="002D4FC2">
        <w:lastRenderedPageBreak/>
        <w:t>Annexe 3</w:t>
      </w:r>
      <w:bookmarkEnd w:id="28"/>
      <w:bookmarkEnd w:id="29"/>
    </w:p>
    <w:p w:rsidR="00BC0876" w:rsidRPr="002D4FC2" w:rsidRDefault="00172AE9" w:rsidP="00172AE9">
      <w:pPr>
        <w:pStyle w:val="HChG"/>
        <w:rPr>
          <w:szCs w:val="18"/>
        </w:rPr>
      </w:pPr>
      <w:r>
        <w:tab/>
      </w:r>
      <w:r w:rsidR="00D21F68" w:rsidRPr="002D4FC2">
        <w:tab/>
      </w:r>
      <w:r w:rsidR="00BC0876" w:rsidRPr="002D4FC2">
        <w:t xml:space="preserve">Mesure de la précision de </w:t>
      </w:r>
      <w:r w:rsidR="005C3A04">
        <w:t>l’indicateur de vitesse pour le </w:t>
      </w:r>
      <w:r w:rsidR="00BC0876" w:rsidRPr="002D4FC2">
        <w:t>contrôle de conformité de la production</w:t>
      </w:r>
      <w:bookmarkStart w:id="30" w:name="_Toc441498667"/>
      <w:bookmarkStart w:id="31" w:name="_Toc441498810"/>
      <w:bookmarkEnd w:id="30"/>
      <w:bookmarkEnd w:id="31"/>
    </w:p>
    <w:p w:rsidR="00BC0876" w:rsidRPr="002D4FC2" w:rsidRDefault="00BC0876" w:rsidP="00172AE9">
      <w:pPr>
        <w:pStyle w:val="SingleTxtG"/>
        <w:ind w:left="2268" w:hanging="1134"/>
      </w:pPr>
      <w:r w:rsidRPr="002D4FC2">
        <w:t>1.</w:t>
      </w:r>
      <w:r w:rsidRPr="002D4FC2">
        <w:tab/>
        <w:t>Conditions de l’essai</w:t>
      </w:r>
    </w:p>
    <w:p w:rsidR="00BC0876" w:rsidRPr="002D4FC2" w:rsidRDefault="00BC0876" w:rsidP="00172AE9">
      <w:pPr>
        <w:pStyle w:val="SingleTxtG"/>
        <w:ind w:left="2268"/>
      </w:pPr>
      <w:r w:rsidRPr="002D4FC2">
        <w:t>Les conditions de l’essai seront celles qui sont prévues aux paragraphes 5.3.</w:t>
      </w:r>
      <w:r w:rsidR="00172AE9">
        <w:t>1 à 5.3.6 du présent Règlement.</w:t>
      </w:r>
    </w:p>
    <w:p w:rsidR="00BC0876" w:rsidRPr="002D4FC2" w:rsidRDefault="00BC0876" w:rsidP="00172AE9">
      <w:pPr>
        <w:pStyle w:val="SingleTxtG"/>
        <w:ind w:left="2268" w:hanging="1134"/>
      </w:pPr>
      <w:r w:rsidRPr="002D4FC2">
        <w:t>2.</w:t>
      </w:r>
      <w:r w:rsidRPr="002D4FC2">
        <w:tab/>
        <w:t>Prescriptions</w:t>
      </w:r>
    </w:p>
    <w:p w:rsidR="00BC0876" w:rsidRPr="002D4FC2" w:rsidRDefault="00BC0876" w:rsidP="00172AE9">
      <w:pPr>
        <w:pStyle w:val="SingleTxtG"/>
        <w:ind w:left="2268"/>
      </w:pPr>
      <w:r w:rsidRPr="002D4FC2">
        <w:t>La production sera considérée comme conforme au présent Règlement si la relation suivante est vérifiée entre la vitesse affichée par l’indicateur de vitesse (V</w:t>
      </w:r>
      <w:r w:rsidRPr="002D4FC2">
        <w:rPr>
          <w:vertAlign w:val="subscript"/>
        </w:rPr>
        <w:t>1</w:t>
      </w:r>
      <w:r w:rsidRPr="002D4FC2">
        <w:t>) et la vitesse réelle (V</w:t>
      </w:r>
      <w:r w:rsidRPr="002D4FC2">
        <w:rPr>
          <w:vertAlign w:val="subscript"/>
        </w:rPr>
        <w:t>2</w:t>
      </w:r>
      <w:r w:rsidRPr="002D4FC2">
        <w:t>)</w:t>
      </w:r>
      <w:r w:rsidR="006021F0" w:rsidRPr="002D4FC2">
        <w:t> :</w:t>
      </w:r>
    </w:p>
    <w:p w:rsidR="00BC0876" w:rsidRPr="002D4FC2" w:rsidRDefault="00BC0876" w:rsidP="00172AE9">
      <w:pPr>
        <w:pStyle w:val="SingleTxtG"/>
        <w:ind w:left="2268"/>
      </w:pPr>
      <w:r w:rsidRPr="002D4FC2">
        <w:t>Dans le cas de véhicules des catégories M et N</w:t>
      </w:r>
      <w:r w:rsidR="006021F0" w:rsidRPr="002D4FC2">
        <w:t> :</w:t>
      </w:r>
    </w:p>
    <w:p w:rsidR="00BC0876" w:rsidRPr="002D4FC2" w:rsidRDefault="00BC0876" w:rsidP="00172AE9">
      <w:pPr>
        <w:pStyle w:val="SingleTxtG"/>
        <w:ind w:left="2268"/>
      </w:pPr>
      <w:r w:rsidRPr="002D4FC2">
        <w:t xml:space="preserve">0 </w:t>
      </w:r>
      <w:r w:rsidRPr="002D4FC2">
        <w:rPr>
          <w:sz w:val="24"/>
        </w:rPr>
        <w:sym w:font="Symbol" w:char="F0A3"/>
      </w:r>
      <w:r w:rsidRPr="002D4FC2">
        <w:t xml:space="preserve"> (V</w:t>
      </w:r>
      <w:r w:rsidRPr="002D4FC2">
        <w:rPr>
          <w:vertAlign w:val="subscript"/>
        </w:rPr>
        <w:t>1</w:t>
      </w:r>
      <w:r w:rsidRPr="002D4FC2">
        <w:t xml:space="preserve"> </w:t>
      </w:r>
      <w:r w:rsidR="005C3A04">
        <w:t>−</w:t>
      </w:r>
      <w:r w:rsidRPr="002D4FC2">
        <w:t xml:space="preserve"> V</w:t>
      </w:r>
      <w:r w:rsidRPr="002D4FC2">
        <w:rPr>
          <w:vertAlign w:val="subscript"/>
        </w:rPr>
        <w:t>2</w:t>
      </w:r>
      <w:r w:rsidRPr="002D4FC2">
        <w:t xml:space="preserve">) </w:t>
      </w:r>
      <w:r w:rsidRPr="002D4FC2">
        <w:rPr>
          <w:sz w:val="24"/>
        </w:rPr>
        <w:sym w:font="Symbol" w:char="F0A3"/>
      </w:r>
      <w:r w:rsidRPr="002D4FC2">
        <w:t xml:space="preserve"> 0,1 V</w:t>
      </w:r>
      <w:r w:rsidRPr="002D4FC2">
        <w:rPr>
          <w:vertAlign w:val="subscript"/>
        </w:rPr>
        <w:t>2</w:t>
      </w:r>
      <w:r w:rsidRPr="002D4FC2">
        <w:t xml:space="preserve"> + 6 km/h</w:t>
      </w:r>
      <w:r w:rsidR="006021F0" w:rsidRPr="002D4FC2">
        <w:t> ;</w:t>
      </w:r>
    </w:p>
    <w:p w:rsidR="00BC0876" w:rsidRPr="002D4FC2" w:rsidRDefault="00BC0876" w:rsidP="00172AE9">
      <w:pPr>
        <w:pStyle w:val="SingleTxtG"/>
        <w:ind w:left="2268"/>
      </w:pPr>
      <w:r w:rsidRPr="002D4FC2">
        <w:t>Dans le cas de véhicules des catégories L</w:t>
      </w:r>
      <w:r w:rsidRPr="002D4FC2">
        <w:rPr>
          <w:vertAlign w:val="subscript"/>
        </w:rPr>
        <w:t>3</w:t>
      </w:r>
      <w:r w:rsidRPr="002D4FC2">
        <w:t>, L</w:t>
      </w:r>
      <w:r w:rsidRPr="002D4FC2">
        <w:rPr>
          <w:vertAlign w:val="subscript"/>
        </w:rPr>
        <w:t>4</w:t>
      </w:r>
      <w:r w:rsidRPr="002D4FC2">
        <w:t xml:space="preserve"> et L</w:t>
      </w:r>
      <w:r w:rsidRPr="002D4FC2">
        <w:rPr>
          <w:vertAlign w:val="subscript"/>
        </w:rPr>
        <w:t>5</w:t>
      </w:r>
      <w:r w:rsidR="006021F0" w:rsidRPr="002D4FC2">
        <w:t> :</w:t>
      </w:r>
    </w:p>
    <w:p w:rsidR="00BC0876" w:rsidRPr="002D4FC2" w:rsidRDefault="00BC0876" w:rsidP="00172AE9">
      <w:pPr>
        <w:pStyle w:val="SingleTxtG"/>
        <w:ind w:left="2268"/>
      </w:pPr>
      <w:r w:rsidRPr="002D4FC2">
        <w:t xml:space="preserve">0 </w:t>
      </w:r>
      <w:r w:rsidRPr="002D4FC2">
        <w:rPr>
          <w:sz w:val="24"/>
        </w:rPr>
        <w:sym w:font="Symbol" w:char="F0A3"/>
      </w:r>
      <w:r w:rsidRPr="002D4FC2">
        <w:t xml:space="preserve"> (V</w:t>
      </w:r>
      <w:r w:rsidRPr="002D4FC2">
        <w:rPr>
          <w:vertAlign w:val="subscript"/>
        </w:rPr>
        <w:t>1</w:t>
      </w:r>
      <w:r w:rsidRPr="002D4FC2">
        <w:t xml:space="preserve"> </w:t>
      </w:r>
      <w:r w:rsidR="005C3A04">
        <w:t>−</w:t>
      </w:r>
      <w:r w:rsidRPr="002D4FC2">
        <w:t xml:space="preserve"> V</w:t>
      </w:r>
      <w:r w:rsidRPr="002D4FC2">
        <w:rPr>
          <w:vertAlign w:val="subscript"/>
        </w:rPr>
        <w:t>2</w:t>
      </w:r>
      <w:r w:rsidRPr="002D4FC2">
        <w:t xml:space="preserve">) </w:t>
      </w:r>
      <w:r w:rsidRPr="002D4FC2">
        <w:rPr>
          <w:sz w:val="24"/>
        </w:rPr>
        <w:sym w:font="Symbol" w:char="F0A3"/>
      </w:r>
      <w:r w:rsidRPr="002D4FC2">
        <w:t xml:space="preserve"> 0,1 V</w:t>
      </w:r>
      <w:r w:rsidRPr="002D4FC2">
        <w:rPr>
          <w:vertAlign w:val="subscript"/>
        </w:rPr>
        <w:t>2</w:t>
      </w:r>
      <w:r w:rsidRPr="002D4FC2">
        <w:t xml:space="preserve"> + 8 km/h</w:t>
      </w:r>
      <w:r w:rsidR="006021F0" w:rsidRPr="002D4FC2">
        <w:t> ;</w:t>
      </w:r>
    </w:p>
    <w:p w:rsidR="00BC0876" w:rsidRPr="002D4FC2" w:rsidRDefault="00BC0876" w:rsidP="00172AE9">
      <w:pPr>
        <w:pStyle w:val="SingleTxtG"/>
        <w:ind w:left="2268"/>
      </w:pPr>
      <w:r w:rsidRPr="002D4FC2">
        <w:t>Dans le cas de véhicules des catégories L</w:t>
      </w:r>
      <w:r w:rsidRPr="002D4FC2">
        <w:rPr>
          <w:vertAlign w:val="subscript"/>
        </w:rPr>
        <w:t>1</w:t>
      </w:r>
      <w:r w:rsidRPr="002D4FC2">
        <w:t xml:space="preserve"> et L</w:t>
      </w:r>
      <w:r w:rsidRPr="002D4FC2">
        <w:rPr>
          <w:vertAlign w:val="subscript"/>
        </w:rPr>
        <w:t>2</w:t>
      </w:r>
      <w:r w:rsidR="006021F0" w:rsidRPr="002D4FC2">
        <w:t> :</w:t>
      </w:r>
    </w:p>
    <w:p w:rsidR="00BC0876" w:rsidRPr="002D4FC2" w:rsidRDefault="00BC0876" w:rsidP="00172AE9">
      <w:pPr>
        <w:pStyle w:val="SingleTxtG"/>
        <w:ind w:left="2268"/>
      </w:pPr>
      <w:r w:rsidRPr="002D4FC2">
        <w:t xml:space="preserve">0 </w:t>
      </w:r>
      <w:r w:rsidRPr="002D4FC2">
        <w:rPr>
          <w:sz w:val="24"/>
        </w:rPr>
        <w:sym w:font="Symbol" w:char="F0A3"/>
      </w:r>
      <w:r w:rsidRPr="002D4FC2">
        <w:t xml:space="preserve"> (V</w:t>
      </w:r>
      <w:r w:rsidRPr="002D4FC2">
        <w:rPr>
          <w:vertAlign w:val="subscript"/>
        </w:rPr>
        <w:t>1</w:t>
      </w:r>
      <w:r w:rsidRPr="002D4FC2">
        <w:t xml:space="preserve"> </w:t>
      </w:r>
      <w:r w:rsidR="005C3A04">
        <w:t>−</w:t>
      </w:r>
      <w:r w:rsidRPr="002D4FC2">
        <w:t xml:space="preserve"> V</w:t>
      </w:r>
      <w:r w:rsidRPr="002D4FC2">
        <w:rPr>
          <w:vertAlign w:val="subscript"/>
        </w:rPr>
        <w:t>2</w:t>
      </w:r>
      <w:r w:rsidRPr="002D4FC2">
        <w:t xml:space="preserve">) </w:t>
      </w:r>
      <w:r w:rsidRPr="002D4FC2">
        <w:rPr>
          <w:sz w:val="24"/>
        </w:rPr>
        <w:sym w:font="Symbol" w:char="F0A3"/>
      </w:r>
      <w:r w:rsidRPr="002D4FC2">
        <w:t xml:space="preserve"> 0,1 V</w:t>
      </w:r>
      <w:r w:rsidRPr="002D4FC2">
        <w:rPr>
          <w:vertAlign w:val="subscript"/>
        </w:rPr>
        <w:t>2</w:t>
      </w:r>
      <w:r w:rsidRPr="002D4FC2">
        <w:t xml:space="preserve"> + 4 km/h.</w:t>
      </w:r>
    </w:p>
    <w:p w:rsidR="00BC0876" w:rsidRPr="002D4FC2" w:rsidRDefault="00D21F68" w:rsidP="00BC0876">
      <w:pPr>
        <w:pStyle w:val="SingleTxtG"/>
        <w:spacing w:before="240" w:after="0"/>
        <w:jc w:val="center"/>
        <w:rPr>
          <w:u w:val="single"/>
        </w:rPr>
      </w:pPr>
      <w:r w:rsidRPr="002D4FC2">
        <w:rPr>
          <w:u w:val="single"/>
        </w:rPr>
        <w:tab/>
      </w:r>
      <w:r w:rsidR="00BC0876" w:rsidRPr="002D4FC2">
        <w:rPr>
          <w:u w:val="single"/>
        </w:rPr>
        <w:tab/>
      </w:r>
    </w:p>
    <w:sectPr w:rsidR="00BC0876" w:rsidRPr="002D4FC2" w:rsidSect="00BC0876">
      <w:headerReference w:type="even" r:id="rId29"/>
      <w:headerReference w:type="default" r:id="rId30"/>
      <w:footerReference w:type="even" r:id="rId31"/>
      <w:footerReference w:type="default" r:id="rId32"/>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F6E" w:rsidRDefault="00436F6E"/>
  </w:endnote>
  <w:endnote w:type="continuationSeparator" w:id="0">
    <w:p w:rsidR="00436F6E" w:rsidRDefault="00436F6E"/>
  </w:endnote>
  <w:endnote w:type="continuationNotice" w:id="1">
    <w:p w:rsidR="00436F6E" w:rsidRPr="00C451B9" w:rsidRDefault="00436F6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ge tawag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1F4CF1" w:rsidRDefault="00436F6E" w:rsidP="001F4CF1">
    <w:pPr>
      <w:tabs>
        <w:tab w:val="right" w:pos="9638"/>
      </w:tabs>
    </w:pPr>
    <w:r w:rsidRPr="001F4CF1">
      <w:rPr>
        <w:b/>
        <w:sz w:val="18"/>
      </w:rPr>
      <w:fldChar w:fldCharType="begin"/>
    </w:r>
    <w:r w:rsidRPr="001F4CF1">
      <w:rPr>
        <w:b/>
        <w:sz w:val="18"/>
      </w:rPr>
      <w:instrText xml:space="preserve"> PAGE  \* MERGEFORMAT </w:instrText>
    </w:r>
    <w:r w:rsidRPr="001F4CF1">
      <w:rPr>
        <w:b/>
        <w:sz w:val="18"/>
      </w:rPr>
      <w:fldChar w:fldCharType="separate"/>
    </w:r>
    <w:r w:rsidR="00E019E7">
      <w:rPr>
        <w:b/>
        <w:noProof/>
        <w:sz w:val="18"/>
      </w:rPr>
      <w:t>13</w:t>
    </w:r>
    <w:r w:rsidRPr="001F4CF1">
      <w:rPr>
        <w:b/>
        <w:sz w:val="18"/>
      </w:rPr>
      <w:fldChar w:fldCharType="end"/>
    </w:r>
    <w:r>
      <w:rPr>
        <w:b/>
        <w:sz w:val="18"/>
      </w:rPr>
      <w:tab/>
    </w:r>
    <w:r>
      <w:t>GE.18-01059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BC0876" w:rsidRDefault="00436F6E" w:rsidP="00BC0876">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E019E7">
      <w:rPr>
        <w:b/>
        <w:noProof/>
        <w:sz w:val="18"/>
      </w:rPr>
      <w:t>13</w:t>
    </w:r>
    <w:r>
      <w:rPr>
        <w:b/>
        <w:sz w:val="18"/>
      </w:rPr>
      <w:fldChar w:fldCharType="end"/>
    </w:r>
    <w:r>
      <w:rPr>
        <w:b/>
        <w:sz w:val="18"/>
      </w:rPr>
      <w:tab/>
    </w:r>
    <w:r w:rsidRPr="00BC0876">
      <w:t>GE.18-01059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BC0876" w:rsidRDefault="00436F6E" w:rsidP="00BC0876">
    <w:pPr>
      <w:pStyle w:val="Footer"/>
      <w:tabs>
        <w:tab w:val="right" w:pos="9638"/>
      </w:tabs>
      <w:rPr>
        <w:b/>
        <w:sz w:val="18"/>
      </w:rPr>
    </w:pPr>
    <w:r>
      <w:t>GE.</w:t>
    </w:r>
    <w:r w:rsidRPr="00BC0876">
      <w:t>18</w:t>
    </w:r>
    <w:r>
      <w:t>-</w:t>
    </w:r>
    <w:r w:rsidRPr="00BC0876">
      <w:t>01059</w:t>
    </w:r>
    <w:r>
      <w:tab/>
    </w:r>
    <w:r>
      <w:rPr>
        <w:b/>
        <w:sz w:val="18"/>
      </w:rPr>
      <w:fldChar w:fldCharType="begin"/>
    </w:r>
    <w:r>
      <w:rPr>
        <w:b/>
        <w:sz w:val="18"/>
      </w:rPr>
      <w:instrText xml:space="preserve"> PAGE  \* MERGEFORMAT </w:instrText>
    </w:r>
    <w:r>
      <w:rPr>
        <w:b/>
        <w:sz w:val="18"/>
      </w:rPr>
      <w:fldChar w:fldCharType="separate"/>
    </w:r>
    <w:r w:rsidR="0057529B">
      <w:rPr>
        <w:b/>
        <w:noProof/>
        <w:sz w:val="18"/>
      </w:rPr>
      <w:t>13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1F4CF1" w:rsidRDefault="00436F6E" w:rsidP="001F4CF1">
    <w:pPr>
      <w:tabs>
        <w:tab w:val="right" w:pos="9638"/>
      </w:tabs>
      <w:rPr>
        <w:b/>
        <w:sz w:val="18"/>
      </w:rPr>
    </w:pPr>
    <w:r>
      <w:t>GE.18-01059</w:t>
    </w:r>
    <w:r>
      <w:tab/>
    </w:r>
    <w:r w:rsidRPr="001F4CF1">
      <w:rPr>
        <w:b/>
        <w:sz w:val="18"/>
      </w:rPr>
      <w:fldChar w:fldCharType="begin"/>
    </w:r>
    <w:r w:rsidRPr="001F4CF1">
      <w:rPr>
        <w:b/>
        <w:sz w:val="18"/>
      </w:rPr>
      <w:instrText xml:space="preserve"> PAGE  \* MERGEFORMAT </w:instrText>
    </w:r>
    <w:r w:rsidRPr="001F4CF1">
      <w:rPr>
        <w:b/>
        <w:sz w:val="18"/>
      </w:rPr>
      <w:fldChar w:fldCharType="separate"/>
    </w:r>
    <w:r w:rsidR="00E019E7">
      <w:rPr>
        <w:b/>
        <w:noProof/>
        <w:sz w:val="18"/>
      </w:rPr>
      <w:t>13</w:t>
    </w:r>
    <w:r w:rsidRPr="001F4C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1F4CF1" w:rsidRDefault="00436F6E" w:rsidP="001F4CF1">
    <w:pPr>
      <w:spacing w:before="120"/>
    </w:pPr>
    <w:r>
      <w:t>GE.</w:t>
    </w:r>
    <w:r>
      <w:rPr>
        <w:noProof/>
        <w:lang w:eastAsia="fr-CH"/>
      </w:rPr>
      <w:drawing>
        <wp:anchor distT="0" distB="0" distL="114300" distR="114300" simplePos="0" relativeHeight="251656192" behindDoc="0" locked="0" layoutInCell="1" allowOverlap="1" wp14:anchorId="4D18903A" wp14:editId="4261E40D">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t>18-01059  (F)    020318    050318</w:t>
    </w:r>
    <w:r>
      <w:br/>
    </w:r>
    <w:r w:rsidRPr="001F4CF1">
      <w:rPr>
        <w:rFonts w:ascii="C39T30Lfz" w:hAnsi="C39T30Lfz"/>
        <w:sz w:val="56"/>
      </w:rPr>
      <w:t></w:t>
    </w:r>
    <w:r w:rsidRPr="001F4CF1">
      <w:rPr>
        <w:rFonts w:ascii="C39T30Lfz" w:hAnsi="C39T30Lfz"/>
        <w:sz w:val="56"/>
      </w:rPr>
      <w:t></w:t>
    </w:r>
    <w:r w:rsidRPr="001F4CF1">
      <w:rPr>
        <w:rFonts w:ascii="C39T30Lfz" w:hAnsi="C39T30Lfz"/>
        <w:sz w:val="56"/>
      </w:rPr>
      <w:t></w:t>
    </w:r>
    <w:r w:rsidRPr="001F4CF1">
      <w:rPr>
        <w:rFonts w:ascii="C39T30Lfz" w:hAnsi="C39T30Lfz"/>
        <w:sz w:val="56"/>
      </w:rPr>
      <w:t></w:t>
    </w:r>
    <w:r w:rsidRPr="001F4CF1">
      <w:rPr>
        <w:rFonts w:ascii="C39T30Lfz" w:hAnsi="C39T30Lfz"/>
        <w:sz w:val="56"/>
      </w:rPr>
      <w:t></w:t>
    </w:r>
    <w:r w:rsidRPr="001F4CF1">
      <w:rPr>
        <w:rFonts w:ascii="C39T30Lfz" w:hAnsi="C39T30Lfz"/>
        <w:sz w:val="56"/>
      </w:rPr>
      <w:t></w:t>
    </w:r>
    <w:r w:rsidRPr="001F4CF1">
      <w:rPr>
        <w:rFonts w:ascii="C39T30Lfz" w:hAnsi="C39T30Lfz"/>
        <w:sz w:val="56"/>
      </w:rPr>
      <w:t></w:t>
    </w:r>
    <w:r w:rsidRPr="001F4CF1">
      <w:rPr>
        <w:rFonts w:ascii="C39T30Lfz" w:hAnsi="C39T30Lfz"/>
        <w:sz w:val="56"/>
      </w:rPr>
      <w:t></w:t>
    </w:r>
    <w:r w:rsidRPr="001F4CF1">
      <w:rPr>
        <w:rFonts w:ascii="C39T30Lfz" w:hAnsi="C39T30Lfz"/>
        <w:sz w:val="56"/>
      </w:rPr>
      <w:t></w:t>
    </w:r>
    <w:r>
      <w:rPr>
        <w:noProof/>
        <w:lang w:eastAsia="fr-CH"/>
      </w:rPr>
      <w:drawing>
        <wp:anchor distT="0" distB="0" distL="114300" distR="114300" simplePos="0" relativeHeight="251659264" behindDoc="0" locked="0" layoutInCell="1" allowOverlap="1" wp14:anchorId="40769E8A" wp14:editId="21ACE97A">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38/Rev.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38/Rev.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0C2146" w:rsidRDefault="00436F6E" w:rsidP="000C2146">
    <w:pP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57529B">
      <w:rPr>
        <w:b/>
        <w:noProof/>
        <w:sz w:val="18"/>
      </w:rPr>
      <w:t>8</w:t>
    </w:r>
    <w:r>
      <w:rPr>
        <w:b/>
        <w:sz w:val="18"/>
      </w:rPr>
      <w:fldChar w:fldCharType="end"/>
    </w:r>
    <w:r>
      <w:rPr>
        <w:b/>
        <w:sz w:val="18"/>
      </w:rPr>
      <w:tab/>
    </w:r>
    <w:r w:rsidRPr="002A6361">
      <w:rPr>
        <w:sz w:val="16"/>
        <w:szCs w:val="16"/>
      </w:rPr>
      <w:t>GE.18-01059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0C2146" w:rsidRDefault="00436F6E" w:rsidP="000C2146">
    <w:pPr>
      <w:tabs>
        <w:tab w:val="right" w:pos="9638"/>
      </w:tabs>
      <w:rPr>
        <w:b/>
        <w:sz w:val="18"/>
      </w:rPr>
    </w:pPr>
    <w:r w:rsidRPr="00CF7D2C">
      <w:rPr>
        <w:sz w:val="16"/>
        <w:szCs w:val="16"/>
      </w:rPr>
      <w:t>GE.18-01059</w:t>
    </w:r>
    <w:r>
      <w:tab/>
    </w:r>
    <w:r>
      <w:rPr>
        <w:b/>
        <w:sz w:val="18"/>
      </w:rPr>
      <w:fldChar w:fldCharType="begin"/>
    </w:r>
    <w:r>
      <w:rPr>
        <w:b/>
        <w:sz w:val="18"/>
      </w:rPr>
      <w:instrText xml:space="preserve"> PAGE  \* MERGEFORMAT </w:instrText>
    </w:r>
    <w:r>
      <w:rPr>
        <w:b/>
        <w:sz w:val="18"/>
      </w:rPr>
      <w:fldChar w:fldCharType="separate"/>
    </w:r>
    <w:r w:rsidR="0057529B">
      <w:rPr>
        <w:b/>
        <w:noProof/>
        <w:sz w:val="18"/>
      </w:rPr>
      <w:t>3</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DF5821" w:rsidRDefault="00436F6E" w:rsidP="00DF5821">
    <w:pPr>
      <w:pStyle w:val="Footer"/>
      <w:tabs>
        <w:tab w:val="right" w:pos="9638"/>
      </w:tabs>
      <w:rPr>
        <w:b/>
        <w:sz w:val="18"/>
      </w:rPr>
    </w:pPr>
    <w:r>
      <w:t>GE.</w:t>
    </w:r>
    <w:r w:rsidRPr="00DF5821">
      <w:t>18</w:t>
    </w:r>
    <w:r>
      <w:t>-</w:t>
    </w:r>
    <w:r w:rsidRPr="00DF5821">
      <w:t>01059</w:t>
    </w:r>
    <w:r>
      <w:tab/>
    </w:r>
    <w:r>
      <w:rPr>
        <w:b/>
        <w:sz w:val="18"/>
      </w:rPr>
      <w:fldChar w:fldCharType="begin"/>
    </w:r>
    <w:r>
      <w:rPr>
        <w:b/>
        <w:sz w:val="18"/>
      </w:rPr>
      <w:instrText xml:space="preserve"> PAGE  \* MERGEFORMAT </w:instrText>
    </w:r>
    <w:r>
      <w:rPr>
        <w:b/>
        <w:sz w:val="18"/>
      </w:rPr>
      <w:fldChar w:fldCharType="separate"/>
    </w:r>
    <w:r w:rsidR="0057529B">
      <w:rPr>
        <w:b/>
        <w:noProof/>
        <w:sz w:val="18"/>
      </w:rPr>
      <w:t>10</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DF5821" w:rsidRDefault="00436F6E" w:rsidP="00DF5821">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57529B">
      <w:rPr>
        <w:b/>
        <w:noProof/>
        <w:sz w:val="18"/>
      </w:rPr>
      <w:t>11</w:t>
    </w:r>
    <w:r>
      <w:rPr>
        <w:b/>
        <w:sz w:val="18"/>
      </w:rPr>
      <w:fldChar w:fldCharType="end"/>
    </w:r>
    <w:r>
      <w:rPr>
        <w:b/>
        <w:sz w:val="18"/>
      </w:rPr>
      <w:tab/>
    </w:r>
    <w:r w:rsidRPr="00DF5821">
      <w:t>GE.18-01059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F4139B" w:rsidRDefault="00436F6E" w:rsidP="00F4139B">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57529B">
      <w:rPr>
        <w:b/>
        <w:noProof/>
        <w:sz w:val="18"/>
      </w:rPr>
      <w:t>12</w:t>
    </w:r>
    <w:r>
      <w:rPr>
        <w:b/>
        <w:sz w:val="18"/>
      </w:rPr>
      <w:fldChar w:fldCharType="end"/>
    </w:r>
    <w:r>
      <w:rPr>
        <w:b/>
        <w:sz w:val="18"/>
      </w:rPr>
      <w:tab/>
    </w:r>
    <w:r w:rsidRPr="00F4139B">
      <w:t>GE.18-01059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F4139B" w:rsidRDefault="00436F6E" w:rsidP="00F4139B">
    <w:pPr>
      <w:pStyle w:val="Footer"/>
      <w:tabs>
        <w:tab w:val="right" w:pos="9638"/>
      </w:tabs>
      <w:rPr>
        <w:b/>
        <w:sz w:val="18"/>
      </w:rPr>
    </w:pPr>
    <w:r>
      <w:t>GE.</w:t>
    </w:r>
    <w:r w:rsidRPr="00F4139B">
      <w:t>18</w:t>
    </w:r>
    <w:r>
      <w:t>-</w:t>
    </w:r>
    <w:r w:rsidRPr="00F4139B">
      <w:t>01059</w:t>
    </w:r>
    <w:r>
      <w:tab/>
    </w:r>
    <w:r>
      <w:rPr>
        <w:b/>
        <w:sz w:val="18"/>
      </w:rPr>
      <w:fldChar w:fldCharType="begin"/>
    </w:r>
    <w:r>
      <w:rPr>
        <w:b/>
        <w:sz w:val="18"/>
      </w:rPr>
      <w:instrText xml:space="preserve"> PAGE  \* MERGEFORMAT </w:instrText>
    </w:r>
    <w:r>
      <w:rPr>
        <w:b/>
        <w:sz w:val="18"/>
      </w:rPr>
      <w:fldChar w:fldCharType="separate"/>
    </w:r>
    <w:r w:rsidR="00E019E7">
      <w:rPr>
        <w:b/>
        <w:noProof/>
        <w:sz w:val="18"/>
      </w:rPr>
      <w:t>13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F6E" w:rsidRPr="00D27D5E" w:rsidRDefault="00436F6E" w:rsidP="00D27D5E">
      <w:pPr>
        <w:tabs>
          <w:tab w:val="right" w:pos="2155"/>
        </w:tabs>
        <w:spacing w:after="80"/>
        <w:ind w:left="680"/>
        <w:rPr>
          <w:u w:val="single"/>
        </w:rPr>
      </w:pPr>
      <w:r>
        <w:rPr>
          <w:u w:val="single"/>
        </w:rPr>
        <w:tab/>
      </w:r>
    </w:p>
  </w:footnote>
  <w:footnote w:type="continuationSeparator" w:id="0">
    <w:p w:rsidR="00436F6E" w:rsidRPr="00D171D4" w:rsidRDefault="00436F6E" w:rsidP="00D171D4">
      <w:pPr>
        <w:tabs>
          <w:tab w:val="right" w:pos="2155"/>
        </w:tabs>
        <w:spacing w:after="80"/>
        <w:ind w:left="680"/>
        <w:rPr>
          <w:u w:val="single"/>
        </w:rPr>
      </w:pPr>
      <w:r w:rsidRPr="00D171D4">
        <w:rPr>
          <w:u w:val="single"/>
        </w:rPr>
        <w:tab/>
      </w:r>
    </w:p>
  </w:footnote>
  <w:footnote w:type="continuationNotice" w:id="1">
    <w:p w:rsidR="00436F6E" w:rsidRPr="00C451B9" w:rsidRDefault="00436F6E" w:rsidP="00C451B9">
      <w:pPr>
        <w:spacing w:line="240" w:lineRule="auto"/>
        <w:rPr>
          <w:sz w:val="2"/>
          <w:szCs w:val="2"/>
        </w:rPr>
      </w:pPr>
    </w:p>
  </w:footnote>
  <w:footnote w:id="2">
    <w:p w:rsidR="00436F6E" w:rsidRDefault="00436F6E" w:rsidP="00AD1538">
      <w:pPr>
        <w:pStyle w:val="FootnoteText"/>
      </w:pPr>
      <w:r>
        <w:rPr>
          <w:lang w:val="fr-FR"/>
        </w:rPr>
        <w:tab/>
        <w:t>*</w:t>
      </w:r>
      <w:r>
        <w:rPr>
          <w:lang w:val="fr-FR"/>
        </w:rPr>
        <w:tab/>
        <w:t>Ancien titre de l’Accord :</w:t>
      </w:r>
    </w:p>
    <w:p w:rsidR="00436F6E" w:rsidRDefault="00436F6E" w:rsidP="00AD1538">
      <w:pPr>
        <w:pStyle w:val="FootnoteText"/>
        <w:rPr>
          <w:sz w:val="20"/>
        </w:rPr>
      </w:pPr>
      <w:r>
        <w:rPr>
          <w:lang w:val="fr-FR"/>
        </w:rPr>
        <w:tab/>
      </w:r>
      <w:r w:rsidR="00675314">
        <w:rPr>
          <w:lang w:val="fr-FR"/>
        </w:rPr>
        <w:tab/>
      </w:r>
      <w:r>
        <w:rPr>
          <w:lang w:val="fr-FR"/>
        </w:rPr>
        <w:t>Accord concernant l’adoption de conditions uniformes d’homologation et la reconnaissance réciproque de l’homologation des équipements et pièces de véhicules à moteur, en date, à Genève, du 20 mars 1958 (version originale) ;</w:t>
      </w:r>
    </w:p>
    <w:p w:rsidR="00436F6E" w:rsidRDefault="00436F6E" w:rsidP="00AD1538">
      <w:pPr>
        <w:pStyle w:val="FootnoteText"/>
      </w:pPr>
      <w:r>
        <w:rPr>
          <w:lang w:val="fr-FR"/>
        </w:rPr>
        <w:tab/>
      </w:r>
      <w:r w:rsidR="00675314">
        <w:rPr>
          <w:lang w:val="fr-FR"/>
        </w:rPr>
        <w:tab/>
      </w:r>
      <w:r>
        <w:rPr>
          <w:lang w:val="fr-FR"/>
        </w:rPr>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w:t>
      </w:r>
      <w:r w:rsidRPr="00452D54">
        <w:t>Révision</w:t>
      </w:r>
      <w:r>
        <w:t xml:space="preserve"> </w:t>
      </w:r>
      <w:r w:rsidRPr="00452D54">
        <w:t>2</w:t>
      </w:r>
      <w:r>
        <w:rPr>
          <w:lang w:val="fr-FR"/>
        </w:rPr>
        <w:t>).</w:t>
      </w:r>
    </w:p>
  </w:footnote>
  <w:footnote w:id="3">
    <w:p w:rsidR="00436F6E" w:rsidRPr="00B94B60" w:rsidRDefault="00436F6E" w:rsidP="00C72C97">
      <w:pPr>
        <w:pStyle w:val="FootnoteText"/>
      </w:pPr>
      <w:r>
        <w:rPr>
          <w:lang w:val="fr-FR"/>
        </w:rPr>
        <w:tab/>
      </w:r>
      <w:r w:rsidRPr="001D15EA">
        <w:rPr>
          <w:rStyle w:val="FootnoteReference"/>
        </w:rPr>
        <w:footnoteRef/>
      </w:r>
      <w:r>
        <w:rPr>
          <w:lang w:val="fr-FR"/>
        </w:rPr>
        <w:tab/>
        <w:t>Définies dans la Résolution d’ensemble sur la construction des véhicules (R.E.3), document ECE/TRANS/WP.29/78/Rev.6, par. 2 − www.unece.org/trans/main/wp29/wp29wgs/ wp29gen/wp29resolutions.html</w:t>
      </w:r>
    </w:p>
  </w:footnote>
  <w:footnote w:id="4">
    <w:p w:rsidR="00436F6E" w:rsidRPr="00B94B60" w:rsidRDefault="00436F6E" w:rsidP="00C72C97">
      <w:pPr>
        <w:pStyle w:val="FootnoteText"/>
      </w:pPr>
      <w:r>
        <w:rPr>
          <w:lang w:val="fr-FR"/>
        </w:rPr>
        <w:tab/>
      </w:r>
      <w:r w:rsidRPr="001D15EA">
        <w:rPr>
          <w:rStyle w:val="FootnoteReference"/>
        </w:rPr>
        <w:footnoteRef/>
      </w:r>
      <w:r>
        <w:rPr>
          <w:lang w:val="fr-FR"/>
        </w:rPr>
        <w:tab/>
      </w:r>
      <w:r w:rsidRPr="0017653D">
        <w:rPr>
          <w:szCs w:val="18"/>
          <w:lang w:val="fr-FR"/>
        </w:rPr>
        <w:t>Il ne comprend pas la partie indicatrice de vitesse d</w:t>
      </w:r>
      <w:r>
        <w:rPr>
          <w:szCs w:val="18"/>
          <w:lang w:val="fr-FR"/>
        </w:rPr>
        <w:t>’</w:t>
      </w:r>
      <w:r w:rsidRPr="0017653D">
        <w:rPr>
          <w:szCs w:val="18"/>
          <w:lang w:val="fr-FR"/>
        </w:rPr>
        <w:t>un tachygraphe si celui-ci satisfait à des prescriptions d</w:t>
      </w:r>
      <w:r>
        <w:rPr>
          <w:szCs w:val="18"/>
          <w:lang w:val="fr-FR"/>
        </w:rPr>
        <w:t>’</w:t>
      </w:r>
      <w:r w:rsidRPr="0017653D">
        <w:rPr>
          <w:szCs w:val="18"/>
          <w:lang w:val="fr-FR"/>
        </w:rPr>
        <w:t>homologation de type, qui ne permettent pas un écart absolu entre la vitesse réelle et la vitesse affichée dépassant les valeurs fixées au paragraphe 5.</w:t>
      </w:r>
      <w:r>
        <w:rPr>
          <w:szCs w:val="18"/>
          <w:lang w:val="fr-FR"/>
        </w:rPr>
        <w:t>4</w:t>
      </w:r>
      <w:r w:rsidRPr="0017653D">
        <w:rPr>
          <w:szCs w:val="18"/>
          <w:lang w:val="fr-FR"/>
        </w:rPr>
        <w:t xml:space="preserve"> ci-après</w:t>
      </w:r>
      <w:r>
        <w:rPr>
          <w:lang w:val="fr-FR"/>
        </w:rPr>
        <w:t>.</w:t>
      </w:r>
    </w:p>
  </w:footnote>
  <w:footnote w:id="5">
    <w:p w:rsidR="00436F6E" w:rsidRPr="005960EB" w:rsidRDefault="00436F6E" w:rsidP="00C72C97">
      <w:pPr>
        <w:pStyle w:val="FootnoteText"/>
        <w:rPr>
          <w:szCs w:val="18"/>
        </w:rPr>
      </w:pPr>
      <w:r>
        <w:rPr>
          <w:lang w:val="fr-FR"/>
        </w:rPr>
        <w:tab/>
      </w:r>
      <w:r w:rsidRPr="001D15EA">
        <w:rPr>
          <w:rStyle w:val="FootnoteReference"/>
        </w:rPr>
        <w:footnoteRef/>
      </w:r>
      <w:r>
        <w:rPr>
          <w:lang w:val="fr-FR"/>
        </w:rPr>
        <w:tab/>
        <w:t>Les numéros distinctifs des Parties contractantes à l’Accord de 1958 sont reproduits dans l’annexe 3 de la Résolution d’ensemble sur la construction des véhicules (R.E.3), document ECE/TRANS/ WP.29/78/Rev.6 − www.unece.org/trans/main/wp29/wp29wgs/wp29gen/wp29resolutions.html.</w:t>
      </w:r>
    </w:p>
  </w:footnote>
  <w:footnote w:id="6">
    <w:p w:rsidR="00686B8B" w:rsidRDefault="00686B8B" w:rsidP="00686B8B">
      <w:pPr>
        <w:pStyle w:val="FootnoteText"/>
      </w:pPr>
      <w:r>
        <w:tab/>
      </w:r>
      <w:r>
        <w:rPr>
          <w:rStyle w:val="FootnoteReference"/>
        </w:rPr>
        <w:footnoteRef/>
      </w:r>
      <w:r>
        <w:tab/>
        <w:t>Numéro distinctif du pays qui a délivré/étendu/refusé/retiré l’homologation (voir les dispositions du Règlement relatives à l’homologation).</w:t>
      </w:r>
    </w:p>
  </w:footnote>
  <w:footnote w:id="7">
    <w:p w:rsidR="00B223BC" w:rsidRDefault="00B223BC">
      <w:pPr>
        <w:pStyle w:val="FootnoteText"/>
      </w:pPr>
      <w:r>
        <w:tab/>
      </w:r>
      <w:r>
        <w:rPr>
          <w:rStyle w:val="FootnoteReference"/>
        </w:rPr>
        <w:footnoteRef/>
      </w:r>
      <w:r>
        <w:tab/>
        <w:t>Biffer les mentions inutiles.</w:t>
      </w:r>
    </w:p>
  </w:footnote>
  <w:footnote w:id="8">
    <w:p w:rsidR="00436F6E" w:rsidRDefault="00436F6E">
      <w:pPr>
        <w:pStyle w:val="FootnoteText"/>
      </w:pPr>
      <w:r>
        <w:tab/>
      </w:r>
      <w:r>
        <w:rPr>
          <w:rStyle w:val="FootnoteReference"/>
        </w:rPr>
        <w:footnoteRef/>
      </w:r>
      <w:r>
        <w:tab/>
      </w:r>
      <w:r w:rsidRPr="00F4139B">
        <w:t>Ce dernier numéro n</w:t>
      </w:r>
      <w:r>
        <w:t>’</w:t>
      </w:r>
      <w:r w:rsidRPr="00F4139B">
        <w:t>est donné qu</w:t>
      </w:r>
      <w:r>
        <w:t>’</w:t>
      </w:r>
      <w:r w:rsidRPr="00F4139B">
        <w:t>à titre d</w:t>
      </w:r>
      <w:r>
        <w:t>’</w:t>
      </w:r>
      <w:r w:rsidRPr="00F4139B">
        <w:t>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1F4CF1" w:rsidRDefault="0057529B">
    <w:r>
      <w:fldChar w:fldCharType="begin"/>
    </w:r>
    <w:r>
      <w:instrText xml:space="preserve"> TITLE  \* MERGEFORMAT </w:instrText>
    </w:r>
    <w:r>
      <w:fldChar w:fldCharType="separate"/>
    </w:r>
    <w:r w:rsidR="00E019E7">
      <w:t>E/ECE/324/Rev.1/Add.38/Rev.2</w:t>
    </w:r>
    <w:r>
      <w:fldChar w:fldCharType="end"/>
    </w:r>
    <w:r w:rsidR="00436F6E">
      <w:br/>
    </w:r>
    <w:r>
      <w:fldChar w:fldCharType="begin"/>
    </w:r>
    <w:r>
      <w:instrText xml:space="preserve"> KEYWORDS  \* MERGEFORMAT </w:instrText>
    </w:r>
    <w:r>
      <w:fldChar w:fldCharType="separate"/>
    </w:r>
    <w:r w:rsidR="00E019E7">
      <w:t>E/ECE/TRANS/505/Rev.1/Add.38/Rev.2</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BC0876" w:rsidRDefault="0057529B" w:rsidP="00BC0876">
    <w:pPr>
      <w:pStyle w:val="Header"/>
      <w:jc w:val="right"/>
    </w:pPr>
    <w:r>
      <w:fldChar w:fldCharType="begin"/>
    </w:r>
    <w:r>
      <w:instrText xml:space="preserve"> TITLE  \* MERGEFORMAT </w:instrText>
    </w:r>
    <w:r>
      <w:fldChar w:fldCharType="separate"/>
    </w:r>
    <w:r w:rsidR="00E019E7">
      <w:t>E/ECE/324/Rev.1/Add.38/Rev.2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1F4CF1" w:rsidRDefault="0057529B" w:rsidP="001F4CF1">
    <w:pPr>
      <w:jc w:val="right"/>
    </w:pPr>
    <w:r>
      <w:fldChar w:fldCharType="begin"/>
    </w:r>
    <w:r>
      <w:instrText xml:space="preserve"> TITLE  \* MERGEFORMAT </w:instrText>
    </w:r>
    <w:r>
      <w:fldChar w:fldCharType="separate"/>
    </w:r>
    <w:r w:rsidR="00E019E7">
      <w:t>E/ECE/324/Rev.1/Add.38/Rev.2</w:t>
    </w:r>
    <w:r>
      <w:fldChar w:fldCharType="end"/>
    </w:r>
    <w:r w:rsidR="00436F6E">
      <w:br/>
    </w:r>
    <w:r>
      <w:fldChar w:fldCharType="begin"/>
    </w:r>
    <w:r>
      <w:instrText xml:space="preserve"> KEYWORDS  \* MERGEFORMAT </w:instrText>
    </w:r>
    <w:r>
      <w:fldChar w:fldCharType="separate"/>
    </w:r>
    <w:r w:rsidR="00E019E7">
      <w:t>E/ECE/TRANS/505/Rev.1/Add.38/Rev.2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0C2146" w:rsidRDefault="0057529B" w:rsidP="002A6361">
    <w:pPr>
      <w:pStyle w:val="Header"/>
    </w:pPr>
    <w:r>
      <w:fldChar w:fldCharType="begin"/>
    </w:r>
    <w:r>
      <w:instrText xml:space="preserve"> TITLE  \* MERGEFORMAT </w:instrText>
    </w:r>
    <w:r>
      <w:fldChar w:fldCharType="separate"/>
    </w:r>
    <w:r w:rsidR="00E019E7">
      <w:t>E/ECE/324/Rev.1/Add.38/Rev.2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0C2146" w:rsidRDefault="0057529B" w:rsidP="00CF7D2C">
    <w:pPr>
      <w:pStyle w:val="Header"/>
      <w:jc w:val="right"/>
    </w:pPr>
    <w:r>
      <w:fldChar w:fldCharType="begin"/>
    </w:r>
    <w:r>
      <w:instrText xml:space="preserve"> TITLE  \* MERGEFORMAT </w:instrText>
    </w:r>
    <w:r>
      <w:fldChar w:fldCharType="separate"/>
    </w:r>
    <w:r w:rsidR="00E019E7">
      <w:t>E/ECE/324/Rev.1/Add.38/Rev.2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DF5821" w:rsidRDefault="0057529B" w:rsidP="00DF5821">
    <w:pPr>
      <w:pStyle w:val="Header"/>
      <w:jc w:val="right"/>
    </w:pPr>
    <w:r>
      <w:fldChar w:fldCharType="begin"/>
    </w:r>
    <w:r>
      <w:instrText xml:space="preserve"> TITLE  \* MERGEFORMAT </w:instrText>
    </w:r>
    <w:r>
      <w:fldChar w:fldCharType="separate"/>
    </w:r>
    <w:r w:rsidR="00E019E7">
      <w:t>E/ECE/324/Rev.1/Add.38/Rev.2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DF5821" w:rsidRDefault="0057529B" w:rsidP="00DF5821">
    <w:pPr>
      <w:pStyle w:val="Header"/>
    </w:pPr>
    <w:r>
      <w:fldChar w:fldCharType="begin"/>
    </w:r>
    <w:r>
      <w:instrText xml:space="preserve"> TITLE  \* MERGEFORMAT </w:instrText>
    </w:r>
    <w:r>
      <w:fldChar w:fldCharType="separate"/>
    </w:r>
    <w:r w:rsidR="00E019E7">
      <w:t>E/ECE/324/Rev.1/Add.38/Rev.2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F4139B" w:rsidRDefault="0057529B" w:rsidP="00F4139B">
    <w:pPr>
      <w:pStyle w:val="Header"/>
    </w:pPr>
    <w:r>
      <w:fldChar w:fldCharType="begin"/>
    </w:r>
    <w:r>
      <w:instrText xml:space="preserve"> TITLE  \* MERGEFORMAT </w:instrText>
    </w:r>
    <w:r>
      <w:fldChar w:fldCharType="separate"/>
    </w:r>
    <w:r w:rsidR="00E019E7">
      <w:t>E/ECE/324/Rev.1/Add.38/Rev.2</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F4139B" w:rsidRDefault="0057529B" w:rsidP="00F4139B">
    <w:pPr>
      <w:pStyle w:val="Header"/>
      <w:jc w:val="right"/>
    </w:pPr>
    <w:r>
      <w:fldChar w:fldCharType="begin"/>
    </w:r>
    <w:r>
      <w:instrText xml:space="preserve"> TITLE  \* MERGEFORMAT </w:instrText>
    </w:r>
    <w:r>
      <w:fldChar w:fldCharType="separate"/>
    </w:r>
    <w:r w:rsidR="00E019E7">
      <w:t>E/ECE/324/Rev.1/Add.38/Rev.2</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F6E" w:rsidRPr="00BC0876" w:rsidRDefault="0057529B" w:rsidP="00BC0876">
    <w:pPr>
      <w:pStyle w:val="Header"/>
    </w:pPr>
    <w:r>
      <w:fldChar w:fldCharType="begin"/>
    </w:r>
    <w:r>
      <w:instrText xml:space="preserve"> TITLE  \* MERGEFORMAT </w:instrText>
    </w:r>
    <w:r>
      <w:fldChar w:fldCharType="separate"/>
    </w:r>
    <w:r w:rsidR="00E019E7">
      <w:t>E/ECE/324/Rev.1/Add.38/Rev.2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8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0E3A"/>
    <w:rsid w:val="00047F10"/>
    <w:rsid w:val="00052157"/>
    <w:rsid w:val="0005346D"/>
    <w:rsid w:val="00055FE4"/>
    <w:rsid w:val="000641CE"/>
    <w:rsid w:val="00067310"/>
    <w:rsid w:val="00077E35"/>
    <w:rsid w:val="0008669E"/>
    <w:rsid w:val="00090599"/>
    <w:rsid w:val="000A1501"/>
    <w:rsid w:val="000A2494"/>
    <w:rsid w:val="000A6B7E"/>
    <w:rsid w:val="000B20D3"/>
    <w:rsid w:val="000B5E0E"/>
    <w:rsid w:val="000C2146"/>
    <w:rsid w:val="000C6CDB"/>
    <w:rsid w:val="000D5C25"/>
    <w:rsid w:val="000E4F06"/>
    <w:rsid w:val="000E5601"/>
    <w:rsid w:val="000E5602"/>
    <w:rsid w:val="000F41F2"/>
    <w:rsid w:val="0010373B"/>
    <w:rsid w:val="0011415F"/>
    <w:rsid w:val="00125446"/>
    <w:rsid w:val="00134480"/>
    <w:rsid w:val="001358D9"/>
    <w:rsid w:val="00141E26"/>
    <w:rsid w:val="00143EB9"/>
    <w:rsid w:val="00152C5A"/>
    <w:rsid w:val="0015389C"/>
    <w:rsid w:val="00160540"/>
    <w:rsid w:val="00166C68"/>
    <w:rsid w:val="00172AE9"/>
    <w:rsid w:val="00174814"/>
    <w:rsid w:val="00181A90"/>
    <w:rsid w:val="00190D5D"/>
    <w:rsid w:val="00192EEB"/>
    <w:rsid w:val="0019428D"/>
    <w:rsid w:val="00194484"/>
    <w:rsid w:val="001A2040"/>
    <w:rsid w:val="001A20FB"/>
    <w:rsid w:val="001A252F"/>
    <w:rsid w:val="001A376F"/>
    <w:rsid w:val="001B09BB"/>
    <w:rsid w:val="001C3D8D"/>
    <w:rsid w:val="001C6497"/>
    <w:rsid w:val="001D2614"/>
    <w:rsid w:val="001D7F8A"/>
    <w:rsid w:val="001E0447"/>
    <w:rsid w:val="001E0A10"/>
    <w:rsid w:val="001E1495"/>
    <w:rsid w:val="001E34CB"/>
    <w:rsid w:val="001E3FEB"/>
    <w:rsid w:val="001E4541"/>
    <w:rsid w:val="001E4A02"/>
    <w:rsid w:val="001E4E3F"/>
    <w:rsid w:val="001E653B"/>
    <w:rsid w:val="001E6DF0"/>
    <w:rsid w:val="001F3E68"/>
    <w:rsid w:val="001F4931"/>
    <w:rsid w:val="001F4CF1"/>
    <w:rsid w:val="002000CD"/>
    <w:rsid w:val="00200CBA"/>
    <w:rsid w:val="00204B66"/>
    <w:rsid w:val="002059CE"/>
    <w:rsid w:val="00206AD4"/>
    <w:rsid w:val="00221939"/>
    <w:rsid w:val="00224B8B"/>
    <w:rsid w:val="00225A8C"/>
    <w:rsid w:val="00230ED3"/>
    <w:rsid w:val="00231A7F"/>
    <w:rsid w:val="00235AB7"/>
    <w:rsid w:val="00242BBD"/>
    <w:rsid w:val="00244817"/>
    <w:rsid w:val="0024586F"/>
    <w:rsid w:val="00246BC8"/>
    <w:rsid w:val="00251F95"/>
    <w:rsid w:val="00252317"/>
    <w:rsid w:val="002623F4"/>
    <w:rsid w:val="002659F1"/>
    <w:rsid w:val="00271E41"/>
    <w:rsid w:val="00284C19"/>
    <w:rsid w:val="00286E23"/>
    <w:rsid w:val="002876A1"/>
    <w:rsid w:val="00287CA6"/>
    <w:rsid w:val="00287E79"/>
    <w:rsid w:val="002928F9"/>
    <w:rsid w:val="00294D5B"/>
    <w:rsid w:val="0029791D"/>
    <w:rsid w:val="002A2A2C"/>
    <w:rsid w:val="002A5D07"/>
    <w:rsid w:val="002A6361"/>
    <w:rsid w:val="002D25CA"/>
    <w:rsid w:val="002D3DA4"/>
    <w:rsid w:val="002D4FC2"/>
    <w:rsid w:val="002D64B7"/>
    <w:rsid w:val="002E2F5C"/>
    <w:rsid w:val="002E7260"/>
    <w:rsid w:val="002F0C48"/>
    <w:rsid w:val="003016B7"/>
    <w:rsid w:val="0030754C"/>
    <w:rsid w:val="003179B2"/>
    <w:rsid w:val="00317E54"/>
    <w:rsid w:val="00322DF1"/>
    <w:rsid w:val="00324EBF"/>
    <w:rsid w:val="0032556C"/>
    <w:rsid w:val="003259F4"/>
    <w:rsid w:val="00330508"/>
    <w:rsid w:val="00330C79"/>
    <w:rsid w:val="0033286A"/>
    <w:rsid w:val="00333130"/>
    <w:rsid w:val="00346E32"/>
    <w:rsid w:val="003515AA"/>
    <w:rsid w:val="00364F13"/>
    <w:rsid w:val="0036776C"/>
    <w:rsid w:val="00370223"/>
    <w:rsid w:val="003725BC"/>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0255"/>
    <w:rsid w:val="003F2A89"/>
    <w:rsid w:val="003F4A54"/>
    <w:rsid w:val="003F7B62"/>
    <w:rsid w:val="0040144C"/>
    <w:rsid w:val="004067AE"/>
    <w:rsid w:val="00410521"/>
    <w:rsid w:val="00413BB0"/>
    <w:rsid w:val="004159D0"/>
    <w:rsid w:val="00417326"/>
    <w:rsid w:val="00421A10"/>
    <w:rsid w:val="004220D3"/>
    <w:rsid w:val="00422499"/>
    <w:rsid w:val="00430EFC"/>
    <w:rsid w:val="004342E2"/>
    <w:rsid w:val="00434354"/>
    <w:rsid w:val="00436F6E"/>
    <w:rsid w:val="00437DD8"/>
    <w:rsid w:val="00440BC8"/>
    <w:rsid w:val="00442E31"/>
    <w:rsid w:val="00452D54"/>
    <w:rsid w:val="00454F8D"/>
    <w:rsid w:val="004567EB"/>
    <w:rsid w:val="00457676"/>
    <w:rsid w:val="00460E72"/>
    <w:rsid w:val="00464191"/>
    <w:rsid w:val="00467412"/>
    <w:rsid w:val="00467F2C"/>
    <w:rsid w:val="00471DF8"/>
    <w:rsid w:val="00476265"/>
    <w:rsid w:val="0048687D"/>
    <w:rsid w:val="00490F56"/>
    <w:rsid w:val="00491F39"/>
    <w:rsid w:val="004A49A5"/>
    <w:rsid w:val="004A5B23"/>
    <w:rsid w:val="004A66A2"/>
    <w:rsid w:val="004B07A3"/>
    <w:rsid w:val="004B261D"/>
    <w:rsid w:val="004B51CD"/>
    <w:rsid w:val="004B576C"/>
    <w:rsid w:val="004C54C0"/>
    <w:rsid w:val="004C56B2"/>
    <w:rsid w:val="004C6F4A"/>
    <w:rsid w:val="004D00B2"/>
    <w:rsid w:val="004D7E8A"/>
    <w:rsid w:val="004E3182"/>
    <w:rsid w:val="004E4963"/>
    <w:rsid w:val="004E6809"/>
    <w:rsid w:val="004E7702"/>
    <w:rsid w:val="004E7F24"/>
    <w:rsid w:val="004F223F"/>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29B"/>
    <w:rsid w:val="00575476"/>
    <w:rsid w:val="00583A20"/>
    <w:rsid w:val="00584373"/>
    <w:rsid w:val="0058526D"/>
    <w:rsid w:val="0059061F"/>
    <w:rsid w:val="00591DB3"/>
    <w:rsid w:val="005939ED"/>
    <w:rsid w:val="005947BC"/>
    <w:rsid w:val="00595E8A"/>
    <w:rsid w:val="005A0268"/>
    <w:rsid w:val="005A6014"/>
    <w:rsid w:val="005B473C"/>
    <w:rsid w:val="005C3A04"/>
    <w:rsid w:val="005C549A"/>
    <w:rsid w:val="005D0035"/>
    <w:rsid w:val="005D7719"/>
    <w:rsid w:val="005E1B9B"/>
    <w:rsid w:val="005E32D1"/>
    <w:rsid w:val="005E5D1F"/>
    <w:rsid w:val="005F0207"/>
    <w:rsid w:val="005F2D1C"/>
    <w:rsid w:val="005F5C1F"/>
    <w:rsid w:val="006021F0"/>
    <w:rsid w:val="0061113B"/>
    <w:rsid w:val="00611D43"/>
    <w:rsid w:val="00612D48"/>
    <w:rsid w:val="00613A5E"/>
    <w:rsid w:val="00616B45"/>
    <w:rsid w:val="00622DFC"/>
    <w:rsid w:val="006241C6"/>
    <w:rsid w:val="00630D9B"/>
    <w:rsid w:val="00631953"/>
    <w:rsid w:val="0063208D"/>
    <w:rsid w:val="006434FD"/>
    <w:rsid w:val="00643814"/>
    <w:rsid w:val="006439EC"/>
    <w:rsid w:val="00645090"/>
    <w:rsid w:val="00647059"/>
    <w:rsid w:val="00647162"/>
    <w:rsid w:val="0065029A"/>
    <w:rsid w:val="00652ABB"/>
    <w:rsid w:val="006553F9"/>
    <w:rsid w:val="00661E96"/>
    <w:rsid w:val="006632AC"/>
    <w:rsid w:val="00665786"/>
    <w:rsid w:val="00671C93"/>
    <w:rsid w:val="00671F00"/>
    <w:rsid w:val="006729C8"/>
    <w:rsid w:val="00672C8B"/>
    <w:rsid w:val="00675314"/>
    <w:rsid w:val="00675501"/>
    <w:rsid w:val="0068562A"/>
    <w:rsid w:val="00686B8B"/>
    <w:rsid w:val="006A6B31"/>
    <w:rsid w:val="006A6C95"/>
    <w:rsid w:val="006A7B29"/>
    <w:rsid w:val="006B0EB2"/>
    <w:rsid w:val="006B0FF8"/>
    <w:rsid w:val="006B4590"/>
    <w:rsid w:val="006C340C"/>
    <w:rsid w:val="006E29E5"/>
    <w:rsid w:val="006F0402"/>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4585C"/>
    <w:rsid w:val="00755D4F"/>
    <w:rsid w:val="007607B1"/>
    <w:rsid w:val="00765296"/>
    <w:rsid w:val="00766D28"/>
    <w:rsid w:val="007723C2"/>
    <w:rsid w:val="007815B9"/>
    <w:rsid w:val="00783E82"/>
    <w:rsid w:val="00785F1F"/>
    <w:rsid w:val="007869B6"/>
    <w:rsid w:val="00790B9D"/>
    <w:rsid w:val="00796316"/>
    <w:rsid w:val="007A0135"/>
    <w:rsid w:val="007A1C58"/>
    <w:rsid w:val="007A20D2"/>
    <w:rsid w:val="007A79CD"/>
    <w:rsid w:val="007B01AC"/>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85FEB"/>
    <w:rsid w:val="00895DE5"/>
    <w:rsid w:val="008A0FA8"/>
    <w:rsid w:val="008A1974"/>
    <w:rsid w:val="008A1EC0"/>
    <w:rsid w:val="008A4A2E"/>
    <w:rsid w:val="008B44C4"/>
    <w:rsid w:val="008C322B"/>
    <w:rsid w:val="008C4B74"/>
    <w:rsid w:val="008D1156"/>
    <w:rsid w:val="008D59DB"/>
    <w:rsid w:val="008E0319"/>
    <w:rsid w:val="008E3FC1"/>
    <w:rsid w:val="008E4DE2"/>
    <w:rsid w:val="008E6252"/>
    <w:rsid w:val="008E7CE2"/>
    <w:rsid w:val="008E7FAE"/>
    <w:rsid w:val="00911BF7"/>
    <w:rsid w:val="0091594A"/>
    <w:rsid w:val="009230F1"/>
    <w:rsid w:val="00926925"/>
    <w:rsid w:val="00935490"/>
    <w:rsid w:val="009368EE"/>
    <w:rsid w:val="009418DE"/>
    <w:rsid w:val="009516B7"/>
    <w:rsid w:val="009545F1"/>
    <w:rsid w:val="00957CE5"/>
    <w:rsid w:val="009624E2"/>
    <w:rsid w:val="009707E4"/>
    <w:rsid w:val="00973B8F"/>
    <w:rsid w:val="00974DD2"/>
    <w:rsid w:val="00977EC8"/>
    <w:rsid w:val="00991DBA"/>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49D3"/>
    <w:rsid w:val="00A362DF"/>
    <w:rsid w:val="00A364DB"/>
    <w:rsid w:val="00A45E90"/>
    <w:rsid w:val="00A4770F"/>
    <w:rsid w:val="00A50D6B"/>
    <w:rsid w:val="00A51050"/>
    <w:rsid w:val="00A56945"/>
    <w:rsid w:val="00A57027"/>
    <w:rsid w:val="00A5750C"/>
    <w:rsid w:val="00A72C35"/>
    <w:rsid w:val="00A752BB"/>
    <w:rsid w:val="00A81F93"/>
    <w:rsid w:val="00A9247E"/>
    <w:rsid w:val="00AA0DCA"/>
    <w:rsid w:val="00AA6A77"/>
    <w:rsid w:val="00AA7796"/>
    <w:rsid w:val="00AC60D8"/>
    <w:rsid w:val="00AC67A1"/>
    <w:rsid w:val="00AC7977"/>
    <w:rsid w:val="00AC7E56"/>
    <w:rsid w:val="00AD1538"/>
    <w:rsid w:val="00AD658C"/>
    <w:rsid w:val="00AE20D1"/>
    <w:rsid w:val="00AE2617"/>
    <w:rsid w:val="00AE352C"/>
    <w:rsid w:val="00AE39A5"/>
    <w:rsid w:val="00AE79AC"/>
    <w:rsid w:val="00B01AAD"/>
    <w:rsid w:val="00B101DB"/>
    <w:rsid w:val="00B13E4F"/>
    <w:rsid w:val="00B21751"/>
    <w:rsid w:val="00B223BC"/>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0876"/>
    <w:rsid w:val="00BC2B2A"/>
    <w:rsid w:val="00BC3F20"/>
    <w:rsid w:val="00BC76F0"/>
    <w:rsid w:val="00BD13E6"/>
    <w:rsid w:val="00BD28B2"/>
    <w:rsid w:val="00BD5A8D"/>
    <w:rsid w:val="00BD7343"/>
    <w:rsid w:val="00BE4CFF"/>
    <w:rsid w:val="00BF0556"/>
    <w:rsid w:val="00BF1C7D"/>
    <w:rsid w:val="00BF37EE"/>
    <w:rsid w:val="00BF3FEB"/>
    <w:rsid w:val="00C00099"/>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2C97"/>
    <w:rsid w:val="00C75D25"/>
    <w:rsid w:val="00C825E5"/>
    <w:rsid w:val="00C90179"/>
    <w:rsid w:val="00C95EB8"/>
    <w:rsid w:val="00CA0756"/>
    <w:rsid w:val="00CB02C5"/>
    <w:rsid w:val="00CB0D41"/>
    <w:rsid w:val="00CB39CD"/>
    <w:rsid w:val="00CC2A62"/>
    <w:rsid w:val="00CC39DE"/>
    <w:rsid w:val="00CC7CE6"/>
    <w:rsid w:val="00CD044C"/>
    <w:rsid w:val="00CD1A71"/>
    <w:rsid w:val="00CD1FBB"/>
    <w:rsid w:val="00CE033D"/>
    <w:rsid w:val="00CE08E5"/>
    <w:rsid w:val="00CF7D2C"/>
    <w:rsid w:val="00D016B5"/>
    <w:rsid w:val="00D034F1"/>
    <w:rsid w:val="00D05828"/>
    <w:rsid w:val="00D06712"/>
    <w:rsid w:val="00D13CAA"/>
    <w:rsid w:val="00D14C21"/>
    <w:rsid w:val="00D14F42"/>
    <w:rsid w:val="00D171D4"/>
    <w:rsid w:val="00D21F68"/>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014B"/>
    <w:rsid w:val="00DC161C"/>
    <w:rsid w:val="00DC3628"/>
    <w:rsid w:val="00DC4F43"/>
    <w:rsid w:val="00DE083E"/>
    <w:rsid w:val="00DE4ADE"/>
    <w:rsid w:val="00DE6D90"/>
    <w:rsid w:val="00DF002F"/>
    <w:rsid w:val="00DF5821"/>
    <w:rsid w:val="00E019E7"/>
    <w:rsid w:val="00E0244D"/>
    <w:rsid w:val="00E026DF"/>
    <w:rsid w:val="00E02F48"/>
    <w:rsid w:val="00E03712"/>
    <w:rsid w:val="00E06B3F"/>
    <w:rsid w:val="00E10A73"/>
    <w:rsid w:val="00E14F27"/>
    <w:rsid w:val="00E171D2"/>
    <w:rsid w:val="00E177EE"/>
    <w:rsid w:val="00E25534"/>
    <w:rsid w:val="00E319B6"/>
    <w:rsid w:val="00E32145"/>
    <w:rsid w:val="00E32F5A"/>
    <w:rsid w:val="00E44963"/>
    <w:rsid w:val="00E510F3"/>
    <w:rsid w:val="00E51874"/>
    <w:rsid w:val="00E60012"/>
    <w:rsid w:val="00E62CFF"/>
    <w:rsid w:val="00E64688"/>
    <w:rsid w:val="00E665EE"/>
    <w:rsid w:val="00E679AE"/>
    <w:rsid w:val="00E711F3"/>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C1C31"/>
    <w:rsid w:val="00ED3A26"/>
    <w:rsid w:val="00EF70BB"/>
    <w:rsid w:val="00F02FA9"/>
    <w:rsid w:val="00F06660"/>
    <w:rsid w:val="00F07AE1"/>
    <w:rsid w:val="00F116EB"/>
    <w:rsid w:val="00F1794E"/>
    <w:rsid w:val="00F211AF"/>
    <w:rsid w:val="00F22FCD"/>
    <w:rsid w:val="00F25EC3"/>
    <w:rsid w:val="00F32ADB"/>
    <w:rsid w:val="00F32C98"/>
    <w:rsid w:val="00F37E12"/>
    <w:rsid w:val="00F4139B"/>
    <w:rsid w:val="00F424BD"/>
    <w:rsid w:val="00F4527A"/>
    <w:rsid w:val="00F45D41"/>
    <w:rsid w:val="00F460A0"/>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5222"/>
    <w:rsid w:val="00FD02A2"/>
    <w:rsid w:val="00FD0EF9"/>
    <w:rsid w:val="00FD5E64"/>
    <w:rsid w:val="00FD7985"/>
    <w:rsid w:val="00FE11D6"/>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0291BB43-6B45-405B-84BB-F671B50C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1538"/>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AD1538"/>
    <w:pPr>
      <w:keepNext/>
      <w:keepLines/>
      <w:spacing w:after="0" w:line="240" w:lineRule="auto"/>
      <w:ind w:right="0"/>
      <w:jc w:val="left"/>
      <w:outlineLvl w:val="0"/>
    </w:pPr>
  </w:style>
  <w:style w:type="paragraph" w:styleId="Heading2">
    <w:name w:val="heading 2"/>
    <w:basedOn w:val="Normal"/>
    <w:next w:val="Normal"/>
    <w:link w:val="Heading2Char"/>
    <w:semiHidden/>
    <w:qFormat/>
    <w:rsid w:val="00AD1538"/>
    <w:pPr>
      <w:outlineLvl w:val="1"/>
    </w:pPr>
  </w:style>
  <w:style w:type="paragraph" w:styleId="Heading3">
    <w:name w:val="heading 3"/>
    <w:basedOn w:val="Normal"/>
    <w:next w:val="Normal"/>
    <w:link w:val="Heading3Char"/>
    <w:semiHidden/>
    <w:qFormat/>
    <w:rsid w:val="00AD1538"/>
    <w:pPr>
      <w:outlineLvl w:val="2"/>
    </w:pPr>
  </w:style>
  <w:style w:type="paragraph" w:styleId="Heading4">
    <w:name w:val="heading 4"/>
    <w:basedOn w:val="Normal"/>
    <w:next w:val="Normal"/>
    <w:link w:val="Heading4Char"/>
    <w:semiHidden/>
    <w:qFormat/>
    <w:rsid w:val="00AD1538"/>
    <w:pPr>
      <w:outlineLvl w:val="3"/>
    </w:pPr>
  </w:style>
  <w:style w:type="paragraph" w:styleId="Heading5">
    <w:name w:val="heading 5"/>
    <w:basedOn w:val="Normal"/>
    <w:next w:val="Normal"/>
    <w:link w:val="Heading5Char"/>
    <w:semiHidden/>
    <w:qFormat/>
    <w:rsid w:val="00AD1538"/>
    <w:pPr>
      <w:outlineLvl w:val="4"/>
    </w:pPr>
  </w:style>
  <w:style w:type="paragraph" w:styleId="Heading6">
    <w:name w:val="heading 6"/>
    <w:basedOn w:val="Normal"/>
    <w:next w:val="Normal"/>
    <w:link w:val="Heading6Char"/>
    <w:semiHidden/>
    <w:qFormat/>
    <w:rsid w:val="00AD1538"/>
    <w:pPr>
      <w:outlineLvl w:val="5"/>
    </w:pPr>
  </w:style>
  <w:style w:type="paragraph" w:styleId="Heading7">
    <w:name w:val="heading 7"/>
    <w:basedOn w:val="Normal"/>
    <w:next w:val="Normal"/>
    <w:link w:val="Heading7Char"/>
    <w:semiHidden/>
    <w:qFormat/>
    <w:rsid w:val="00AD1538"/>
    <w:pPr>
      <w:outlineLvl w:val="6"/>
    </w:pPr>
  </w:style>
  <w:style w:type="paragraph" w:styleId="Heading8">
    <w:name w:val="heading 8"/>
    <w:basedOn w:val="Normal"/>
    <w:next w:val="Normal"/>
    <w:link w:val="Heading8Char"/>
    <w:semiHidden/>
    <w:qFormat/>
    <w:rsid w:val="00AD1538"/>
    <w:pPr>
      <w:outlineLvl w:val="7"/>
    </w:pPr>
  </w:style>
  <w:style w:type="paragraph" w:styleId="Heading9">
    <w:name w:val="heading 9"/>
    <w:basedOn w:val="Normal"/>
    <w:next w:val="Normal"/>
    <w:link w:val="Heading9Char"/>
    <w:semiHidden/>
    <w:qFormat/>
    <w:rsid w:val="00AD15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D1538"/>
    <w:pPr>
      <w:spacing w:after="120"/>
      <w:ind w:left="1134" w:right="1134"/>
      <w:jc w:val="both"/>
    </w:pPr>
  </w:style>
  <w:style w:type="paragraph" w:styleId="EndnoteText">
    <w:name w:val="endnote text"/>
    <w:aliases w:val="2_G"/>
    <w:basedOn w:val="FootnoteText"/>
    <w:link w:val="EndnoteTextChar"/>
    <w:qFormat/>
    <w:rsid w:val="00AD1538"/>
  </w:style>
  <w:style w:type="character" w:customStyle="1" w:styleId="EndnoteTextChar">
    <w:name w:val="Endnote Text Char"/>
    <w:aliases w:val="2_G Char"/>
    <w:link w:val="EndnoteText"/>
    <w:rsid w:val="00AD1538"/>
    <w:rPr>
      <w:rFonts w:eastAsiaTheme="minorHAnsi"/>
      <w:sz w:val="18"/>
      <w:lang w:val="fr-CH"/>
    </w:rPr>
  </w:style>
  <w:style w:type="paragraph" w:styleId="FootnoteText">
    <w:name w:val="footnote text"/>
    <w:aliases w:val="5_G"/>
    <w:basedOn w:val="Normal"/>
    <w:link w:val="FootnoteTextChar"/>
    <w:qFormat/>
    <w:rsid w:val="00AD1538"/>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AD1538"/>
    <w:rPr>
      <w:rFonts w:eastAsiaTheme="minorHAnsi"/>
      <w:sz w:val="18"/>
      <w:lang w:val="fr-CH"/>
    </w:rPr>
  </w:style>
  <w:style w:type="character" w:styleId="FootnoteReference">
    <w:name w:val="footnote reference"/>
    <w:aliases w:val="4_G,(Footnote Reference),-E Fußnotenzeichen,BVI fnr, BVI fnr,Footnote symbol,Footnote,Footnote Reference Superscript,SUPERS"/>
    <w:qFormat/>
    <w:rsid w:val="00AD1538"/>
    <w:rPr>
      <w:rFonts w:ascii="Times New Roman" w:hAnsi="Times New Roman"/>
      <w:sz w:val="18"/>
      <w:vertAlign w:val="superscript"/>
      <w:lang w:val="fr-CH"/>
    </w:rPr>
  </w:style>
  <w:style w:type="paragraph" w:styleId="Footer">
    <w:name w:val="footer"/>
    <w:aliases w:val="3_G"/>
    <w:basedOn w:val="Normal"/>
    <w:next w:val="Normal"/>
    <w:link w:val="FooterChar"/>
    <w:qFormat/>
    <w:rsid w:val="00AD1538"/>
    <w:pPr>
      <w:spacing w:line="240" w:lineRule="auto"/>
    </w:pPr>
    <w:rPr>
      <w:sz w:val="16"/>
    </w:rPr>
  </w:style>
  <w:style w:type="character" w:customStyle="1" w:styleId="FooterChar">
    <w:name w:val="Footer Char"/>
    <w:aliases w:val="3_G Char"/>
    <w:link w:val="Footer"/>
    <w:rsid w:val="00AD1538"/>
    <w:rPr>
      <w:rFonts w:eastAsiaTheme="minorHAnsi"/>
      <w:sz w:val="16"/>
      <w:lang w:val="fr-CH"/>
    </w:rPr>
  </w:style>
  <w:style w:type="paragraph" w:customStyle="1" w:styleId="H1G">
    <w:name w:val="_ H_1_G"/>
    <w:basedOn w:val="Normal"/>
    <w:next w:val="Normal"/>
    <w:link w:val="H1GChar"/>
    <w:qFormat/>
    <w:rsid w:val="00AD1538"/>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AD1538"/>
    <w:pPr>
      <w:keepNext/>
      <w:keepLines/>
      <w:tabs>
        <w:tab w:val="right" w:pos="851"/>
      </w:tabs>
      <w:spacing w:before="360" w:after="240" w:line="300" w:lineRule="exact"/>
      <w:ind w:left="1134" w:right="1134" w:hanging="1134"/>
    </w:pPr>
    <w:rPr>
      <w:b/>
      <w:sz w:val="28"/>
    </w:rPr>
  </w:style>
  <w:style w:type="character" w:styleId="EndnoteReference">
    <w:name w:val="endnote reference"/>
    <w:aliases w:val="1_G"/>
    <w:qFormat/>
    <w:rsid w:val="00AD1538"/>
    <w:rPr>
      <w:rFonts w:ascii="Times New Roman" w:hAnsi="Times New Roman"/>
      <w:sz w:val="18"/>
      <w:vertAlign w:val="superscript"/>
      <w:lang w:val="fr-CH"/>
    </w:rPr>
  </w:style>
  <w:style w:type="character" w:styleId="PageNumber">
    <w:name w:val="page number"/>
    <w:aliases w:val="7_G"/>
    <w:qFormat/>
    <w:rsid w:val="00AD1538"/>
    <w:rPr>
      <w:rFonts w:ascii="Times New Roman" w:hAnsi="Times New Roman"/>
      <w:b/>
      <w:sz w:val="18"/>
      <w:lang w:val="fr-CH"/>
    </w:rPr>
  </w:style>
  <w:style w:type="paragraph" w:styleId="Header">
    <w:name w:val="header"/>
    <w:aliases w:val="6_G"/>
    <w:basedOn w:val="Normal"/>
    <w:next w:val="Normal"/>
    <w:link w:val="HeaderChar"/>
    <w:qFormat/>
    <w:rsid w:val="00AD1538"/>
    <w:pPr>
      <w:pBdr>
        <w:bottom w:val="single" w:sz="4" w:space="4" w:color="auto"/>
      </w:pBdr>
      <w:spacing w:line="240" w:lineRule="auto"/>
    </w:pPr>
    <w:rPr>
      <w:b/>
      <w:sz w:val="18"/>
    </w:rPr>
  </w:style>
  <w:style w:type="character" w:customStyle="1" w:styleId="HeaderChar">
    <w:name w:val="Header Char"/>
    <w:aliases w:val="6_G Char"/>
    <w:link w:val="Header"/>
    <w:rsid w:val="00AD1538"/>
    <w:rPr>
      <w:rFonts w:eastAsiaTheme="minorHAnsi"/>
      <w:b/>
      <w:sz w:val="18"/>
      <w:lang w:val="fr-CH"/>
    </w:rPr>
  </w:style>
  <w:style w:type="paragraph" w:customStyle="1" w:styleId="HMG">
    <w:name w:val="_ H __M_G"/>
    <w:basedOn w:val="Normal"/>
    <w:next w:val="Normal"/>
    <w:qFormat/>
    <w:rsid w:val="00AD1538"/>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AD153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D153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D1538"/>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AD1538"/>
    <w:pPr>
      <w:keepNext/>
      <w:keepLines/>
      <w:spacing w:before="240" w:after="240" w:line="420" w:lineRule="exact"/>
      <w:ind w:left="1134" w:right="1134"/>
    </w:pPr>
    <w:rPr>
      <w:b/>
      <w:sz w:val="40"/>
    </w:rPr>
  </w:style>
  <w:style w:type="paragraph" w:customStyle="1" w:styleId="SLG">
    <w:name w:val="__S_L_G"/>
    <w:basedOn w:val="Normal"/>
    <w:next w:val="Normal"/>
    <w:rsid w:val="00AD1538"/>
    <w:pPr>
      <w:keepNext/>
      <w:keepLines/>
      <w:spacing w:before="240" w:after="240" w:line="580" w:lineRule="exact"/>
      <w:ind w:left="1134" w:right="1134"/>
    </w:pPr>
    <w:rPr>
      <w:b/>
      <w:sz w:val="56"/>
    </w:rPr>
  </w:style>
  <w:style w:type="paragraph" w:customStyle="1" w:styleId="SSG">
    <w:name w:val="__S_S_G"/>
    <w:basedOn w:val="Normal"/>
    <w:next w:val="Normal"/>
    <w:rsid w:val="00AD1538"/>
    <w:pPr>
      <w:keepNext/>
      <w:keepLines/>
      <w:spacing w:before="240" w:after="240" w:line="300" w:lineRule="exact"/>
      <w:ind w:left="1134" w:right="1134"/>
    </w:pPr>
    <w:rPr>
      <w:b/>
      <w:sz w:val="28"/>
    </w:rPr>
  </w:style>
  <w:style w:type="character" w:customStyle="1" w:styleId="SingleTxtGChar">
    <w:name w:val="_ Single Txt_G Char"/>
    <w:link w:val="SingleTxtG"/>
    <w:rsid w:val="00AD1538"/>
    <w:rPr>
      <w:rFonts w:eastAsiaTheme="minorHAnsi"/>
      <w:lang w:val="fr-CH"/>
    </w:rPr>
  </w:style>
  <w:style w:type="character" w:styleId="Hyperlink">
    <w:name w:val="Hyperlink"/>
    <w:rsid w:val="00AD1538"/>
    <w:rPr>
      <w:color w:val="0000FF"/>
      <w:u w:val="none"/>
    </w:rPr>
  </w:style>
  <w:style w:type="paragraph" w:customStyle="1" w:styleId="XLargeG">
    <w:name w:val="__XLarge_G"/>
    <w:basedOn w:val="Normal"/>
    <w:next w:val="Normal"/>
    <w:rsid w:val="00AD1538"/>
    <w:pPr>
      <w:keepNext/>
      <w:keepLines/>
      <w:spacing w:before="240" w:after="240" w:line="420" w:lineRule="exact"/>
      <w:ind w:left="1134" w:right="1134"/>
    </w:pPr>
    <w:rPr>
      <w:b/>
      <w:sz w:val="40"/>
    </w:rPr>
  </w:style>
  <w:style w:type="paragraph" w:customStyle="1" w:styleId="Bullet1G">
    <w:name w:val="_Bullet 1_G"/>
    <w:basedOn w:val="Normal"/>
    <w:qFormat/>
    <w:rsid w:val="00AD1538"/>
    <w:pPr>
      <w:numPr>
        <w:numId w:val="1"/>
      </w:numPr>
      <w:spacing w:after="120"/>
      <w:ind w:right="1134"/>
      <w:jc w:val="both"/>
    </w:pPr>
  </w:style>
  <w:style w:type="paragraph" w:customStyle="1" w:styleId="Bullet2G">
    <w:name w:val="_Bullet 2_G"/>
    <w:basedOn w:val="Normal"/>
    <w:qFormat/>
    <w:rsid w:val="00AD1538"/>
    <w:pPr>
      <w:numPr>
        <w:numId w:val="2"/>
      </w:numPr>
      <w:spacing w:after="120"/>
      <w:ind w:right="1134"/>
      <w:jc w:val="both"/>
    </w:pPr>
  </w:style>
  <w:style w:type="table" w:styleId="TableGrid">
    <w:name w:val="Table Grid"/>
    <w:basedOn w:val="TableNormal"/>
    <w:rsid w:val="00AD1538"/>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D1538"/>
    <w:rPr>
      <w:color w:val="0000FF"/>
      <w:u w:val="none"/>
    </w:rPr>
  </w:style>
  <w:style w:type="paragraph" w:customStyle="1" w:styleId="ParNoG">
    <w:name w:val="_ParNo_G"/>
    <w:basedOn w:val="Normal"/>
    <w:qFormat/>
    <w:rsid w:val="00AD1538"/>
    <w:pPr>
      <w:numPr>
        <w:numId w:val="3"/>
      </w:numPr>
      <w:spacing w:after="120"/>
      <w:ind w:right="1134"/>
      <w:jc w:val="both"/>
    </w:pPr>
  </w:style>
  <w:style w:type="character" w:customStyle="1" w:styleId="Heading1Char">
    <w:name w:val="Heading 1 Char"/>
    <w:aliases w:val="Table_G Char"/>
    <w:link w:val="Heading1"/>
    <w:rsid w:val="00AD1538"/>
    <w:rPr>
      <w:rFonts w:eastAsiaTheme="minorHAnsi"/>
      <w:lang w:val="fr-CH"/>
    </w:rPr>
  </w:style>
  <w:style w:type="character" w:customStyle="1" w:styleId="Heading2Char">
    <w:name w:val="Heading 2 Char"/>
    <w:link w:val="Heading2"/>
    <w:semiHidden/>
    <w:rsid w:val="00AD1538"/>
    <w:rPr>
      <w:rFonts w:eastAsiaTheme="minorHAnsi"/>
      <w:lang w:val="fr-CH"/>
    </w:rPr>
  </w:style>
  <w:style w:type="character" w:customStyle="1" w:styleId="Heading3Char">
    <w:name w:val="Heading 3 Char"/>
    <w:link w:val="Heading3"/>
    <w:semiHidden/>
    <w:rsid w:val="00AD1538"/>
    <w:rPr>
      <w:rFonts w:eastAsiaTheme="minorHAnsi"/>
      <w:lang w:val="fr-CH"/>
    </w:rPr>
  </w:style>
  <w:style w:type="character" w:customStyle="1" w:styleId="Heading4Char">
    <w:name w:val="Heading 4 Char"/>
    <w:link w:val="Heading4"/>
    <w:semiHidden/>
    <w:rsid w:val="00AD1538"/>
    <w:rPr>
      <w:rFonts w:eastAsiaTheme="minorHAnsi"/>
      <w:lang w:val="fr-CH"/>
    </w:rPr>
  </w:style>
  <w:style w:type="character" w:customStyle="1" w:styleId="Heading5Char">
    <w:name w:val="Heading 5 Char"/>
    <w:link w:val="Heading5"/>
    <w:semiHidden/>
    <w:rsid w:val="00AD1538"/>
    <w:rPr>
      <w:rFonts w:eastAsiaTheme="minorHAnsi"/>
      <w:lang w:val="fr-CH"/>
    </w:rPr>
  </w:style>
  <w:style w:type="character" w:customStyle="1" w:styleId="Heading6Char">
    <w:name w:val="Heading 6 Char"/>
    <w:link w:val="Heading6"/>
    <w:semiHidden/>
    <w:rsid w:val="00AD1538"/>
    <w:rPr>
      <w:rFonts w:eastAsiaTheme="minorHAnsi"/>
      <w:lang w:val="fr-CH"/>
    </w:rPr>
  </w:style>
  <w:style w:type="character" w:customStyle="1" w:styleId="Heading7Char">
    <w:name w:val="Heading 7 Char"/>
    <w:link w:val="Heading7"/>
    <w:semiHidden/>
    <w:rsid w:val="00AD1538"/>
    <w:rPr>
      <w:rFonts w:eastAsiaTheme="minorHAnsi"/>
      <w:lang w:val="fr-CH"/>
    </w:rPr>
  </w:style>
  <w:style w:type="character" w:customStyle="1" w:styleId="Heading8Char">
    <w:name w:val="Heading 8 Char"/>
    <w:link w:val="Heading8"/>
    <w:semiHidden/>
    <w:rsid w:val="00AD1538"/>
    <w:rPr>
      <w:rFonts w:eastAsiaTheme="minorHAnsi"/>
      <w:lang w:val="fr-CH"/>
    </w:rPr>
  </w:style>
  <w:style w:type="character" w:customStyle="1" w:styleId="Heading9Char">
    <w:name w:val="Heading 9 Char"/>
    <w:link w:val="Heading9"/>
    <w:semiHidden/>
    <w:rsid w:val="00AD1538"/>
    <w:rPr>
      <w:rFonts w:eastAsiaTheme="minorHAnsi"/>
      <w:lang w:val="fr-CH"/>
    </w:rPr>
  </w:style>
  <w:style w:type="paragraph" w:styleId="BalloonText">
    <w:name w:val="Balloon Text"/>
    <w:basedOn w:val="Normal"/>
    <w:link w:val="BalloonTextChar"/>
    <w:semiHidden/>
    <w:rsid w:val="00AD153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D1538"/>
    <w:rPr>
      <w:rFonts w:ascii="Tahoma" w:eastAsiaTheme="minorHAnsi" w:hAnsi="Tahoma" w:cs="Tahoma"/>
      <w:sz w:val="16"/>
      <w:szCs w:val="16"/>
      <w:lang w:val="fr-CH"/>
    </w:rPr>
  </w:style>
  <w:style w:type="character" w:customStyle="1" w:styleId="H1GChar">
    <w:name w:val="_ H_1_G Char"/>
    <w:link w:val="H1G"/>
    <w:rsid w:val="00991DBA"/>
    <w:rPr>
      <w:rFonts w:eastAsiaTheme="minorHAnsi"/>
      <w:b/>
      <w:sz w:val="24"/>
      <w:lang w:val="fr-CH"/>
    </w:rPr>
  </w:style>
  <w:style w:type="character" w:customStyle="1" w:styleId="HChGChar">
    <w:name w:val="_ H _Ch_G Char"/>
    <w:link w:val="HChG"/>
    <w:rsid w:val="00991DBA"/>
    <w:rPr>
      <w:rFonts w:eastAsiaTheme="minorHAnsi"/>
      <w:b/>
      <w:sz w:val="28"/>
      <w:lang w:val="fr-CH"/>
    </w:rPr>
  </w:style>
  <w:style w:type="paragraph" w:customStyle="1" w:styleId="para">
    <w:name w:val="para"/>
    <w:basedOn w:val="SingleTxtG"/>
    <w:qFormat/>
    <w:rsid w:val="00CC39DE"/>
    <w:pPr>
      <w:kinsoku/>
      <w:overflowPunct/>
      <w:autoSpaceDE/>
      <w:autoSpaceDN/>
      <w:adjustRightInd/>
      <w:snapToGrid/>
      <w:ind w:left="2268" w:hanging="1134"/>
    </w:pPr>
    <w:rPr>
      <w:rFonts w:eastAsia="Times New Roman"/>
      <w:lang w:val="en-GB"/>
    </w:rPr>
  </w:style>
  <w:style w:type="paragraph" w:styleId="TOC1">
    <w:name w:val="toc 1"/>
    <w:basedOn w:val="Normal"/>
    <w:next w:val="Normal"/>
    <w:autoRedefine/>
    <w:uiPriority w:val="39"/>
    <w:rsid w:val="00CC39DE"/>
    <w:pPr>
      <w:tabs>
        <w:tab w:val="left" w:pos="426"/>
        <w:tab w:val="right" w:leader="dot" w:pos="9456"/>
      </w:tabs>
      <w:kinsoku/>
      <w:overflowPunct/>
      <w:autoSpaceDE/>
      <w:autoSpaceDN/>
      <w:adjustRightInd/>
      <w:snapToGrid/>
    </w:pPr>
    <w:rPr>
      <w:rFonts w:eastAsia="Times New Roman"/>
      <w:lang w:val="en-GB"/>
    </w:rPr>
  </w:style>
  <w:style w:type="paragraph" w:customStyle="1" w:styleId="HCH">
    <w:name w:val="_ H _CH"/>
    <w:basedOn w:val="Normal"/>
    <w:next w:val="SingleTxt"/>
    <w:qFormat/>
    <w:rsid w:val="00330C79"/>
    <w:pPr>
      <w:keepNext/>
      <w:keepLines/>
      <w:kinsoku/>
      <w:overflowPunct/>
      <w:autoSpaceDE/>
      <w:autoSpaceDN/>
      <w:adjustRightInd/>
      <w:snapToGrid/>
      <w:spacing w:line="300" w:lineRule="exact"/>
      <w:outlineLvl w:val="0"/>
    </w:pPr>
    <w:rPr>
      <w:b/>
      <w:spacing w:val="-2"/>
      <w:w w:val="103"/>
      <w:kern w:val="14"/>
      <w:sz w:val="28"/>
      <w:szCs w:val="22"/>
      <w:lang w:val="fr-CA"/>
    </w:rPr>
  </w:style>
  <w:style w:type="paragraph" w:customStyle="1" w:styleId="SingleTxt">
    <w:name w:val="__Single Txt"/>
    <w:basedOn w:val="Normal"/>
    <w:qFormat/>
    <w:rsid w:val="00330C7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 w:type="paragraph" w:customStyle="1" w:styleId="H56">
    <w:name w:val="_ H_5/6"/>
    <w:basedOn w:val="Normal"/>
    <w:next w:val="SingleTxt"/>
    <w:qFormat/>
    <w:rsid w:val="007A0135"/>
    <w:pPr>
      <w:keepNext/>
      <w:keepLines/>
      <w:tabs>
        <w:tab w:val="right" w:pos="360"/>
      </w:tabs>
      <w:kinsoku/>
      <w:overflowPunct/>
      <w:autoSpaceDE/>
      <w:autoSpaceDN/>
      <w:adjustRightInd/>
      <w:snapToGrid/>
      <w:spacing w:line="240" w:lineRule="exact"/>
      <w:outlineLvl w:val="4"/>
    </w:pPr>
    <w:rPr>
      <w:rFonts w:ascii="marge tawagan" w:hAnsi="marge tawagan"/>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header" Target="header10.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4E30-8777-4A44-8A68-DFF14871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3022</Words>
  <Characters>17226</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E/ECE/324/Rev.1/Add.38/Rev.2</vt:lpstr>
      <vt:lpstr>E/ECE/324/Rev.1/Add.38/Rev.2</vt:lpstr>
    </vt:vector>
  </TitlesOfParts>
  <Company>CSD</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E/ECE/324/Rev.1/Add.38/Rev.2</dc:title>
  <dc:creator>Nicolas MORIN</dc:creator>
  <cp:keywords>E/ECE/TRANS/505/Rev.1/Add.38/Rev.2</cp:keywords>
  <cp:lastModifiedBy>Caillot</cp:lastModifiedBy>
  <cp:revision>2</cp:revision>
  <cp:lastPrinted>2018-03-05T08:29:00Z</cp:lastPrinted>
  <dcterms:created xsi:type="dcterms:W3CDTF">2018-04-19T14:11:00Z</dcterms:created>
  <dcterms:modified xsi:type="dcterms:W3CDTF">2018-04-19T14:11:00Z</dcterms:modified>
</cp:coreProperties>
</file>