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8951AA" w:rsidRPr="008951AA" w:rsidTr="000567B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8951AA" w:rsidRDefault="008951AA" w:rsidP="008951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8951AA" w:rsidRPr="008951AA" w:rsidRDefault="008951AA" w:rsidP="008951AA">
            <w:pPr>
              <w:jc w:val="right"/>
              <w:rPr>
                <w:lang w:val="en-US"/>
              </w:rPr>
            </w:pPr>
            <w:r w:rsidRPr="008951AA">
              <w:rPr>
                <w:sz w:val="40"/>
                <w:lang w:val="en-US"/>
              </w:rPr>
              <w:t>E</w:t>
            </w:r>
            <w:r w:rsidRPr="008951AA">
              <w:rPr>
                <w:lang w:val="en-US"/>
              </w:rPr>
              <w:t>/ECE/324/Rev.1/Add.26/Rev.2/Amend.1</w:t>
            </w:r>
            <w:r w:rsidRPr="008951AA">
              <w:rPr>
                <w:rFonts w:cs="Times New Roman"/>
                <w:lang w:val="en-US"/>
              </w:rPr>
              <w:t>−</w:t>
            </w:r>
            <w:r w:rsidRPr="008951AA">
              <w:rPr>
                <w:sz w:val="40"/>
                <w:lang w:val="en-US"/>
              </w:rPr>
              <w:t>E</w:t>
            </w:r>
            <w:r w:rsidRPr="008951AA">
              <w:rPr>
                <w:lang w:val="en-US"/>
              </w:rPr>
              <w:t>/ECE/TRANS/505/Rev.1/Add.26/Rev.2/Amend.1</w:t>
            </w:r>
          </w:p>
        </w:tc>
      </w:tr>
      <w:tr w:rsidR="002D5AAC" w:rsidRPr="008951A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8951AA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387CD4">
            <w:pPr>
              <w:spacing w:before="240"/>
              <w:rPr>
                <w:lang w:val="en-US"/>
              </w:rPr>
            </w:pPr>
          </w:p>
          <w:p w:rsidR="008951AA" w:rsidRDefault="008951AA" w:rsidP="00387CD4">
            <w:pPr>
              <w:spacing w:before="240"/>
              <w:rPr>
                <w:lang w:val="en-US"/>
              </w:rPr>
            </w:pPr>
          </w:p>
          <w:p w:rsidR="008951AA" w:rsidRDefault="008951AA" w:rsidP="008951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December 2017</w:t>
            </w:r>
          </w:p>
          <w:p w:rsidR="008951AA" w:rsidRPr="008D53B6" w:rsidRDefault="008951AA" w:rsidP="008951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FF50AB" w:rsidRPr="00FF50AB" w:rsidRDefault="00FF50AB" w:rsidP="00B2329F">
      <w:pPr>
        <w:pStyle w:val="HChGR"/>
        <w:spacing w:before="240"/>
      </w:pPr>
      <w:bookmarkStart w:id="1" w:name="bookmark_7"/>
      <w:r w:rsidRPr="00FF50AB">
        <w:tab/>
      </w:r>
      <w:r w:rsidRPr="00FF50AB">
        <w:tab/>
        <w:t>Соглашение</w:t>
      </w:r>
      <w:bookmarkStart w:id="2" w:name="_Toc340666199"/>
      <w:bookmarkStart w:id="3" w:name="_Toc340745062"/>
      <w:bookmarkEnd w:id="1"/>
      <w:bookmarkEnd w:id="2"/>
      <w:bookmarkEnd w:id="3"/>
    </w:p>
    <w:p w:rsidR="00FF50AB" w:rsidRPr="00FF50AB" w:rsidRDefault="00FF50AB" w:rsidP="00B2329F">
      <w:pPr>
        <w:pStyle w:val="H1GR"/>
        <w:spacing w:before="240"/>
      </w:pPr>
      <w:bookmarkStart w:id="4" w:name="bookmark_8"/>
      <w:r>
        <w:tab/>
      </w:r>
      <w:r>
        <w:tab/>
      </w:r>
      <w:r w:rsidRPr="00FF50AB"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F50AB">
        <w:rPr>
          <w:b w:val="0"/>
          <w:bCs/>
          <w:sz w:val="20"/>
        </w:rPr>
        <w:footnoteReference w:customMarkFollows="1" w:id="1"/>
        <w:t>*</w:t>
      </w:r>
      <w:bookmarkEnd w:id="4"/>
    </w:p>
    <w:p w:rsidR="00FF50AB" w:rsidRPr="00FF50AB" w:rsidRDefault="00FF50AB" w:rsidP="00FF50AB">
      <w:pPr>
        <w:pStyle w:val="SingleTxtGR"/>
        <w:rPr>
          <w:w w:val="101"/>
        </w:rPr>
      </w:pPr>
      <w:bookmarkStart w:id="8" w:name="bookmark_12"/>
      <w:r w:rsidRPr="00FF50AB">
        <w:rPr>
          <w:w w:val="101"/>
        </w:rPr>
        <w:t>(Пересмотр 3, включающий поправки, вступившие в силу 14 сентября 2017 года)</w:t>
      </w:r>
      <w:bookmarkEnd w:id="8"/>
    </w:p>
    <w:p w:rsidR="00FF50AB" w:rsidRPr="00FF50AB" w:rsidRDefault="00FF50AB" w:rsidP="0021567A">
      <w:pPr>
        <w:pStyle w:val="SingleTxtGR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50AB" w:rsidRPr="00FF50AB" w:rsidRDefault="00FF50AB" w:rsidP="0021567A">
      <w:pPr>
        <w:pStyle w:val="H1GR"/>
        <w:spacing w:before="240"/>
      </w:pPr>
      <w:bookmarkStart w:id="9" w:name="bookmark_14"/>
      <w:r w:rsidRPr="00FF50AB">
        <w:tab/>
      </w:r>
      <w:r w:rsidRPr="00FF50AB">
        <w:tab/>
        <w:t xml:space="preserve">Добавление 26 – Правила № </w:t>
      </w:r>
      <w:bookmarkEnd w:id="9"/>
      <w:r w:rsidRPr="00FF50AB">
        <w:t>27 ООН</w:t>
      </w:r>
    </w:p>
    <w:p w:rsidR="00FF50AB" w:rsidRPr="00FF50AB" w:rsidRDefault="00FF50AB" w:rsidP="0021567A">
      <w:pPr>
        <w:pStyle w:val="H1GR"/>
        <w:spacing w:before="240"/>
      </w:pPr>
      <w:bookmarkStart w:id="10" w:name="bookmark_15"/>
      <w:r w:rsidRPr="00FF50AB">
        <w:tab/>
      </w:r>
      <w:r w:rsidRPr="00FF50AB">
        <w:tab/>
        <w:t xml:space="preserve">Пересмотр 2 – Поправка </w:t>
      </w:r>
      <w:bookmarkEnd w:id="10"/>
      <w:r w:rsidRPr="00FF50AB">
        <w:t>1</w:t>
      </w:r>
    </w:p>
    <w:p w:rsidR="00FF50AB" w:rsidRPr="00FF50AB" w:rsidRDefault="00FF50AB" w:rsidP="00FF50AB">
      <w:pPr>
        <w:pStyle w:val="SingleTxtGR"/>
        <w:rPr>
          <w:spacing w:val="2"/>
          <w:w w:val="100"/>
        </w:rPr>
      </w:pPr>
      <w:bookmarkStart w:id="11" w:name="bookmark_16"/>
      <w:r w:rsidRPr="00FF50AB">
        <w:rPr>
          <w:spacing w:val="2"/>
          <w:w w:val="100"/>
        </w:rPr>
        <w:t>Дополнение 1 к поправкам серии 04 − Дата вступления в силу: 10 октября 2017 года</w:t>
      </w:r>
      <w:bookmarkEnd w:id="11"/>
      <w:r w:rsidRPr="00FF50AB">
        <w:rPr>
          <w:spacing w:val="2"/>
          <w:w w:val="100"/>
        </w:rPr>
        <w:t xml:space="preserve"> </w:t>
      </w:r>
    </w:p>
    <w:p w:rsidR="00FF50AB" w:rsidRPr="00FF50AB" w:rsidRDefault="00FF50AB" w:rsidP="0021567A">
      <w:pPr>
        <w:pStyle w:val="H1GR"/>
        <w:spacing w:before="240"/>
      </w:pPr>
      <w:bookmarkStart w:id="12" w:name="bookmark_17"/>
      <w:r w:rsidRPr="00FF50AB">
        <w:tab/>
      </w:r>
      <w:r w:rsidRPr="00FF50AB">
        <w:tab/>
        <w:t xml:space="preserve">Единообразные предписания, касающиеся официального утверждения </w:t>
      </w:r>
      <w:bookmarkEnd w:id="12"/>
      <w:r w:rsidRPr="00FF50AB">
        <w:t>предупреждающих треугольников</w:t>
      </w:r>
    </w:p>
    <w:p w:rsidR="00B2329F" w:rsidRDefault="00FF50AB" w:rsidP="00B2329F">
      <w:pPr>
        <w:pStyle w:val="SingleTxtGR"/>
        <w:rPr>
          <w:lang w:val="en-US"/>
        </w:rPr>
      </w:pPr>
      <w:bookmarkStart w:id="13" w:name="bookmark_18"/>
      <w:r w:rsidRPr="00FF50AB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ECE/TRANS/WP.29/2017/25 (1622392)</w:t>
      </w:r>
      <w:r w:rsidR="00B2329F" w:rsidRPr="00B2329F">
        <w:t>.</w:t>
      </w:r>
    </w:p>
    <w:p w:rsidR="0021567A" w:rsidRPr="0021567A" w:rsidRDefault="0021567A" w:rsidP="0021567A">
      <w:pPr>
        <w:pStyle w:val="SingleTxtGR"/>
        <w:spacing w:before="12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bookmarkEnd w:id="13"/>
    <w:p w:rsidR="00FF50AB" w:rsidRDefault="00B2329F" w:rsidP="00B2329F">
      <w:pPr>
        <w:pStyle w:val="SingleTxtGR"/>
        <w:jc w:val="center"/>
        <w:rPr>
          <w:lang w:val="en-US"/>
        </w:rPr>
      </w:pPr>
      <w:r w:rsidRPr="00FF50AB">
        <w:rPr>
          <w:b/>
          <w:noProof/>
        </w:rPr>
        <w:drawing>
          <wp:inline distT="0" distB="0" distL="0" distR="0" wp14:anchorId="3E35526D" wp14:editId="1EA8014E">
            <wp:extent cx="1028700" cy="8267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50AB" w:rsidRPr="00FF50AB" w:rsidRDefault="00FF50AB" w:rsidP="0021567A">
      <w:pPr>
        <w:jc w:val="center"/>
        <w:rPr>
          <w:b/>
          <w:bCs/>
        </w:rPr>
      </w:pPr>
      <w:bookmarkStart w:id="14" w:name="bookmark_20"/>
      <w:r w:rsidRPr="00FF50AB">
        <w:rPr>
          <w:b/>
          <w:bCs/>
        </w:rPr>
        <w:lastRenderedPageBreak/>
        <w:t>ОРГАНИЗАЦИЯ ОБЪЕДИНЕННЫХ НАЦИЙ</w:t>
      </w:r>
      <w:bookmarkEnd w:id="14"/>
    </w:p>
    <w:p w:rsidR="00FF50AB" w:rsidRPr="00FF50AB" w:rsidRDefault="00FF50AB" w:rsidP="00FF50AB">
      <w:pPr>
        <w:pStyle w:val="SingleTxtGR"/>
      </w:pPr>
      <w:bookmarkStart w:id="15" w:name="bookmark_21"/>
      <w:r w:rsidRPr="00FF50AB">
        <w:br w:type="page"/>
      </w:r>
      <w:bookmarkEnd w:id="15"/>
      <w:r w:rsidRPr="00FF50AB">
        <w:rPr>
          <w:i/>
        </w:rPr>
        <w:lastRenderedPageBreak/>
        <w:t>Пункт 10.1</w:t>
      </w:r>
      <w:r w:rsidRPr="00FF50AB">
        <w:t xml:space="preserve"> изменить следующим образом: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«10.1</w:t>
      </w:r>
      <w:r w:rsidRPr="00FF50AB">
        <w:tab/>
      </w:r>
      <w:r w:rsidRPr="00FF50AB">
        <w:tab/>
        <w:t>Предупреждающие треугольники изготавливают таким образом, чтобы они соответствовали типу, официально утвержденному на основании настоящих Правил.</w:t>
      </w:r>
    </w:p>
    <w:p w:rsidR="00FF50AB" w:rsidRPr="00FF50AB" w:rsidRDefault="00FF50AB" w:rsidP="00890F73">
      <w:pPr>
        <w:pStyle w:val="SingleTxtGR"/>
        <w:ind w:left="2268" w:hanging="1134"/>
      </w:pPr>
      <w:r w:rsidRPr="00FF50AB">
        <w:tab/>
      </w:r>
      <w:r w:rsidRPr="00FF50AB">
        <w:tab/>
        <w:t>Проверку соблюдения требований, изложенных в пунктах 6, 7 и 8</w:t>
      </w:r>
      <w:r w:rsidR="00890F73">
        <w:rPr>
          <w:lang w:val="en-US"/>
        </w:rPr>
        <w:t> </w:t>
      </w:r>
      <w:r w:rsidRPr="00FF50AB">
        <w:t>выше, проводят следующим образом:».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rPr>
          <w:i/>
        </w:rPr>
        <w:t>Пункт 10.1.2</w:t>
      </w:r>
      <w:r w:rsidRPr="00FF50AB">
        <w:t xml:space="preserve"> изменить следующим образом: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«10.1.2</w:t>
      </w:r>
      <w:r w:rsidRPr="00FF50AB">
        <w:tab/>
        <w:t>Должны соблюдаться минимальные требования в отношении процедур контроля за соответствием производства (СП), установленные в приложении 7 к настоящим Правилам».</w:t>
      </w:r>
    </w:p>
    <w:p w:rsidR="00FF50AB" w:rsidRPr="00FF50AB" w:rsidRDefault="00FF50AB" w:rsidP="0021567A">
      <w:pPr>
        <w:pStyle w:val="SingleTxtGR"/>
        <w:ind w:left="2268" w:hanging="1134"/>
        <w:rPr>
          <w:i/>
        </w:rPr>
      </w:pPr>
      <w:r w:rsidRPr="00FF50AB">
        <w:rPr>
          <w:i/>
        </w:rPr>
        <w:t>Приложение 8</w:t>
      </w:r>
    </w:p>
    <w:p w:rsidR="00FF50AB" w:rsidRPr="00FF50AB" w:rsidRDefault="00FF50AB" w:rsidP="0021567A">
      <w:pPr>
        <w:pStyle w:val="SingleTxtGR"/>
        <w:ind w:left="2268" w:hanging="1134"/>
        <w:rPr>
          <w:i/>
        </w:rPr>
      </w:pPr>
      <w:r w:rsidRPr="00FF50AB">
        <w:rPr>
          <w:i/>
        </w:rPr>
        <w:t xml:space="preserve">Пункты 2−4 и рис. 1 </w:t>
      </w:r>
      <w:r w:rsidRPr="00FF50AB">
        <w:t>исключить</w:t>
      </w:r>
      <w:r w:rsidRPr="00FF50AB">
        <w:rPr>
          <w:i/>
        </w:rPr>
        <w:t>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rPr>
          <w:i/>
        </w:rPr>
        <w:t>Включить новые пункты 2−6</w:t>
      </w:r>
      <w:r w:rsidRPr="00FF50AB">
        <w:t xml:space="preserve"> следующего содержания: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«2.</w:t>
      </w:r>
      <w:r w:rsidRPr="00FF50AB">
        <w:tab/>
      </w:r>
      <w:r w:rsidRPr="00FF50AB">
        <w:tab/>
        <w:t>Первый отбор образцов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В ходе первого отбора образцов произвольно выбирают четыре предупреждающих треугольника. Первую выборку из двух образцов обозначают буквой A, а вторую выборку из двух образцов − буквой B.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2.1</w:t>
      </w:r>
      <w:r w:rsidRPr="00FF50AB">
        <w:tab/>
      </w:r>
      <w:r w:rsidRPr="00FF50AB">
        <w:tab/>
        <w:t>Соответствие производства серийных предупреждающих треугольников считается доказанным, если отклонение любого образца из выборок A и B (всех четырех предупреждающих треугольников) не превышает 20%.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В том случае, если отклонение обоих предупреждающих треугольников из выборки А не превышает 0%, измерения могут быть прекращены.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2.2</w:t>
      </w:r>
      <w:r w:rsidRPr="00FF50AB">
        <w:tab/>
      </w:r>
      <w:r w:rsidRPr="00FF50AB">
        <w:tab/>
        <w:t>Соответствие производства серийных предупреждающих треугольников не считается доказанным, если отклонение по крайней мере одного образца из выборки А или В превышает 20%.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Изготовителю предлагают обеспечить соответствие производства предъявляемым требованиям (привести его в соответствие с этими требованиями) и проводят повторный отбор образцов согласно пункту 3 ниже в течение двух месяцев после уведомления. Выборки A и B хранятся в технической службе до завершения всего процесса СП.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3.</w:t>
      </w:r>
      <w:r w:rsidRPr="00FF50AB">
        <w:tab/>
      </w:r>
      <w:r w:rsidRPr="00FF50AB">
        <w:tab/>
        <w:t>Первый повторный отбор образцов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предупреждающих треугольников.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 xml:space="preserve">Первую выборку из двух образцов обозначают буквой </w:t>
      </w:r>
      <w:r w:rsidRPr="00FF50AB">
        <w:rPr>
          <w:lang w:val="en-US"/>
        </w:rPr>
        <w:t>C</w:t>
      </w:r>
      <w:r w:rsidRPr="00FF50AB">
        <w:t xml:space="preserve">, а вторую выборку из двух образцов − буквой </w:t>
      </w:r>
      <w:r w:rsidRPr="00FF50AB">
        <w:rPr>
          <w:lang w:val="en-US"/>
        </w:rPr>
        <w:t>D</w:t>
      </w:r>
      <w:r w:rsidRPr="00FF50AB">
        <w:t>.</w:t>
      </w:r>
    </w:p>
    <w:p w:rsidR="00FF50AB" w:rsidRPr="00FF50AB" w:rsidRDefault="00FF50AB" w:rsidP="005D25D9">
      <w:pPr>
        <w:pStyle w:val="SingleTxtGR"/>
        <w:ind w:left="2268" w:hanging="1134"/>
      </w:pPr>
      <w:r w:rsidRPr="00FF50AB">
        <w:t>3.1</w:t>
      </w:r>
      <w:r w:rsidRPr="00FF50AB">
        <w:tab/>
      </w:r>
      <w:r w:rsidRPr="00FF50AB">
        <w:tab/>
        <w:t xml:space="preserve">Соответствие серийных предупреждающих треугольников считается доказанным, если отклонение любого образца из выборок </w:t>
      </w:r>
      <w:r w:rsidRPr="00FF50AB">
        <w:rPr>
          <w:lang w:val="en-US"/>
        </w:rPr>
        <w:t>C</w:t>
      </w:r>
      <w:r w:rsidR="00D65589">
        <w:t xml:space="preserve"> и </w:t>
      </w:r>
      <w:r w:rsidRPr="00FF50AB">
        <w:rPr>
          <w:lang w:val="en-US"/>
        </w:rPr>
        <w:t>D</w:t>
      </w:r>
      <w:r w:rsidR="00D65589">
        <w:t> </w:t>
      </w:r>
      <w:r w:rsidRPr="00FF50AB">
        <w:t>(всех четырех предупреждающих треугольников) не пре</w:t>
      </w:r>
      <w:r w:rsidR="00D65589">
        <w:t>вышает </w:t>
      </w:r>
      <w:r w:rsidRPr="00FF50AB">
        <w:t>20%.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В том случае, если отклонение обоих предупреждающих треугольников из выборки С не превышает 0%, измерения могут быть прекращены.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3.2</w:t>
      </w:r>
      <w:r w:rsidRPr="00FF50AB">
        <w:tab/>
      </w:r>
      <w:r w:rsidRPr="00FF50AB">
        <w:tab/>
        <w:t>Соответствие производства серийных предупреждающих треугольников не считается доказанным, если отклонение по крайней мере</w:t>
      </w:r>
      <w:r w:rsidR="005D25D9">
        <w:t>: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lastRenderedPageBreak/>
        <w:t>3.2.1</w:t>
      </w:r>
      <w:r w:rsidRPr="00FF50AB">
        <w:tab/>
      </w:r>
      <w:r w:rsidRPr="00FF50AB">
        <w:tab/>
        <w:t xml:space="preserve">одного образца из выборки </w:t>
      </w:r>
      <w:r w:rsidRPr="00FF50AB">
        <w:rPr>
          <w:lang w:val="en-US"/>
        </w:rPr>
        <w:t>C</w:t>
      </w:r>
      <w:r w:rsidRPr="00FF50AB">
        <w:t xml:space="preserve"> или </w:t>
      </w:r>
      <w:r w:rsidRPr="00FF50AB">
        <w:rPr>
          <w:lang w:val="en-US"/>
        </w:rPr>
        <w:t>D</w:t>
      </w:r>
      <w:r w:rsidRPr="00FF50AB">
        <w:t xml:space="preserve"> превышает 20%, но отклонение всех образцов из этих выборок не превышает 30%.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Изготовителю предлагают вновь обеспечить соответствие производства предъявляемым требованиям (привести его в соответствие с этими требованиями).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 xml:space="preserve">Проводят второй повторный отбор образцов согласно пункту 4 ниже в течение двух месяцев после уведомления. Выборки </w:t>
      </w:r>
      <w:r w:rsidRPr="00FF50AB">
        <w:rPr>
          <w:lang w:val="en-US"/>
        </w:rPr>
        <w:t>C</w:t>
      </w:r>
      <w:r w:rsidRPr="00FF50AB">
        <w:t xml:space="preserve"> и </w:t>
      </w:r>
      <w:r w:rsidRPr="00FF50AB">
        <w:rPr>
          <w:lang w:val="en-US"/>
        </w:rPr>
        <w:t>D</w:t>
      </w:r>
      <w:r w:rsidRPr="00FF50AB">
        <w:t xml:space="preserve"> хранятся в технической службе до завершения всего процесса СП;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3.2.2</w:t>
      </w:r>
      <w:r w:rsidRPr="00FF50AB">
        <w:tab/>
      </w:r>
      <w:r w:rsidRPr="00FF50AB">
        <w:tab/>
        <w:t xml:space="preserve">одного образца из выборок </w:t>
      </w:r>
      <w:r w:rsidRPr="00FF50AB">
        <w:rPr>
          <w:lang w:val="en-US"/>
        </w:rPr>
        <w:t>C</w:t>
      </w:r>
      <w:r w:rsidRPr="00FF50AB">
        <w:t xml:space="preserve"> и </w:t>
      </w:r>
      <w:r w:rsidRPr="00FF50AB">
        <w:rPr>
          <w:lang w:val="en-US"/>
        </w:rPr>
        <w:t>D</w:t>
      </w:r>
      <w:r w:rsidRPr="00FF50AB">
        <w:t xml:space="preserve"> превышает 30%.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В таком случае официальное утверждение отменяют и применяют пункт 5 ниже.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4.</w:t>
      </w:r>
      <w:r w:rsidRPr="00FF50AB">
        <w:tab/>
      </w:r>
      <w:r w:rsidRPr="00FF50AB">
        <w:tab/>
        <w:t>Второй повторный отбор образцов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предупреждающих треугольников.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 xml:space="preserve">Первую выборку из двух образцов обозначают буквой </w:t>
      </w:r>
      <w:r w:rsidRPr="00FF50AB">
        <w:rPr>
          <w:lang w:val="en-US"/>
        </w:rPr>
        <w:t>E</w:t>
      </w:r>
      <w:r w:rsidRPr="00FF50AB">
        <w:t xml:space="preserve">, а вторую выборку из двух образцов − буквой </w:t>
      </w:r>
      <w:r w:rsidRPr="00FF50AB">
        <w:rPr>
          <w:lang w:val="en-US"/>
        </w:rPr>
        <w:t>F</w:t>
      </w:r>
      <w:r w:rsidRPr="00FF50AB">
        <w:t>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4.1</w:t>
      </w:r>
      <w:r w:rsidRPr="00FF50AB">
        <w:tab/>
      </w:r>
      <w:r w:rsidRPr="00FF50AB">
        <w:tab/>
        <w:t xml:space="preserve">Соответствие производства серийных предупреждающих треугольников считается доказанным, если отклонение любого образца из выборок </w:t>
      </w:r>
      <w:r w:rsidRPr="00FF50AB">
        <w:rPr>
          <w:lang w:val="en-US"/>
        </w:rPr>
        <w:t>E</w:t>
      </w:r>
      <w:r w:rsidRPr="00FF50AB">
        <w:t xml:space="preserve"> и </w:t>
      </w:r>
      <w:r w:rsidRPr="00FF50AB">
        <w:rPr>
          <w:lang w:val="en-US"/>
        </w:rPr>
        <w:t>F</w:t>
      </w:r>
      <w:r w:rsidRPr="00FF50AB">
        <w:t xml:space="preserve"> (всех четырех предупреждающих треугольников) не превышает 20%. 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 xml:space="preserve">В том случае, если отклонение обоих предупреждающих треугольников из выборки </w:t>
      </w:r>
      <w:r w:rsidRPr="00FF50AB">
        <w:rPr>
          <w:lang w:val="en-US"/>
        </w:rPr>
        <w:t>E</w:t>
      </w:r>
      <w:r w:rsidRPr="00FF50AB">
        <w:t xml:space="preserve"> не превышает 0%, измерения могут быть прекращены.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4.2</w:t>
      </w:r>
      <w:r w:rsidRPr="00FF50AB">
        <w:tab/>
      </w:r>
      <w:r w:rsidRPr="00FF50AB">
        <w:tab/>
        <w:t xml:space="preserve">Соответствие производства серийных предупреждающих треугольников не считается доказанным, если отклонение по крайней мере одного образца из выборки </w:t>
      </w:r>
      <w:r w:rsidRPr="00FF50AB">
        <w:rPr>
          <w:lang w:val="en-US"/>
        </w:rPr>
        <w:t>E</w:t>
      </w:r>
      <w:r w:rsidRPr="00FF50AB">
        <w:t xml:space="preserve"> или </w:t>
      </w:r>
      <w:r w:rsidRPr="00FF50AB">
        <w:rPr>
          <w:lang w:val="en-US"/>
        </w:rPr>
        <w:t>F</w:t>
      </w:r>
      <w:r w:rsidRPr="00FF50AB">
        <w:t xml:space="preserve"> превышает 20%.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В таком случае официальное утверждение отменяют и применяют пункт 5 ниже.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5.</w:t>
      </w:r>
      <w:r w:rsidRPr="00FF50AB">
        <w:tab/>
      </w:r>
      <w:r w:rsidRPr="00FF50AB">
        <w:tab/>
        <w:t>Отмена официального утверждения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Официальное утверждение отменяют в соответствии с пунктом 9 настоящих Правил.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>6.</w:t>
      </w:r>
      <w:r w:rsidRPr="00FF50AB">
        <w:tab/>
      </w:r>
      <w:r w:rsidRPr="00FF50AB">
        <w:tab/>
        <w:t>Дополнительные испытания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Для проверки на предмет обычного применения используют следующие процедуры: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Один дополнительный предупреждающий треугольник подвергают испытанию в соответствии с процедурами, описание которых приведено в пунктах 1.5.3−1.8.3 приложения 5.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>Предупреждающие треугольники считаются приемлемыми, если они выдерживают испытания.</w:t>
      </w:r>
    </w:p>
    <w:p w:rsidR="00FF50AB" w:rsidRPr="00FF50AB" w:rsidRDefault="00FF50AB" w:rsidP="0021567A">
      <w:pPr>
        <w:pStyle w:val="SingleTxtGR"/>
        <w:ind w:left="2268" w:hanging="1134"/>
      </w:pPr>
      <w:r w:rsidRPr="00FF50AB">
        <w:tab/>
      </w:r>
      <w:r w:rsidRPr="00FF50AB">
        <w:tab/>
        <w:t xml:space="preserve">Однако если результаты испытания для данной выборки оказываются неудовлетворительными, то такой же процедуре подвергают два других дополнительных предупреждающих треугольника, причем оба должны выдержать испытания». </w:t>
      </w:r>
    </w:p>
    <w:p w:rsidR="00FF50AB" w:rsidRPr="00890F73" w:rsidRDefault="00890F73" w:rsidP="00890F7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1567A">
      <w:pPr>
        <w:pStyle w:val="SingleTxtGR"/>
        <w:ind w:left="2268" w:hanging="1134"/>
      </w:pPr>
    </w:p>
    <w:sectPr w:rsidR="00E12C5F" w:rsidRPr="008D53B6" w:rsidSect="008951A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D99" w:rsidRPr="00A312BC" w:rsidRDefault="00BE5D99" w:rsidP="00A312BC"/>
  </w:endnote>
  <w:endnote w:type="continuationSeparator" w:id="0">
    <w:p w:rsidR="00BE5D99" w:rsidRPr="00A312BC" w:rsidRDefault="00BE5D9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AA" w:rsidRPr="008951AA" w:rsidRDefault="008951AA">
    <w:pPr>
      <w:pStyle w:val="Footer"/>
    </w:pPr>
    <w:r w:rsidRPr="008951AA">
      <w:rPr>
        <w:b/>
        <w:sz w:val="18"/>
      </w:rPr>
      <w:fldChar w:fldCharType="begin"/>
    </w:r>
    <w:r w:rsidRPr="008951AA">
      <w:rPr>
        <w:b/>
        <w:sz w:val="18"/>
      </w:rPr>
      <w:instrText xml:space="preserve"> PAGE  \* MERGEFORMAT </w:instrText>
    </w:r>
    <w:r w:rsidRPr="008951AA">
      <w:rPr>
        <w:b/>
        <w:sz w:val="18"/>
      </w:rPr>
      <w:fldChar w:fldCharType="separate"/>
    </w:r>
    <w:r w:rsidR="009B5734">
      <w:rPr>
        <w:b/>
        <w:noProof/>
        <w:sz w:val="18"/>
      </w:rPr>
      <w:t>2</w:t>
    </w:r>
    <w:r w:rsidRPr="008951AA">
      <w:rPr>
        <w:b/>
        <w:sz w:val="18"/>
      </w:rPr>
      <w:fldChar w:fldCharType="end"/>
    </w:r>
    <w:r>
      <w:rPr>
        <w:b/>
        <w:sz w:val="18"/>
      </w:rPr>
      <w:tab/>
    </w:r>
    <w:r>
      <w:t>GE.17-21657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AA" w:rsidRPr="008951AA" w:rsidRDefault="008951AA" w:rsidP="008951AA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GE.17-21657</w:t>
    </w:r>
    <w:r>
      <w:tab/>
    </w:r>
    <w:r w:rsidRPr="008951AA">
      <w:rPr>
        <w:b/>
        <w:sz w:val="18"/>
      </w:rPr>
      <w:fldChar w:fldCharType="begin"/>
    </w:r>
    <w:r w:rsidRPr="008951AA">
      <w:rPr>
        <w:b/>
        <w:sz w:val="18"/>
      </w:rPr>
      <w:instrText xml:space="preserve"> PAGE  \* MERGEFORMAT </w:instrText>
    </w:r>
    <w:r w:rsidRPr="008951AA">
      <w:rPr>
        <w:b/>
        <w:sz w:val="18"/>
      </w:rPr>
      <w:fldChar w:fldCharType="separate"/>
    </w:r>
    <w:r w:rsidR="009B5734">
      <w:rPr>
        <w:b/>
        <w:noProof/>
        <w:sz w:val="18"/>
      </w:rPr>
      <w:t>3</w:t>
    </w:r>
    <w:r w:rsidRPr="008951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951AA" w:rsidRDefault="008951AA" w:rsidP="008951AA">
    <w:pPr>
      <w:spacing w:before="120" w:line="240" w:lineRule="auto"/>
    </w:pPr>
    <w:r>
      <w:t>GE.</w:t>
    </w:r>
    <w:r w:rsidR="00DF71B9">
      <w:rPr>
        <w:b/>
        <w:noProof/>
      </w:rPr>
      <w:drawing>
        <wp:anchor distT="0" distB="0" distL="114300" distR="114300" simplePos="0" relativeHeight="251658240" behindDoc="0" locked="0" layoutInCell="1" allowOverlap="1" wp14:anchorId="451950E7" wp14:editId="774181F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17-21657  (R)</w:t>
    </w:r>
    <w:r>
      <w:rPr>
        <w:lang w:val="en-US"/>
      </w:rPr>
      <w:t xml:space="preserve">  180118  190118</w:t>
    </w:r>
    <w:r>
      <w:br/>
    </w:r>
    <w:r w:rsidRPr="008951AA">
      <w:rPr>
        <w:rFonts w:ascii="C39T30Lfz" w:hAnsi="C39T30Lfz"/>
        <w:spacing w:val="0"/>
        <w:w w:val="100"/>
        <w:sz w:val="56"/>
      </w:rPr>
      <w:t></w:t>
    </w:r>
    <w:r w:rsidRPr="008951AA">
      <w:rPr>
        <w:rFonts w:ascii="C39T30Lfz" w:hAnsi="C39T30Lfz"/>
        <w:spacing w:val="0"/>
        <w:w w:val="100"/>
        <w:sz w:val="56"/>
      </w:rPr>
      <w:t></w:t>
    </w:r>
    <w:r w:rsidRPr="008951AA">
      <w:rPr>
        <w:rFonts w:ascii="C39T30Lfz" w:hAnsi="C39T30Lfz"/>
        <w:spacing w:val="0"/>
        <w:w w:val="100"/>
        <w:sz w:val="56"/>
      </w:rPr>
      <w:t></w:t>
    </w:r>
    <w:r w:rsidRPr="008951AA">
      <w:rPr>
        <w:rFonts w:ascii="C39T30Lfz" w:hAnsi="C39T30Lfz"/>
        <w:spacing w:val="0"/>
        <w:w w:val="100"/>
        <w:sz w:val="56"/>
      </w:rPr>
      <w:t></w:t>
    </w:r>
    <w:r w:rsidRPr="008951AA">
      <w:rPr>
        <w:rFonts w:ascii="C39T30Lfz" w:hAnsi="C39T30Lfz"/>
        <w:spacing w:val="0"/>
        <w:w w:val="100"/>
        <w:sz w:val="56"/>
      </w:rPr>
      <w:t></w:t>
    </w:r>
    <w:r w:rsidRPr="008951AA">
      <w:rPr>
        <w:rFonts w:ascii="C39T30Lfz" w:hAnsi="C39T30Lfz"/>
        <w:spacing w:val="0"/>
        <w:w w:val="100"/>
        <w:sz w:val="56"/>
      </w:rPr>
      <w:t></w:t>
    </w:r>
    <w:r w:rsidRPr="008951AA">
      <w:rPr>
        <w:rFonts w:ascii="C39T30Lfz" w:hAnsi="C39T30Lfz"/>
        <w:spacing w:val="0"/>
        <w:w w:val="100"/>
        <w:sz w:val="56"/>
      </w:rPr>
      <w:t></w:t>
    </w:r>
    <w:r w:rsidRPr="008951AA">
      <w:rPr>
        <w:rFonts w:ascii="C39T30Lfz" w:hAnsi="C39T30Lfz"/>
        <w:spacing w:val="0"/>
        <w:w w:val="100"/>
        <w:sz w:val="56"/>
      </w:rPr>
      <w:t></w:t>
    </w:r>
    <w:r w:rsidRPr="008951A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2174" cy="642174"/>
          <wp:effectExtent l="0" t="0" r="5715" b="5715"/>
          <wp:wrapNone/>
          <wp:docPr id="1" name="Рисунок 1" descr="https://undocs.org/m2/QRCode.ashx?DS=E/ECE/324/Rev.1/Add.26/Rev.2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26/Rev.2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74" cy="64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D99" w:rsidRPr="001075E9" w:rsidRDefault="00BE5D9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E5D99" w:rsidRDefault="00BE5D9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F50AB" w:rsidRPr="00EF1510" w:rsidRDefault="00FF50AB" w:rsidP="00FF50AB">
      <w:pPr>
        <w:pStyle w:val="FootnoteText"/>
        <w:rPr>
          <w:lang w:val="ru-RU"/>
        </w:rPr>
      </w:pPr>
      <w:bookmarkStart w:id="5" w:name="footnoteBookmark_9"/>
      <w:r>
        <w:rPr>
          <w:lang w:val="ru-RU"/>
        </w:rPr>
        <w:tab/>
      </w:r>
      <w:r w:rsidRPr="0021567A">
        <w:rPr>
          <w:sz w:val="20"/>
          <w:lang w:val="ru-RU"/>
        </w:rPr>
        <w:t>*</w:t>
      </w:r>
      <w:r>
        <w:rPr>
          <w:lang w:val="ru-RU"/>
        </w:rPr>
        <w:tab/>
        <w:t>Прежние названия Соглашения:</w:t>
      </w:r>
      <w:bookmarkEnd w:id="5"/>
    </w:p>
    <w:p w:rsidR="00B2329F" w:rsidRDefault="00FF50AB" w:rsidP="00B2329F">
      <w:pPr>
        <w:pStyle w:val="FootnoteText"/>
        <w:rPr>
          <w:lang w:val="en-US"/>
        </w:rPr>
      </w:pPr>
      <w:bookmarkStart w:id="6" w:name="footnoteBookmark_10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  <w:bookmarkStart w:id="7" w:name="footnoteBookmark_11"/>
      <w:bookmarkEnd w:id="6"/>
    </w:p>
    <w:p w:rsidR="00FF50AB" w:rsidRPr="00EF1510" w:rsidRDefault="00FF50AB" w:rsidP="00B2329F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 октября 1995 года (Пересмотр 2).</w:t>
      </w:r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AA" w:rsidRPr="008951AA" w:rsidRDefault="00E5435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B5734">
      <w:t>E/ECE/324/Rev.1/Add.26/Rev.2/Amend.1</w:t>
    </w:r>
    <w:r>
      <w:fldChar w:fldCharType="end"/>
    </w:r>
    <w:r w:rsidR="008951AA">
      <w:br/>
    </w:r>
    <w:r>
      <w:fldChar w:fldCharType="begin"/>
    </w:r>
    <w:r>
      <w:instrText xml:space="preserve"> KEYWORDS  \* MERGEFORMAT </w:instrText>
    </w:r>
    <w:r>
      <w:fldChar w:fldCharType="separate"/>
    </w:r>
    <w:r w:rsidR="009B5734">
      <w:t>E/ECE/TRANS/505/Rev.1/Add.26/Rev.2/Amend.1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AA" w:rsidRPr="008951AA" w:rsidRDefault="00E54350" w:rsidP="008951A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B5734">
      <w:t>E/ECE/324/Rev.1/Add.26/Rev.2/Amend.1</w:t>
    </w:r>
    <w:r>
      <w:fldChar w:fldCharType="end"/>
    </w:r>
    <w:r w:rsidR="008951AA">
      <w:br/>
    </w:r>
    <w:r>
      <w:fldChar w:fldCharType="begin"/>
    </w:r>
    <w:r>
      <w:instrText xml:space="preserve"> KEYWORDS  \* MERGEFORMAT </w:instrText>
    </w:r>
    <w:r>
      <w:fldChar w:fldCharType="separate"/>
    </w:r>
    <w:r w:rsidR="009B5734">
      <w:t>E/ECE/TRANS/505/Rev.1/Add.26/Rev.2/Amend.1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D9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567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25D9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C54F4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0F73"/>
    <w:rsid w:val="00894693"/>
    <w:rsid w:val="008951AA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5734"/>
    <w:rsid w:val="009C6FE6"/>
    <w:rsid w:val="009D7E7D"/>
    <w:rsid w:val="009F24E5"/>
    <w:rsid w:val="00A14DA8"/>
    <w:rsid w:val="00A312BC"/>
    <w:rsid w:val="00A60BDC"/>
    <w:rsid w:val="00A84021"/>
    <w:rsid w:val="00A84D35"/>
    <w:rsid w:val="00A917B3"/>
    <w:rsid w:val="00AB4B51"/>
    <w:rsid w:val="00B10CC7"/>
    <w:rsid w:val="00B2329F"/>
    <w:rsid w:val="00B36DF7"/>
    <w:rsid w:val="00B539E7"/>
    <w:rsid w:val="00B62458"/>
    <w:rsid w:val="00BC18B2"/>
    <w:rsid w:val="00BD33EE"/>
    <w:rsid w:val="00BE1CC7"/>
    <w:rsid w:val="00BE5D99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5589"/>
    <w:rsid w:val="00D90028"/>
    <w:rsid w:val="00D90138"/>
    <w:rsid w:val="00DD78D1"/>
    <w:rsid w:val="00DE32CD"/>
    <w:rsid w:val="00DF5767"/>
    <w:rsid w:val="00DF71B9"/>
    <w:rsid w:val="00E12C5F"/>
    <w:rsid w:val="00E54350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B532611-F21C-4597-97B6-B2881C0B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E/ECE/324/Rev.1/Add.26/Rev.2/Amend.1</vt:lpstr>
      <vt:lpstr>E/ECE/324/Rev.1/Add.26/Rev.2/Amend.1</vt:lpstr>
      <vt:lpstr>A/</vt:lpstr>
    </vt:vector>
  </TitlesOfParts>
  <Company>DCM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E/ECE/324/Rev.1/Add.26/Rev.2/Amend.1</dc:title>
  <dc:creator>Ekaterina SALYNSKAYA</dc:creator>
  <cp:keywords>E/ECE/TRANS/505/Rev.1/Add.26/Rev.2/Amend.1</cp:keywords>
  <cp:lastModifiedBy>Secretariat</cp:lastModifiedBy>
  <cp:revision>2</cp:revision>
  <cp:lastPrinted>2018-01-19T10:11:00Z</cp:lastPrinted>
  <dcterms:created xsi:type="dcterms:W3CDTF">2018-10-24T14:37:00Z</dcterms:created>
  <dcterms:modified xsi:type="dcterms:W3CDTF">2018-10-24T14:37:00Z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