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2A3EEF3" w:rsidR="0064636E" w:rsidRPr="00D47EEA" w:rsidRDefault="0064636E" w:rsidP="007615B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CD683D">
              <w:t>Rev.1/</w:t>
            </w:r>
            <w:r>
              <w:t>Add.</w:t>
            </w:r>
            <w:r w:rsidR="00CD683D">
              <w:t>18</w:t>
            </w:r>
            <w:r>
              <w:t>/Rev.</w:t>
            </w:r>
            <w:r w:rsidR="00CD683D">
              <w:t>7</w:t>
            </w:r>
            <w:r>
              <w:t>/</w:t>
            </w:r>
            <w:r w:rsidR="00D623A7">
              <w:t>Amend.</w:t>
            </w:r>
            <w:r w:rsidR="007615B4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683D">
              <w:t>Rev.1/</w:t>
            </w:r>
            <w:r w:rsidR="00841EB5">
              <w:t>Add.</w:t>
            </w:r>
            <w:r w:rsidR="00CD683D">
              <w:t>1</w:t>
            </w:r>
            <w:r w:rsidR="005E2617">
              <w:t>8</w:t>
            </w:r>
            <w:r w:rsidR="00841EB5">
              <w:t>/Rev.</w:t>
            </w:r>
            <w:r w:rsidR="00CD683D">
              <w:t>7</w:t>
            </w:r>
            <w:r w:rsidR="00841EB5">
              <w:t>/Amend.</w:t>
            </w:r>
            <w:r w:rsidR="007615B4">
              <w:t>5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97D002A" w:rsidR="00C84414" w:rsidRDefault="00FB6AB5" w:rsidP="007615B4">
            <w:pPr>
              <w:spacing w:before="120"/>
            </w:pPr>
            <w:r>
              <w:t>27 March</w:t>
            </w:r>
            <w:r w:rsidR="007615B4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674201A5" w14:textId="151663D5" w:rsidR="00307655" w:rsidRPr="00307655" w:rsidRDefault="00C711C7" w:rsidP="007615B4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307655">
        <w:tab/>
      </w:r>
      <w:r w:rsidR="00307655" w:rsidRPr="00213492">
        <w:t>Concerning the</w:t>
      </w:r>
      <w:r w:rsidR="00307655" w:rsidRPr="00213492">
        <w:rPr>
          <w:smallCaps/>
        </w:rPr>
        <w:t xml:space="preserve"> </w:t>
      </w:r>
      <w:r w:rsidR="00307655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307655" w:rsidRPr="00213492">
        <w:footnoteReference w:customMarkFollows="1" w:id="2"/>
        <w:t>*</w:t>
      </w:r>
    </w:p>
    <w:p w14:paraId="4870CED0" w14:textId="5204CA38" w:rsidR="00307655" w:rsidRPr="00392A12" w:rsidRDefault="00307655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D7F307A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D683D">
        <w:t>18</w:t>
      </w:r>
      <w:r>
        <w:t xml:space="preserve"> – </w:t>
      </w:r>
      <w:r w:rsidR="00FB6AB5">
        <w:t>UN Regulation No.</w:t>
      </w:r>
      <w:r w:rsidR="00271A7F">
        <w:t xml:space="preserve"> </w:t>
      </w:r>
      <w:r w:rsidR="00CD683D">
        <w:t>19</w:t>
      </w:r>
    </w:p>
    <w:p w14:paraId="4E272B2A" w14:textId="047C7F45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CD683D">
        <w:t>7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7615B4">
        <w:t>5</w:t>
      </w:r>
    </w:p>
    <w:p w14:paraId="4FAFC05A" w14:textId="2A9166C7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7615B4">
        <w:rPr>
          <w:spacing w:val="-2"/>
        </w:rPr>
        <w:t>10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5E2617">
        <w:rPr>
          <w:spacing w:val="-2"/>
        </w:rPr>
        <w:t>0</w:t>
      </w:r>
      <w:r w:rsidR="00CD683D">
        <w:rPr>
          <w:spacing w:val="-2"/>
        </w:rPr>
        <w:t>4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5E2617">
        <w:t xml:space="preserve">10 </w:t>
      </w:r>
      <w:r w:rsidR="007615B4">
        <w:t>February</w:t>
      </w:r>
      <w:r w:rsidR="005E2617">
        <w:t xml:space="preserve"> 201</w:t>
      </w:r>
      <w:r w:rsidR="007615B4">
        <w:t>8</w:t>
      </w:r>
    </w:p>
    <w:p w14:paraId="24730B39" w14:textId="459751F5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683D" w:rsidRPr="00CD683D">
        <w:rPr>
          <w:lang w:val="en-US"/>
        </w:rPr>
        <w:t>Uniform provisions concerning the approval of power-driven vehicle front fog lamps</w:t>
      </w:r>
    </w:p>
    <w:p w14:paraId="6C824AF8" w14:textId="255DAC8D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</w:t>
      </w:r>
      <w:bookmarkStart w:id="2" w:name="_GoBack"/>
      <w:bookmarkEnd w:id="2"/>
      <w:r w:rsidRPr="00B32121">
        <w:rPr>
          <w:spacing w:val="-4"/>
          <w:lang w:eastAsia="en-GB"/>
        </w:rPr>
        <w:t xml:space="preserve">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5E2617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7615B4">
        <w:rPr>
          <w:spacing w:val="-6"/>
          <w:lang w:eastAsia="en-GB"/>
        </w:rPr>
        <w:t>76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26D13658" w14:textId="28AD93B8" w:rsidR="00CD683D" w:rsidRPr="007615B4" w:rsidRDefault="000D3A4F" w:rsidP="007615B4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r w:rsidR="00D5540C">
        <w:br w:type="page"/>
      </w:r>
    </w:p>
    <w:p w14:paraId="36056D6B" w14:textId="77777777" w:rsidR="007615B4" w:rsidRPr="00CA0371" w:rsidRDefault="007615B4" w:rsidP="007615B4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i/>
          <w:lang w:val="en-US"/>
        </w:rPr>
      </w:pPr>
      <w:r w:rsidRPr="00CA0371">
        <w:rPr>
          <w:i/>
          <w:lang w:val="en-US"/>
        </w:rPr>
        <w:lastRenderedPageBreak/>
        <w:t xml:space="preserve">Paragraph 5.6., </w:t>
      </w:r>
      <w:r w:rsidRPr="00CA0371">
        <w:rPr>
          <w:lang w:val="en-US"/>
        </w:rPr>
        <w:t>amend to read:</w:t>
      </w:r>
    </w:p>
    <w:p w14:paraId="09438288" w14:textId="37F0F012" w:rsidR="007615B4" w:rsidRPr="00CA0371" w:rsidRDefault="007615B4" w:rsidP="007615B4">
      <w:pPr>
        <w:pStyle w:val="SingleTxtG"/>
        <w:ind w:left="2268" w:hanging="1134"/>
        <w:rPr>
          <w:bCs/>
          <w:strike/>
          <w:lang w:val="en-US"/>
        </w:rPr>
      </w:pPr>
      <w:r>
        <w:rPr>
          <w:lang w:val="en-US"/>
        </w:rPr>
        <w:t>"</w:t>
      </w:r>
      <w:r w:rsidRPr="00CA0371">
        <w:rPr>
          <w:lang w:val="en-US"/>
        </w:rPr>
        <w:t>5.6.</w:t>
      </w:r>
      <w:r w:rsidRPr="00CA0371">
        <w:rPr>
          <w:lang w:val="en-US"/>
        </w:rPr>
        <w:tab/>
      </w:r>
      <w:r w:rsidRPr="00CA0371">
        <w:rPr>
          <w:bCs/>
          <w:lang w:val="en-US"/>
        </w:rPr>
        <w:t>In the case of Class B, the front fog lamp shall only</w:t>
      </w:r>
      <w:r w:rsidRPr="00CA0371">
        <w:rPr>
          <w:b/>
          <w:bCs/>
          <w:lang w:val="en-US"/>
        </w:rPr>
        <w:t xml:space="preserve"> </w:t>
      </w:r>
      <w:r w:rsidRPr="00CA0371">
        <w:rPr>
          <w:bCs/>
          <w:lang w:val="en-US"/>
        </w:rPr>
        <w:t xml:space="preserve">be equipped with one filament light source approved according to </w:t>
      </w:r>
      <w:r w:rsidR="00FB6AB5">
        <w:rPr>
          <w:bCs/>
          <w:lang w:val="en-US"/>
        </w:rPr>
        <w:t>UN Regulation No.</w:t>
      </w:r>
      <w:r w:rsidRPr="00CA0371">
        <w:rPr>
          <w:bCs/>
          <w:lang w:val="en-US"/>
        </w:rPr>
        <w:t xml:space="preserve"> 37, even if the filament light source cannot be replaced. Any </w:t>
      </w:r>
      <w:r w:rsidR="00FB6AB5">
        <w:rPr>
          <w:bCs/>
          <w:lang w:val="en-US"/>
        </w:rPr>
        <w:t>UN Regulation No.</w:t>
      </w:r>
      <w:r w:rsidRPr="00CA0371">
        <w:rPr>
          <w:bCs/>
          <w:lang w:val="en-US"/>
        </w:rPr>
        <w:t> 37 approved filament light source may be used</w:t>
      </w:r>
      <w:r w:rsidRPr="00CA0371">
        <w:rPr>
          <w:b/>
          <w:bCs/>
          <w:lang w:val="en-US"/>
        </w:rPr>
        <w:t xml:space="preserve"> </w:t>
      </w:r>
      <w:r w:rsidRPr="00CA0371">
        <w:rPr>
          <w:bCs/>
          <w:lang w:val="en-US"/>
        </w:rPr>
        <w:t>provided</w:t>
      </w:r>
      <w:r w:rsidRPr="00CA0371">
        <w:rPr>
          <w:b/>
          <w:bCs/>
          <w:lang w:val="en-US"/>
        </w:rPr>
        <w:t xml:space="preserve"> </w:t>
      </w:r>
      <w:r w:rsidRPr="00CA0371">
        <w:rPr>
          <w:bCs/>
          <w:lang w:val="en-US"/>
        </w:rPr>
        <w:t>that;</w:t>
      </w:r>
      <w:r w:rsidRPr="00CA0371">
        <w:rPr>
          <w:bCs/>
          <w:strike/>
          <w:lang w:val="en-US"/>
        </w:rPr>
        <w:t xml:space="preserve"> </w:t>
      </w:r>
    </w:p>
    <w:p w14:paraId="7DF35B04" w14:textId="77777777" w:rsidR="007615B4" w:rsidRPr="00CA0371" w:rsidRDefault="007615B4" w:rsidP="007615B4">
      <w:pPr>
        <w:pStyle w:val="SingleTxtG"/>
        <w:ind w:left="2835" w:hanging="567"/>
        <w:rPr>
          <w:bCs/>
          <w:lang w:val="en-US"/>
        </w:rPr>
      </w:pPr>
      <w:r w:rsidRPr="00CA0371">
        <w:rPr>
          <w:bCs/>
          <w:lang w:val="en-US"/>
        </w:rPr>
        <w:t>(a)</w:t>
      </w:r>
      <w:r w:rsidRPr="00CA0371">
        <w:rPr>
          <w:bCs/>
          <w:lang w:val="en-US"/>
        </w:rPr>
        <w:tab/>
        <w:t>Its objective luminous flux does not exceed 2,000 lumens, and</w:t>
      </w:r>
    </w:p>
    <w:p w14:paraId="7BF7B0D2" w14:textId="3136B124" w:rsidR="007615B4" w:rsidRPr="000A0CDC" w:rsidRDefault="007615B4" w:rsidP="007615B4">
      <w:pPr>
        <w:pStyle w:val="a0"/>
      </w:pPr>
      <w:r w:rsidRPr="000A0CDC">
        <w:t>(b)</w:t>
      </w:r>
      <w:r w:rsidRPr="000A0CDC">
        <w:tab/>
        <w:t xml:space="preserve">No restriction on the use is made in </w:t>
      </w:r>
      <w:r w:rsidR="00FB6AB5">
        <w:t>UN Regulation No.</w:t>
      </w:r>
      <w:r w:rsidRPr="000A0CDC">
        <w:t> 37 and its series of amendments in force at the time of application for type approval.</w:t>
      </w:r>
    </w:p>
    <w:p w14:paraId="6847589B" w14:textId="77777777" w:rsidR="007615B4" w:rsidRPr="009706F3" w:rsidRDefault="007615B4" w:rsidP="007615B4">
      <w:pPr>
        <w:pStyle w:val="para"/>
      </w:pPr>
      <w:r w:rsidRPr="009706F3">
        <w:t>5.6.1.</w:t>
      </w:r>
      <w:r w:rsidRPr="009706F3">
        <w:tab/>
        <w:t xml:space="preserve">Even if this filament </w:t>
      </w:r>
      <w:r>
        <w:t xml:space="preserve">light source </w:t>
      </w:r>
      <w:r w:rsidRPr="009706F3">
        <w:t>cannot be replaced it shall comply with the requirements in paragraph 5.6. above.</w:t>
      </w:r>
      <w:r>
        <w:t>"</w:t>
      </w:r>
    </w:p>
    <w:p w14:paraId="141F16F1" w14:textId="77777777" w:rsidR="007615B4" w:rsidRPr="00CA0371" w:rsidRDefault="007615B4" w:rsidP="007615B4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val="en-US"/>
        </w:rPr>
      </w:pPr>
      <w:r w:rsidRPr="00CA0371">
        <w:rPr>
          <w:i/>
          <w:lang w:val="en-US"/>
        </w:rPr>
        <w:t xml:space="preserve">Paragraph 5.7., </w:t>
      </w:r>
      <w:r w:rsidRPr="00CA0371">
        <w:rPr>
          <w:lang w:val="en-US"/>
        </w:rPr>
        <w:t>amend to read:</w:t>
      </w:r>
    </w:p>
    <w:p w14:paraId="07BFCCDB" w14:textId="77777777" w:rsidR="007615B4" w:rsidRPr="00CA0371" w:rsidRDefault="007615B4" w:rsidP="007615B4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CA0371">
        <w:rPr>
          <w:lang w:val="en-US"/>
        </w:rPr>
        <w:t>5.7</w:t>
      </w:r>
      <w:r w:rsidRPr="00CA0371">
        <w:rPr>
          <w:i/>
          <w:lang w:val="en-US"/>
        </w:rPr>
        <w:t>.</w:t>
      </w:r>
      <w:r w:rsidRPr="00CA0371">
        <w:rPr>
          <w:i/>
          <w:lang w:val="en-US"/>
        </w:rPr>
        <w:tab/>
      </w:r>
      <w:r w:rsidRPr="00CA0371">
        <w:rPr>
          <w:lang w:val="en-US"/>
        </w:rPr>
        <w:t>In the case of Class F3, irrespective of whether the light sources can be replaced or not, the front fog lamp shall only be equipped with:</w:t>
      </w:r>
    </w:p>
    <w:p w14:paraId="6422B4F7" w14:textId="77777777" w:rsidR="007615B4" w:rsidRPr="00CA0371" w:rsidRDefault="007615B4" w:rsidP="007615B4">
      <w:pPr>
        <w:spacing w:after="120" w:line="240" w:lineRule="auto"/>
        <w:ind w:left="2268" w:right="1134" w:hanging="1134"/>
        <w:jc w:val="both"/>
        <w:rPr>
          <w:rFonts w:eastAsia="MS Mincho"/>
          <w:lang w:val="en-US"/>
        </w:rPr>
      </w:pPr>
      <w:r w:rsidRPr="00CA0371">
        <w:rPr>
          <w:rFonts w:eastAsia="MS Mincho"/>
          <w:lang w:val="en-US"/>
        </w:rPr>
        <w:t>5.7.1.</w:t>
      </w:r>
      <w:r w:rsidRPr="00CA0371">
        <w:rPr>
          <w:rFonts w:eastAsia="MS Mincho"/>
          <w:lang w:val="en-US"/>
        </w:rPr>
        <w:tab/>
        <w:t>One or more light sources approved according to:</w:t>
      </w:r>
    </w:p>
    <w:p w14:paraId="2285458B" w14:textId="1A367A50" w:rsidR="007615B4" w:rsidRPr="00CA0371" w:rsidRDefault="007615B4" w:rsidP="007615B4">
      <w:pPr>
        <w:spacing w:after="120" w:line="240" w:lineRule="auto"/>
        <w:ind w:left="2268" w:right="1134" w:hanging="1134"/>
        <w:jc w:val="both"/>
        <w:rPr>
          <w:rFonts w:eastAsia="MS Mincho"/>
          <w:lang w:val="en-US"/>
        </w:rPr>
      </w:pPr>
      <w:r w:rsidRPr="00CA0371">
        <w:rPr>
          <w:rFonts w:eastAsia="MS Mincho"/>
          <w:lang w:val="en-US"/>
        </w:rPr>
        <w:t>5.7.1.1.</w:t>
      </w:r>
      <w:r w:rsidRPr="00CA0371">
        <w:rPr>
          <w:rFonts w:eastAsia="MS Mincho"/>
          <w:lang w:val="en-US"/>
        </w:rPr>
        <w:tab/>
      </w:r>
      <w:r w:rsidR="00FB6AB5">
        <w:rPr>
          <w:rFonts w:eastAsia="MS Mincho"/>
          <w:lang w:val="en-US"/>
        </w:rPr>
        <w:t>UN Regulation No.</w:t>
      </w:r>
      <w:r w:rsidRPr="00CA0371">
        <w:rPr>
          <w:rFonts w:eastAsia="MS Mincho"/>
          <w:lang w:val="en-US"/>
        </w:rPr>
        <w:t xml:space="preserve"> 37 and its series of amendments in force at the time of application for type approval, provided that no restriction on their use is made,</w:t>
      </w:r>
    </w:p>
    <w:p w14:paraId="6DC9A8DB" w14:textId="36FF066F" w:rsidR="007615B4" w:rsidRPr="00CA0371" w:rsidRDefault="007615B4" w:rsidP="007615B4">
      <w:pPr>
        <w:spacing w:after="120" w:line="240" w:lineRule="auto"/>
        <w:ind w:left="2268" w:right="1134" w:hanging="1134"/>
        <w:jc w:val="both"/>
        <w:rPr>
          <w:rFonts w:eastAsia="MS Mincho"/>
          <w:lang w:val="en-US"/>
        </w:rPr>
      </w:pPr>
      <w:r w:rsidRPr="00CA0371">
        <w:rPr>
          <w:rFonts w:eastAsia="MS Mincho"/>
          <w:lang w:val="en-US"/>
        </w:rPr>
        <w:t>5.7.1.2.</w:t>
      </w:r>
      <w:r w:rsidRPr="00CA0371">
        <w:rPr>
          <w:rFonts w:eastAsia="MS Mincho"/>
          <w:lang w:val="en-US"/>
        </w:rPr>
        <w:tab/>
        <w:t xml:space="preserve">Or, </w:t>
      </w:r>
      <w:r w:rsidR="00FB6AB5">
        <w:rPr>
          <w:rFonts w:eastAsia="MS Mincho"/>
          <w:lang w:val="en-US"/>
        </w:rPr>
        <w:t>UN Regulation No.</w:t>
      </w:r>
      <w:r w:rsidRPr="00CA0371">
        <w:rPr>
          <w:rFonts w:eastAsia="MS Mincho"/>
          <w:lang w:val="en-US"/>
        </w:rPr>
        <w:t xml:space="preserve"> 99 and its series of amendments in force at the time of application for type approval,</w:t>
      </w:r>
    </w:p>
    <w:p w14:paraId="6D95CA45" w14:textId="6C5FBEB6" w:rsidR="00CD683D" w:rsidRDefault="007615B4" w:rsidP="00FB6AB5">
      <w:pPr>
        <w:spacing w:after="120" w:line="240" w:lineRule="auto"/>
        <w:ind w:left="2268" w:right="1134" w:hanging="1134"/>
        <w:jc w:val="both"/>
      </w:pPr>
      <w:r w:rsidRPr="00CA0371">
        <w:rPr>
          <w:rFonts w:eastAsia="MS Mincho"/>
          <w:lang w:val="en-US"/>
        </w:rPr>
        <w:t>5.7.2.</w:t>
      </w:r>
      <w:r w:rsidRPr="00CA0371">
        <w:rPr>
          <w:rFonts w:eastAsia="MS Mincho"/>
          <w:lang w:val="en-US"/>
        </w:rPr>
        <w:tab/>
        <w:t>And/or, one or more LED modules where the requirements of Annex 12 to this Regulation shall apply; compliance with these requirements shall be tested.</w:t>
      </w:r>
      <w:r>
        <w:rPr>
          <w:rFonts w:eastAsia="MS Mincho"/>
          <w:lang w:val="en-US"/>
        </w:rPr>
        <w:t>"</w:t>
      </w:r>
    </w:p>
    <w:p w14:paraId="267DA304" w14:textId="03B244C7" w:rsidR="00CD683D" w:rsidRPr="00AF2205" w:rsidRDefault="00CD683D" w:rsidP="00CD683D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C27A24">
        <w:rPr>
          <w:u w:val="single"/>
        </w:rPr>
        <w:tab/>
      </w:r>
    </w:p>
    <w:sectPr w:rsidR="00CD683D" w:rsidRPr="00AF2205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1FB359EF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5463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64451464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615B4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9E226EF" w14:textId="77777777" w:rsidR="00307655" w:rsidRDefault="00307655" w:rsidP="00307655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13FC4D82" w14:textId="77777777" w:rsidR="00307655" w:rsidRDefault="00307655" w:rsidP="00307655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1362DEC" w14:textId="77777777" w:rsidR="00307655" w:rsidRDefault="00307655" w:rsidP="00307655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16CDB705" w:rsidR="00B701B3" w:rsidRDefault="00B701B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CD683D">
      <w:t>1</w:t>
    </w:r>
    <w:r w:rsidR="005E2617">
      <w:t>8</w:t>
    </w:r>
    <w:r w:rsidRPr="00841EB5">
      <w:t>/Rev.</w:t>
    </w:r>
    <w:r w:rsidR="00CD683D">
      <w:t>7</w:t>
    </w:r>
    <w:r w:rsidRPr="00841EB5">
      <w:t>/Amend.</w:t>
    </w:r>
    <w:r w:rsidR="007615B4">
      <w:t>5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CD683D">
      <w:t>1</w:t>
    </w:r>
    <w:r w:rsidR="005E2617">
      <w:t>8</w:t>
    </w:r>
    <w:r w:rsidRPr="00841EB5">
      <w:t>/Rev.</w:t>
    </w:r>
    <w:r w:rsidR="00CD683D">
      <w:t>7</w:t>
    </w:r>
    <w:r w:rsidRPr="00841EB5">
      <w:t>/Amend.</w:t>
    </w:r>
    <w:r w:rsidR="007615B4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6661E7A" w:rsidR="00B701B3" w:rsidRDefault="00CD683D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18</w:t>
    </w:r>
    <w:r w:rsidRPr="00841EB5">
      <w:t>/Rev.</w:t>
    </w:r>
    <w:r>
      <w:t>7</w:t>
    </w:r>
    <w:r w:rsidRPr="00841EB5">
      <w:t>/Amend.</w:t>
    </w:r>
    <w:r w:rsidR="007615B4">
      <w:t>5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18</w:t>
    </w:r>
    <w:r w:rsidRPr="00841EB5">
      <w:t>/Rev.</w:t>
    </w:r>
    <w:r>
      <w:t>7</w:t>
    </w:r>
    <w:r w:rsidRPr="00841EB5">
      <w:t>/Amend.</w:t>
    </w:r>
    <w:r w:rsidR="007615B4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77F0D"/>
    <w:rsid w:val="002A1E3A"/>
    <w:rsid w:val="00307655"/>
    <w:rsid w:val="003107FA"/>
    <w:rsid w:val="00312E48"/>
    <w:rsid w:val="003229D8"/>
    <w:rsid w:val="0033745A"/>
    <w:rsid w:val="003450F4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C6C49"/>
    <w:rsid w:val="004E3FEB"/>
    <w:rsid w:val="00503228"/>
    <w:rsid w:val="00505384"/>
    <w:rsid w:val="005420F2"/>
    <w:rsid w:val="0054561B"/>
    <w:rsid w:val="00582B38"/>
    <w:rsid w:val="005A4FB3"/>
    <w:rsid w:val="005B3DB3"/>
    <w:rsid w:val="005E1409"/>
    <w:rsid w:val="005E2617"/>
    <w:rsid w:val="00611FC4"/>
    <w:rsid w:val="006176FB"/>
    <w:rsid w:val="00627ED0"/>
    <w:rsid w:val="00633BE3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615B4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4630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27A24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CF74C9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029FE"/>
    <w:rsid w:val="00F53EDA"/>
    <w:rsid w:val="00F55704"/>
    <w:rsid w:val="00F7753D"/>
    <w:rsid w:val="00F85F34"/>
    <w:rsid w:val="00FA06F7"/>
    <w:rsid w:val="00FB171A"/>
    <w:rsid w:val="00FB6AB5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307655"/>
    <w:rPr>
      <w:sz w:val="18"/>
      <w:lang w:eastAsia="en-US"/>
    </w:rPr>
  </w:style>
  <w:style w:type="paragraph" w:customStyle="1" w:styleId="Default">
    <w:name w:val="Default"/>
    <w:rsid w:val="007615B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Caillot</cp:lastModifiedBy>
  <cp:revision>3</cp:revision>
  <cp:lastPrinted>2015-05-06T11:39:00Z</cp:lastPrinted>
  <dcterms:created xsi:type="dcterms:W3CDTF">2018-03-27T12:46:00Z</dcterms:created>
  <dcterms:modified xsi:type="dcterms:W3CDTF">2018-03-27T12:46:00Z</dcterms:modified>
</cp:coreProperties>
</file>