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883B58" w14:paraId="352F3695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035DB7" w14:textId="77777777" w:rsidR="00CA0830" w:rsidRPr="00CA0830" w:rsidRDefault="00CA0830" w:rsidP="00CA0830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CA0830">
              <w:rPr>
                <w:sz w:val="40"/>
                <w:lang w:val="en-US"/>
              </w:rPr>
              <w:t>E</w:t>
            </w:r>
            <w:r w:rsidRPr="00CA0830">
              <w:rPr>
                <w:lang w:val="en-US"/>
              </w:rPr>
              <w:t>/ECE/324/Rev.1/Add.16/Rev.5/Amend.2−</w:t>
            </w:r>
            <w:r w:rsidRPr="00CA0830">
              <w:rPr>
                <w:sz w:val="40"/>
                <w:lang w:val="en-US"/>
              </w:rPr>
              <w:t>E</w:t>
            </w:r>
            <w:r w:rsidRPr="00CA0830">
              <w:rPr>
                <w:lang w:val="en-US"/>
              </w:rPr>
              <w:t>/ECE/TRANS/505/Rev.1/Add.16/Rev.5/Amend.2</w:t>
            </w:r>
          </w:p>
        </w:tc>
      </w:tr>
      <w:tr w:rsidR="00421A10" w:rsidRPr="00DB58B5" w14:paraId="4B212C7E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F4DCAC4" w14:textId="77777777" w:rsidR="00421A10" w:rsidRPr="00CA0830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668BCD6" w14:textId="77777777" w:rsidR="00421A10" w:rsidRPr="00DB58B5" w:rsidRDefault="00CA0830" w:rsidP="00A27C92">
            <w:pPr>
              <w:spacing w:before="480" w:line="240" w:lineRule="exact"/>
            </w:pPr>
            <w:r>
              <w:t>10 août 2018</w:t>
            </w:r>
          </w:p>
        </w:tc>
      </w:tr>
    </w:tbl>
    <w:p w14:paraId="52B4B3F1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7967FA0A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CA0830" w:rsidRPr="00CA0830">
        <w:t>de Règlements techniques harmonisés de l’ONU applicables aux véhicules à roues et aux équipements et pièces susceptibles d’être montés ou utilisés sur les véhicules à roues</w:t>
      </w:r>
      <w:r w:rsidR="0032269C">
        <w:t xml:space="preserve"> </w:t>
      </w:r>
      <w:r w:rsidR="00194293">
        <w:br/>
      </w:r>
      <w:r w:rsidR="00CA0830" w:rsidRPr="00CA0830">
        <w:t>et les conditions de reconnaissance réciproque</w:t>
      </w:r>
      <w:r w:rsidR="00194293">
        <w:t xml:space="preserve"> </w:t>
      </w:r>
      <w:r w:rsidR="00CA0830" w:rsidRPr="00CA0830">
        <w:t>des homologations</w:t>
      </w:r>
      <w:r w:rsidR="00194293">
        <w:t xml:space="preserve"> </w:t>
      </w:r>
      <w:r w:rsidR="00CA0830" w:rsidRPr="00CA0830">
        <w:t>délivrées conformément à ces Règlements</w:t>
      </w:r>
      <w:r w:rsidR="00CA0830" w:rsidRPr="00CA0830">
        <w:rPr>
          <w:b w:val="0"/>
          <w:sz w:val="20"/>
        </w:rPr>
        <w:footnoteReference w:customMarkFollows="1" w:id="2"/>
        <w:t>*</w:t>
      </w:r>
    </w:p>
    <w:p w14:paraId="24F05B81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CA0830" w:rsidRPr="00CA0830">
        <w:t>3, comprenant les amendements entrés en vigueur le 14 septembre 2017</w:t>
      </w:r>
      <w:r w:rsidRPr="006549FF">
        <w:t>)</w:t>
      </w:r>
    </w:p>
    <w:p w14:paraId="33F31FBB" w14:textId="77777777" w:rsidR="00421A10" w:rsidRPr="006549FF" w:rsidRDefault="0029791D" w:rsidP="0029791D">
      <w:pPr>
        <w:jc w:val="center"/>
      </w:pPr>
      <w:r>
        <w:t>_______________</w:t>
      </w:r>
    </w:p>
    <w:p w14:paraId="111527CC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FC1435">
        <w:t>16</w:t>
      </w:r>
      <w:r w:rsidR="0032269C">
        <w:t>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FC1435">
        <w:t>17</w:t>
      </w:r>
    </w:p>
    <w:p w14:paraId="73A46EEF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836697" w:rsidRPr="00836697">
        <w:t xml:space="preserve">5 </w:t>
      </w:r>
      <w:r w:rsidR="0032269C">
        <w:t>−</w:t>
      </w:r>
      <w:r w:rsidR="00836697" w:rsidRPr="00836697">
        <w:t xml:space="preserve"> Amendement 2</w:t>
      </w:r>
    </w:p>
    <w:p w14:paraId="0640BF03" w14:textId="77777777" w:rsidR="00421A10" w:rsidRPr="0029791D" w:rsidRDefault="00836697" w:rsidP="00836697">
      <w:pPr>
        <w:pStyle w:val="SingleTxtG"/>
        <w:spacing w:after="0"/>
      </w:pPr>
      <w:r w:rsidRPr="00836697">
        <w:t>Complément 4 à la série 08 d’amendements</w:t>
      </w:r>
      <w:r w:rsidR="0032269C">
        <w:t xml:space="preserve"> −</w:t>
      </w:r>
      <w:r w:rsidRPr="00836697">
        <w:t xml:space="preserve"> Date d’entrée en vigueur : 19</w:t>
      </w:r>
      <w:r>
        <w:t xml:space="preserve"> juillet </w:t>
      </w:r>
      <w:r w:rsidRPr="00836697">
        <w:t>2018</w:t>
      </w:r>
    </w:p>
    <w:p w14:paraId="7CEC970D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A33A74">
        <w:t>à l’</w:t>
      </w:r>
      <w:r w:rsidR="00836697" w:rsidRPr="00836697">
        <w:t xml:space="preserve">homologation des véhicules </w:t>
      </w:r>
      <w:r w:rsidR="00A33A74">
        <w:br/>
      </w:r>
      <w:r w:rsidR="00836697" w:rsidRPr="00836697">
        <w:t xml:space="preserve">en ce qui concerne les sièges, leur ancrage et </w:t>
      </w:r>
      <w:proofErr w:type="gramStart"/>
      <w:r w:rsidR="00836697" w:rsidRPr="00836697">
        <w:t>les appuie-tête</w:t>
      </w:r>
      <w:proofErr w:type="gramEnd"/>
    </w:p>
    <w:p w14:paraId="1B6BBA12" w14:textId="77777777" w:rsidR="00836697" w:rsidRDefault="00836697" w:rsidP="00836697">
      <w:pPr>
        <w:pStyle w:val="SingleTxtG"/>
        <w:rPr>
          <w:spacing w:val="-6"/>
          <w:lang w:eastAsia="en-GB"/>
        </w:rPr>
      </w:pPr>
      <w:r w:rsidRPr="00355122">
        <w:rPr>
          <w:spacing w:val="-4"/>
          <w:lang w:eastAsia="en-GB"/>
        </w:rPr>
        <w:t>Le présent document est communiqué uniquement à titre d’information. Le texte authentique, juridiquement contraignant, est celui du document</w:t>
      </w:r>
      <w:r w:rsidRPr="00355122">
        <w:rPr>
          <w:lang w:eastAsia="en-GB"/>
        </w:rPr>
        <w:t xml:space="preserve"> </w:t>
      </w:r>
      <w:r w:rsidRPr="00355122">
        <w:rPr>
          <w:spacing w:val="-6"/>
          <w:lang w:eastAsia="en-GB"/>
        </w:rPr>
        <w:t>ECE/TRANS/WP.29/2017/122.</w:t>
      </w:r>
    </w:p>
    <w:p w14:paraId="0ECE1132" w14:textId="77777777" w:rsidR="00F56766" w:rsidRPr="001D1995" w:rsidRDefault="00836697" w:rsidP="008976CB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14E16D" wp14:editId="5318D548">
                <wp:simplePos x="0" y="0"/>
                <wp:positionH relativeFrom="margin">
                  <wp:posOffset>31750</wp:posOffset>
                </wp:positionH>
                <wp:positionV relativeFrom="margin">
                  <wp:posOffset>6275705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9B849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702FAE92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1BD4AB8" wp14:editId="75E82804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490003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E25D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.5pt;margin-top:494.15pt;width:481.9pt;height:90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2F9B184" wp14:editId="001BE0B6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pacing w:val="-6"/>
          <w:lang w:eastAsia="en-GB"/>
        </w:rPr>
        <w:br w:type="page"/>
      </w:r>
      <w:r w:rsidR="00F56766" w:rsidRPr="008976CB">
        <w:rPr>
          <w:i/>
        </w:rPr>
        <w:lastRenderedPageBreak/>
        <w:t>Paragraphe 5.2.7</w:t>
      </w:r>
      <w:r w:rsidR="00F56766" w:rsidRPr="001D1995">
        <w:t xml:space="preserve">, </w:t>
      </w:r>
      <w:r w:rsidR="00F56766">
        <w:t>lire</w:t>
      </w:r>
      <w:r w:rsidR="00F56766" w:rsidRPr="001D1995">
        <w:t> :</w:t>
      </w:r>
    </w:p>
    <w:p w14:paraId="127657AD" w14:textId="77777777" w:rsidR="00F56766" w:rsidRPr="003C76B0" w:rsidRDefault="00F56766" w:rsidP="008976CB">
      <w:pPr>
        <w:pStyle w:val="SingleTxtG"/>
        <w:ind w:left="2268" w:hanging="1134"/>
      </w:pPr>
      <w:r w:rsidRPr="003C76B0">
        <w:t>« 5.2.7</w:t>
      </w:r>
      <w:r w:rsidRPr="003C76B0">
        <w:tab/>
      </w:r>
      <w:r w:rsidRPr="003C76B0">
        <w:tab/>
        <w:t>Après les essais, les dispositifs de déplacement destinés à permettre ou faciliter l’accès des occupants doivent être en état de fonctionnement</w:t>
      </w:r>
      <w:r>
        <w:t xml:space="preserve"> : ils </w:t>
      </w:r>
      <w:r w:rsidRPr="003C76B0">
        <w:t>doivent pouvoir au moins une fois être déverrouillés et permettre le déplacement du siège ou de la partie de celui</w:t>
      </w:r>
      <w:r w:rsidRPr="003C76B0">
        <w:noBreakHyphen/>
        <w:t>ci pour laquelle ils sont prévus.</w:t>
      </w:r>
    </w:p>
    <w:p w14:paraId="610E3747" w14:textId="77777777" w:rsidR="00F56766" w:rsidRPr="00C9126F" w:rsidRDefault="00F56766" w:rsidP="008976CB">
      <w:pPr>
        <w:pStyle w:val="SingleTxtG"/>
        <w:ind w:left="2268"/>
      </w:pPr>
      <w:r w:rsidRPr="003C76B0">
        <w:tab/>
      </w:r>
      <w:r w:rsidRPr="00C9126F">
        <w:t>Les autres dispositifs de déplacement ainsi que les dispositifs de réglage et leurs dispositifs de verrouillage ne sont pas tenus d</w:t>
      </w:r>
      <w:r>
        <w:t>’</w:t>
      </w:r>
      <w:r w:rsidRPr="00C9126F">
        <w:t>être en état de fonctionnement.</w:t>
      </w:r>
    </w:p>
    <w:p w14:paraId="796B77CE" w14:textId="77777777" w:rsidR="00F56766" w:rsidRPr="00C9126F" w:rsidRDefault="00F56766" w:rsidP="008976CB">
      <w:pPr>
        <w:pStyle w:val="SingleTxtG"/>
        <w:ind w:left="2268"/>
      </w:pPr>
      <w:r w:rsidRPr="003C76B0">
        <w:tab/>
      </w:r>
      <w:r w:rsidRPr="00C9126F">
        <w:t>Dans le cas de sièges munis d</w:t>
      </w:r>
      <w:r>
        <w:t>’</w:t>
      </w:r>
      <w:r w:rsidRPr="00C9126F">
        <w:t>un appuie-tête, la résistance du dossier et de ses dispositifs de verrouillage est censée répondre aux prescriptions définies au paragraphe 6.2, quand, après l</w:t>
      </w:r>
      <w:r>
        <w:t>’</w:t>
      </w:r>
      <w:r w:rsidRPr="00C9126F">
        <w:t>essai décrit au paragraphe 6.4.3.6 ci-après, aucune rupture du siège ou du dossier n</w:t>
      </w:r>
      <w:r>
        <w:t>’</w:t>
      </w:r>
      <w:r w:rsidRPr="00C9126F">
        <w:t>est apparue ; sinon, il faut vérifier que le siège est capable de répondre aux prescriptions d</w:t>
      </w:r>
      <w:r>
        <w:t>’</w:t>
      </w:r>
      <w:r w:rsidRPr="00C9126F">
        <w:t>essai décrites au paragraphe 6.2 ci-après.</w:t>
      </w:r>
    </w:p>
    <w:p w14:paraId="2AE011F3" w14:textId="77777777" w:rsidR="00F56766" w:rsidRPr="00C9126F" w:rsidRDefault="00F56766" w:rsidP="008976CB">
      <w:pPr>
        <w:pStyle w:val="SingleTxtG"/>
        <w:ind w:left="2268"/>
      </w:pPr>
      <w:r w:rsidRPr="003C76B0">
        <w:tab/>
      </w:r>
      <w:r w:rsidRPr="00C9126F">
        <w:t>Dans le cas de sièges (banquettes) comportant plus de places assises que d</w:t>
      </w:r>
      <w:r>
        <w:t>’</w:t>
      </w:r>
      <w:r w:rsidRPr="00C9126F">
        <w:t>appuie</w:t>
      </w:r>
      <w:r w:rsidRPr="00C9126F">
        <w:noBreakHyphen/>
        <w:t>tête et si le constructeur choisit de n</w:t>
      </w:r>
      <w:r>
        <w:t>e pas appliquer la valeur de 53 </w:t>
      </w:r>
      <w:proofErr w:type="spellStart"/>
      <w:r w:rsidRPr="00C9126F">
        <w:t>daNm</w:t>
      </w:r>
      <w:proofErr w:type="spellEnd"/>
      <w:r w:rsidRPr="00C9126F">
        <w:t xml:space="preserve"> pendant l</w:t>
      </w:r>
      <w:r>
        <w:t>’essai décrit au paragraphe </w:t>
      </w:r>
      <w:r w:rsidRPr="00C9126F">
        <w:t>6.4, l</w:t>
      </w:r>
      <w:r>
        <w:t>’</w:t>
      </w:r>
      <w:r w:rsidRPr="00C9126F">
        <w:t>essai décrit au paragraphe</w:t>
      </w:r>
      <w:r>
        <w:t> </w:t>
      </w:r>
      <w:r w:rsidRPr="00C9126F">
        <w:t xml:space="preserve">6.2 ci-après est effectué en plus </w:t>
      </w:r>
      <w:r>
        <w:t>de celui prescrit au paragraphe </w:t>
      </w:r>
      <w:r w:rsidRPr="00C9126F">
        <w:t>6.4.</w:t>
      </w:r>
      <w:r w:rsidR="00CB0BA8">
        <w:t> »</w:t>
      </w:r>
    </w:p>
    <w:p w14:paraId="711D5158" w14:textId="77777777" w:rsidR="00F56766" w:rsidRPr="001D1995" w:rsidRDefault="00F56766" w:rsidP="008976CB">
      <w:pPr>
        <w:pStyle w:val="SingleTxtG"/>
        <w:rPr>
          <w:lang w:eastAsia="th-TH" w:bidi="th-TH"/>
        </w:rPr>
      </w:pPr>
      <w:r w:rsidRPr="008976CB">
        <w:rPr>
          <w:i/>
        </w:rPr>
        <w:t>Paragraphes 6.4.3.2 et 6.4.3.3</w:t>
      </w:r>
      <w:r w:rsidRPr="001D1995">
        <w:t xml:space="preserve">, </w:t>
      </w:r>
      <w:r>
        <w:t>lire</w:t>
      </w:r>
      <w:r w:rsidRPr="001D1995">
        <w:t> :</w:t>
      </w:r>
    </w:p>
    <w:p w14:paraId="0CC69468" w14:textId="77777777" w:rsidR="00F56766" w:rsidRPr="003C76B0" w:rsidRDefault="00F56766" w:rsidP="008976CB">
      <w:pPr>
        <w:pStyle w:val="SingleTxtG"/>
        <w:ind w:left="2268" w:hanging="1134"/>
        <w:rPr>
          <w:lang w:eastAsia="th-TH" w:bidi="th-TH"/>
        </w:rPr>
      </w:pPr>
      <w:r w:rsidRPr="003C76B0">
        <w:rPr>
          <w:lang w:eastAsia="th-TH" w:bidi="th-TH"/>
        </w:rPr>
        <w:t>« 6.4.3.2</w:t>
      </w:r>
      <w:r w:rsidRPr="003C76B0">
        <w:rPr>
          <w:lang w:eastAsia="th-TH" w:bidi="th-TH"/>
        </w:rPr>
        <w:tab/>
        <w:t>On détermine la l</w:t>
      </w:r>
      <w:r>
        <w:rPr>
          <w:lang w:eastAsia="th-TH" w:bidi="th-TH"/>
        </w:rPr>
        <w:t>igne de référence déplacée en</w:t>
      </w:r>
      <w:r w:rsidRPr="003C76B0">
        <w:rPr>
          <w:lang w:eastAsia="th-TH" w:bidi="th-TH"/>
        </w:rPr>
        <w:t xml:space="preserve"> appliquant à la partie simulant le dos du</w:t>
      </w:r>
      <w:r w:rsidR="0023451E">
        <w:rPr>
          <w:lang w:eastAsia="th-TH" w:bidi="th-TH"/>
        </w:rPr>
        <w:t xml:space="preserve"> mannequin mentionné à l’annexe </w:t>
      </w:r>
      <w:r w:rsidRPr="003C76B0">
        <w:rPr>
          <w:lang w:eastAsia="th-TH" w:bidi="th-TH"/>
        </w:rPr>
        <w:t>3 du présent Règlement une force initiale produisant un mome</w:t>
      </w:r>
      <w:r w:rsidR="0037331C">
        <w:rPr>
          <w:lang w:eastAsia="th-TH" w:bidi="th-TH"/>
        </w:rPr>
        <w:t>nt de 37,3 </w:t>
      </w:r>
      <w:proofErr w:type="spellStart"/>
      <w:r w:rsidR="0037331C">
        <w:rPr>
          <w:lang w:eastAsia="th-TH" w:bidi="th-TH"/>
        </w:rPr>
        <w:t>daNm</w:t>
      </w:r>
      <w:proofErr w:type="spellEnd"/>
      <w:r w:rsidR="0037331C">
        <w:rPr>
          <w:lang w:eastAsia="th-TH" w:bidi="th-TH"/>
        </w:rPr>
        <w:t xml:space="preserve"> autour du point </w:t>
      </w:r>
      <w:r w:rsidRPr="003C76B0">
        <w:rPr>
          <w:lang w:eastAsia="th-TH" w:bidi="th-TH"/>
        </w:rPr>
        <w:t>R, vers l’arrière. En cas d’essai simultané de banquettes, le moment vers l’arrière est appliqué simultanément à chaque place assise des banquettes, qu’elle soit ou non équipée d’appuie-tête.</w:t>
      </w:r>
    </w:p>
    <w:p w14:paraId="393821F0" w14:textId="77777777" w:rsidR="00F56766" w:rsidRPr="003C76B0" w:rsidRDefault="00F56766" w:rsidP="008976CB">
      <w:pPr>
        <w:pStyle w:val="SingleTxtG"/>
        <w:ind w:left="2268" w:hanging="1134"/>
        <w:rPr>
          <w:szCs w:val="24"/>
          <w:lang w:eastAsia="th-TH" w:bidi="th-TH"/>
        </w:rPr>
      </w:pPr>
      <w:r w:rsidRPr="003C76B0">
        <w:rPr>
          <w:szCs w:val="24"/>
          <w:lang w:eastAsia="th-TH" w:bidi="th-TH"/>
        </w:rPr>
        <w:t>6.4.3.3</w:t>
      </w:r>
      <w:r w:rsidRPr="003C76B0">
        <w:rPr>
          <w:szCs w:val="24"/>
          <w:lang w:eastAsia="th-TH" w:bidi="th-TH"/>
        </w:rPr>
        <w:tab/>
        <w:t>À l’aide d’une tête sphérique de 165 mm de diamètre, on applique perpendiculairement à la ligne de référence déplacée et à une distance de 65 mm au-dessous du sommet de l’appuie-tête, une force initiale produisant un mome</w:t>
      </w:r>
      <w:r w:rsidR="0037331C">
        <w:rPr>
          <w:szCs w:val="24"/>
          <w:lang w:eastAsia="th-TH" w:bidi="th-TH"/>
        </w:rPr>
        <w:t>nt de 37,3 </w:t>
      </w:r>
      <w:proofErr w:type="spellStart"/>
      <w:r w:rsidR="0037331C">
        <w:rPr>
          <w:szCs w:val="24"/>
          <w:lang w:eastAsia="th-TH" w:bidi="th-TH"/>
        </w:rPr>
        <w:t>daNm</w:t>
      </w:r>
      <w:proofErr w:type="spellEnd"/>
      <w:r w:rsidR="0037331C">
        <w:rPr>
          <w:szCs w:val="24"/>
          <w:lang w:eastAsia="th-TH" w:bidi="th-TH"/>
        </w:rPr>
        <w:t xml:space="preserve"> autour du point </w:t>
      </w:r>
      <w:r w:rsidRPr="003C76B0">
        <w:rPr>
          <w:szCs w:val="24"/>
          <w:lang w:eastAsia="th-TH" w:bidi="th-TH"/>
        </w:rPr>
        <w:t>R, la ligne de référence étant maintenue dans sa position dépl</w:t>
      </w:r>
      <w:r w:rsidR="0023451E">
        <w:rPr>
          <w:szCs w:val="24"/>
          <w:lang w:eastAsia="th-TH" w:bidi="th-TH"/>
        </w:rPr>
        <w:t>acée conformément au paragraphe </w:t>
      </w:r>
      <w:r w:rsidRPr="003C76B0">
        <w:rPr>
          <w:szCs w:val="24"/>
          <w:lang w:eastAsia="th-TH" w:bidi="th-TH"/>
        </w:rPr>
        <w:t>6.4.3.2 ci</w:t>
      </w:r>
      <w:r w:rsidRPr="003C76B0">
        <w:rPr>
          <w:szCs w:val="24"/>
          <w:lang w:eastAsia="th-TH" w:bidi="th-TH"/>
        </w:rPr>
        <w:noBreakHyphen/>
        <w:t xml:space="preserve">dessus. En cas d’essai simultané de banquettes, le moment est appliqué à chacun </w:t>
      </w:r>
      <w:proofErr w:type="gramStart"/>
      <w:r w:rsidRPr="003C76B0">
        <w:rPr>
          <w:szCs w:val="24"/>
          <w:lang w:eastAsia="th-TH" w:bidi="th-TH"/>
        </w:rPr>
        <w:t>des appuie-tête</w:t>
      </w:r>
      <w:proofErr w:type="gramEnd"/>
      <w:r w:rsidRPr="003C76B0">
        <w:rPr>
          <w:szCs w:val="24"/>
          <w:lang w:eastAsia="th-TH" w:bidi="th-TH"/>
        </w:rPr>
        <w:t xml:space="preserve"> des banquettes.</w:t>
      </w:r>
      <w:r w:rsidRPr="003C76B0">
        <w:rPr>
          <w:bCs/>
          <w:color w:val="000000"/>
          <w:szCs w:val="24"/>
          <w:lang w:eastAsia="th-TH" w:bidi="th-TH"/>
        </w:rPr>
        <w:t> »</w:t>
      </w:r>
    </w:p>
    <w:p w14:paraId="397ACAF5" w14:textId="77777777" w:rsidR="00F56766" w:rsidRPr="001D1995" w:rsidRDefault="00F56766" w:rsidP="008976CB">
      <w:pPr>
        <w:pStyle w:val="SingleTxtG"/>
        <w:rPr>
          <w:lang w:eastAsia="th-TH" w:bidi="th-TH"/>
        </w:rPr>
      </w:pPr>
      <w:r w:rsidRPr="008976CB">
        <w:rPr>
          <w:i/>
        </w:rPr>
        <w:t>Paragraphe 6.4.3.6</w:t>
      </w:r>
      <w:r w:rsidRPr="001D1995">
        <w:t xml:space="preserve">, </w:t>
      </w:r>
      <w:r>
        <w:t>lire</w:t>
      </w:r>
      <w:r w:rsidRPr="001D1995">
        <w:t> :</w:t>
      </w:r>
    </w:p>
    <w:p w14:paraId="36C8D985" w14:textId="77777777" w:rsidR="00F56766" w:rsidRPr="003C76B0" w:rsidRDefault="00F56766" w:rsidP="008976CB">
      <w:pPr>
        <w:pStyle w:val="SingleTxtG"/>
        <w:ind w:left="2268" w:hanging="1134"/>
        <w:rPr>
          <w:bCs/>
          <w:color w:val="000000"/>
          <w:szCs w:val="24"/>
          <w:lang w:eastAsia="th-TH" w:bidi="th-TH"/>
        </w:rPr>
      </w:pPr>
      <w:r w:rsidRPr="003C76B0">
        <w:rPr>
          <w:szCs w:val="24"/>
          <w:lang w:eastAsia="th-TH" w:bidi="th-TH"/>
        </w:rPr>
        <w:t>« 6.4.3.6</w:t>
      </w:r>
      <w:r w:rsidRPr="003C76B0">
        <w:rPr>
          <w:szCs w:val="24"/>
          <w:lang w:eastAsia="th-TH" w:bidi="th-TH"/>
        </w:rPr>
        <w:tab/>
      </w:r>
      <w:r w:rsidRPr="005142EF">
        <w:rPr>
          <w:spacing w:val="-2"/>
          <w:szCs w:val="24"/>
          <w:lang w:eastAsia="th-TH" w:bidi="th-TH"/>
        </w:rPr>
        <w:t xml:space="preserve">Pour contrôler l’efficacité de l’appuie-tête, on augmente la force initiale prévue aux </w:t>
      </w:r>
      <w:r w:rsidRPr="005142EF">
        <w:rPr>
          <w:spacing w:val="-2"/>
          <w:lang w:eastAsia="th-TH" w:bidi="th-TH"/>
        </w:rPr>
        <w:t>paragraphes</w:t>
      </w:r>
      <w:r w:rsidR="000C6990" w:rsidRPr="005142EF">
        <w:rPr>
          <w:spacing w:val="-2"/>
          <w:szCs w:val="24"/>
          <w:lang w:eastAsia="th-TH" w:bidi="th-TH"/>
        </w:rPr>
        <w:t> </w:t>
      </w:r>
      <w:r w:rsidRPr="005142EF">
        <w:rPr>
          <w:spacing w:val="-2"/>
          <w:szCs w:val="24"/>
          <w:lang w:eastAsia="th-TH" w:bidi="th-TH"/>
        </w:rPr>
        <w:t xml:space="preserve">6.4.3.3 et 6.4.3.3.2 jusqu’à une valeur de 89 daN, à moins que la rupture du siège ou du dossier n’intervienne avant. </w:t>
      </w:r>
      <w:r w:rsidRPr="005142EF">
        <w:rPr>
          <w:bCs/>
          <w:color w:val="000000"/>
          <w:spacing w:val="-2"/>
          <w:szCs w:val="24"/>
          <w:lang w:eastAsia="th-TH" w:bidi="th-TH"/>
        </w:rPr>
        <w:t>À la demande du fabricant, la</w:t>
      </w:r>
      <w:r w:rsidR="000C6990" w:rsidRPr="005142EF">
        <w:rPr>
          <w:bCs/>
          <w:color w:val="000000"/>
          <w:spacing w:val="-2"/>
          <w:szCs w:val="24"/>
          <w:lang w:eastAsia="th-TH" w:bidi="th-TH"/>
        </w:rPr>
        <w:t xml:space="preserve"> force mentionnée au paragraphe </w:t>
      </w:r>
      <w:r w:rsidRPr="005142EF">
        <w:rPr>
          <w:bCs/>
          <w:color w:val="000000"/>
          <w:spacing w:val="-2"/>
          <w:szCs w:val="24"/>
          <w:lang w:eastAsia="th-TH" w:bidi="th-TH"/>
        </w:rPr>
        <w:t>6.4.3.2 est accrue simultanément jusqu’à 53 </w:t>
      </w:r>
      <w:proofErr w:type="spellStart"/>
      <w:r w:rsidRPr="005142EF">
        <w:rPr>
          <w:bCs/>
          <w:color w:val="000000"/>
          <w:spacing w:val="-2"/>
          <w:szCs w:val="24"/>
          <w:lang w:eastAsia="th-TH" w:bidi="th-TH"/>
        </w:rPr>
        <w:t>daNm</w:t>
      </w:r>
      <w:proofErr w:type="spellEnd"/>
      <w:r w:rsidRPr="005142EF">
        <w:rPr>
          <w:bCs/>
          <w:color w:val="000000"/>
          <w:spacing w:val="-2"/>
          <w:szCs w:val="24"/>
          <w:lang w:eastAsia="th-TH" w:bidi="th-TH"/>
        </w:rPr>
        <w:t xml:space="preserve"> pour les places assises sans appuie-tête seulement afin de permettre le respect simultané</w:t>
      </w:r>
      <w:r w:rsidR="000C6990" w:rsidRPr="005142EF">
        <w:rPr>
          <w:bCs/>
          <w:color w:val="000000"/>
          <w:spacing w:val="-2"/>
          <w:szCs w:val="24"/>
          <w:lang w:eastAsia="th-TH" w:bidi="th-TH"/>
        </w:rPr>
        <w:t xml:space="preserve"> des paragraphes </w:t>
      </w:r>
      <w:r w:rsidR="0023451E" w:rsidRPr="005142EF">
        <w:rPr>
          <w:bCs/>
          <w:color w:val="000000"/>
          <w:spacing w:val="-2"/>
          <w:szCs w:val="24"/>
          <w:lang w:eastAsia="th-TH" w:bidi="th-TH"/>
        </w:rPr>
        <w:t>5.15 et 6.2.</w:t>
      </w:r>
      <w:r w:rsidR="0023451E">
        <w:rPr>
          <w:bCs/>
          <w:color w:val="000000"/>
          <w:szCs w:val="24"/>
          <w:lang w:eastAsia="th-TH" w:bidi="th-TH"/>
        </w:rPr>
        <w:t> »</w:t>
      </w:r>
    </w:p>
    <w:p w14:paraId="524D85DA" w14:textId="77777777" w:rsidR="005F0207" w:rsidRPr="00AD3410" w:rsidRDefault="00AD3410" w:rsidP="00AD341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AD3410" w:rsidSect="00CA083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5E435" w14:textId="77777777" w:rsidR="00C74812" w:rsidRDefault="00C74812"/>
  </w:endnote>
  <w:endnote w:type="continuationSeparator" w:id="0">
    <w:p w14:paraId="37E9B738" w14:textId="77777777" w:rsidR="00C74812" w:rsidRDefault="00C74812">
      <w:pPr>
        <w:pStyle w:val="Footer"/>
      </w:pPr>
    </w:p>
  </w:endnote>
  <w:endnote w:type="continuationNotice" w:id="1">
    <w:p w14:paraId="15810767" w14:textId="77777777" w:rsidR="00C74812" w:rsidRPr="00C451B9" w:rsidRDefault="00C74812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B553" w14:textId="77777777" w:rsidR="00CA0830" w:rsidRPr="00CA0830" w:rsidRDefault="00CA0830" w:rsidP="00CA0830">
    <w:pPr>
      <w:pStyle w:val="Footer"/>
      <w:tabs>
        <w:tab w:val="right" w:pos="9638"/>
      </w:tabs>
    </w:pPr>
    <w:r w:rsidRPr="00CA0830">
      <w:rPr>
        <w:b/>
        <w:sz w:val="18"/>
      </w:rPr>
      <w:fldChar w:fldCharType="begin"/>
    </w:r>
    <w:r w:rsidRPr="00CA0830">
      <w:rPr>
        <w:b/>
        <w:sz w:val="18"/>
      </w:rPr>
      <w:instrText xml:space="preserve"> PAGE  \* MERGEFORMAT </w:instrText>
    </w:r>
    <w:r w:rsidRPr="00CA0830">
      <w:rPr>
        <w:b/>
        <w:sz w:val="18"/>
      </w:rPr>
      <w:fldChar w:fldCharType="separate"/>
    </w:r>
    <w:r w:rsidR="00210B34">
      <w:rPr>
        <w:b/>
        <w:noProof/>
        <w:sz w:val="18"/>
      </w:rPr>
      <w:t>2</w:t>
    </w:r>
    <w:r w:rsidRPr="00CA0830">
      <w:rPr>
        <w:b/>
        <w:sz w:val="18"/>
      </w:rPr>
      <w:fldChar w:fldCharType="end"/>
    </w:r>
    <w:r>
      <w:rPr>
        <w:b/>
        <w:sz w:val="18"/>
      </w:rPr>
      <w:tab/>
    </w:r>
    <w:r>
      <w:t>GE.18-13175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94AF" w14:textId="77777777" w:rsidR="00CA0830" w:rsidRPr="00CA0830" w:rsidRDefault="00CA0830" w:rsidP="00CA0830">
    <w:pPr>
      <w:pStyle w:val="Footer"/>
      <w:tabs>
        <w:tab w:val="right" w:pos="9638"/>
      </w:tabs>
      <w:rPr>
        <w:b/>
        <w:sz w:val="18"/>
      </w:rPr>
    </w:pPr>
    <w:r>
      <w:t>GE.18-13175</w:t>
    </w:r>
    <w:r>
      <w:tab/>
    </w:r>
    <w:r w:rsidRPr="00CA0830">
      <w:rPr>
        <w:b/>
        <w:sz w:val="18"/>
      </w:rPr>
      <w:fldChar w:fldCharType="begin"/>
    </w:r>
    <w:r w:rsidRPr="00CA0830">
      <w:rPr>
        <w:b/>
        <w:sz w:val="18"/>
      </w:rPr>
      <w:instrText xml:space="preserve"> PAGE  \* MERGEFORMAT </w:instrText>
    </w:r>
    <w:r w:rsidRPr="00CA0830">
      <w:rPr>
        <w:b/>
        <w:sz w:val="18"/>
      </w:rPr>
      <w:fldChar w:fldCharType="separate"/>
    </w:r>
    <w:r w:rsidR="006166C1">
      <w:rPr>
        <w:b/>
        <w:noProof/>
        <w:sz w:val="18"/>
      </w:rPr>
      <w:t>2</w:t>
    </w:r>
    <w:r w:rsidRPr="00CA083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986A6" w14:textId="77777777" w:rsidR="00467F2C" w:rsidRPr="00CA0830" w:rsidRDefault="00CA0830" w:rsidP="00CA0830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0AA5897" wp14:editId="621579F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13175  (</w:t>
    </w:r>
    <w:proofErr w:type="gramEnd"/>
    <w:r>
      <w:rPr>
        <w:sz w:val="20"/>
      </w:rPr>
      <w:t>F)</w:t>
    </w:r>
    <w:r w:rsidR="006166C1">
      <w:rPr>
        <w:sz w:val="20"/>
      </w:rPr>
      <w:t xml:space="preserve">    290319    100419</w:t>
    </w:r>
    <w:r>
      <w:rPr>
        <w:sz w:val="20"/>
      </w:rPr>
      <w:br/>
    </w:r>
    <w:r w:rsidRPr="00CA0830">
      <w:rPr>
        <w:rFonts w:ascii="C39T30Lfz" w:hAnsi="C39T30Lfz"/>
        <w:sz w:val="56"/>
      </w:rPr>
      <w:t></w:t>
    </w:r>
    <w:r w:rsidRPr="00CA0830">
      <w:rPr>
        <w:rFonts w:ascii="C39T30Lfz" w:hAnsi="C39T30Lfz"/>
        <w:sz w:val="56"/>
      </w:rPr>
      <w:t></w:t>
    </w:r>
    <w:r w:rsidRPr="00CA0830">
      <w:rPr>
        <w:rFonts w:ascii="C39T30Lfz" w:hAnsi="C39T30Lfz"/>
        <w:sz w:val="56"/>
      </w:rPr>
      <w:t></w:t>
    </w:r>
    <w:r w:rsidRPr="00CA0830">
      <w:rPr>
        <w:rFonts w:ascii="C39T30Lfz" w:hAnsi="C39T30Lfz"/>
        <w:sz w:val="56"/>
      </w:rPr>
      <w:t></w:t>
    </w:r>
    <w:r w:rsidRPr="00CA0830">
      <w:rPr>
        <w:rFonts w:ascii="C39T30Lfz" w:hAnsi="C39T30Lfz"/>
        <w:sz w:val="56"/>
      </w:rPr>
      <w:t></w:t>
    </w:r>
    <w:r w:rsidRPr="00CA0830">
      <w:rPr>
        <w:rFonts w:ascii="C39T30Lfz" w:hAnsi="C39T30Lfz"/>
        <w:sz w:val="56"/>
      </w:rPr>
      <w:t></w:t>
    </w:r>
    <w:r w:rsidRPr="00CA0830">
      <w:rPr>
        <w:rFonts w:ascii="C39T30Lfz" w:hAnsi="C39T30Lfz"/>
        <w:sz w:val="56"/>
      </w:rPr>
      <w:t></w:t>
    </w:r>
    <w:r w:rsidRPr="00CA0830">
      <w:rPr>
        <w:rFonts w:ascii="C39T30Lfz" w:hAnsi="C39T30Lfz"/>
        <w:sz w:val="56"/>
      </w:rPr>
      <w:t></w:t>
    </w:r>
    <w:r w:rsidRPr="00CA083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 wp14:anchorId="6CF4BBCA" wp14:editId="03D5240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16/Rev.5/Amen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6/Rev.5/Amend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B1E52" w14:textId="77777777" w:rsidR="00C74812" w:rsidRPr="00D27D5E" w:rsidRDefault="00C7481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070382" w14:textId="77777777" w:rsidR="00C74812" w:rsidRPr="00D171D4" w:rsidRDefault="00C74812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C8FCE9D" w14:textId="77777777" w:rsidR="00C74812" w:rsidRPr="00C451B9" w:rsidRDefault="00C74812" w:rsidP="00C451B9">
      <w:pPr>
        <w:spacing w:line="240" w:lineRule="auto"/>
        <w:rPr>
          <w:sz w:val="2"/>
          <w:szCs w:val="2"/>
        </w:rPr>
      </w:pPr>
    </w:p>
  </w:footnote>
  <w:footnote w:id="2">
    <w:p w14:paraId="22D3ECE6" w14:textId="77777777" w:rsidR="00CA0830" w:rsidRPr="001D1995" w:rsidRDefault="00CA0830" w:rsidP="00CA0830">
      <w:pPr>
        <w:pStyle w:val="FootnoteText"/>
      </w:pPr>
      <w:r>
        <w:tab/>
      </w:r>
      <w:r w:rsidRPr="001D1995">
        <w:rPr>
          <w:rStyle w:val="FootnoteReference"/>
          <w:sz w:val="20"/>
        </w:rPr>
        <w:t>*</w:t>
      </w:r>
      <w:r w:rsidRPr="001D1995">
        <w:rPr>
          <w:sz w:val="20"/>
        </w:rPr>
        <w:tab/>
      </w:r>
      <w:r w:rsidRPr="001D1995">
        <w:t>Anciens titres de l’Accord :</w:t>
      </w:r>
    </w:p>
    <w:p w14:paraId="3733EA8E" w14:textId="77777777" w:rsidR="00CA0830" w:rsidRPr="001D1995" w:rsidRDefault="00CA0830" w:rsidP="006166C1">
      <w:pPr>
        <w:pStyle w:val="FootnoteText"/>
        <w:rPr>
          <w:sz w:val="20"/>
        </w:rPr>
      </w:pPr>
      <w:r w:rsidRPr="001D1995">
        <w:tab/>
      </w:r>
      <w:r w:rsidRPr="001D1995">
        <w:tab/>
      </w:r>
      <w:r w:rsidRPr="001D1995">
        <w:rPr>
          <w:spacing w:val="-4"/>
        </w:rPr>
        <w:t>Accord concernant l’adoption de conditions uniformes d’homologation et la reconnaissance réciproque de l’homologation des équipements et pièces de véhicules à m</w:t>
      </w:r>
      <w:r w:rsidR="008810AE">
        <w:rPr>
          <w:spacing w:val="-4"/>
        </w:rPr>
        <w:t>oteur, en date, à Genève, du 20 </w:t>
      </w:r>
      <w:r w:rsidRPr="001D1995">
        <w:rPr>
          <w:spacing w:val="-4"/>
        </w:rPr>
        <w:t>mars 1958 (version originale)</w:t>
      </w:r>
      <w:r>
        <w:rPr>
          <w:spacing w:val="-4"/>
        </w:rPr>
        <w:t> ;</w:t>
      </w:r>
    </w:p>
    <w:p w14:paraId="5DBA0980" w14:textId="77777777" w:rsidR="00CA0830" w:rsidRPr="001D1995" w:rsidRDefault="00CA0830" w:rsidP="00CA0830">
      <w:pPr>
        <w:pStyle w:val="FootnoteText"/>
      </w:pPr>
      <w:r w:rsidRPr="001D1995">
        <w:tab/>
      </w:r>
      <w:r w:rsidRPr="001D1995">
        <w:tab/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</w:t>
      </w:r>
      <w:r w:rsidR="008810AE">
        <w:t>ptions, en date, à Genève, du 5 </w:t>
      </w:r>
      <w:r w:rsidRPr="001D1995">
        <w:t>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1A1BE" w14:textId="7E49391C" w:rsidR="00CA0830" w:rsidRPr="00CA0830" w:rsidRDefault="00CA0830">
    <w:pPr>
      <w:pStyle w:val="Header"/>
      <w:rPr>
        <w:lang w:val="en-US"/>
      </w:rPr>
    </w:pPr>
    <w:r>
      <w:fldChar w:fldCharType="begin"/>
    </w:r>
    <w:r w:rsidRPr="00CA0830">
      <w:rPr>
        <w:lang w:val="en-US"/>
      </w:rPr>
      <w:instrText xml:space="preserve"> TITLE  \* MERGEFORMAT </w:instrText>
    </w:r>
    <w:r>
      <w:fldChar w:fldCharType="separate"/>
    </w:r>
    <w:r w:rsidR="00883B58">
      <w:rPr>
        <w:lang w:val="en-US"/>
      </w:rPr>
      <w:t>E/ECE/324/Rev.1/Add.16/Rev.5/Amend.2</w:t>
    </w:r>
    <w:r>
      <w:fldChar w:fldCharType="end"/>
    </w:r>
    <w:r w:rsidRPr="00CA0830">
      <w:rPr>
        <w:lang w:val="en-US"/>
      </w:rPr>
      <w:br/>
    </w:r>
    <w:r>
      <w:fldChar w:fldCharType="begin"/>
    </w:r>
    <w:r w:rsidRPr="00CA0830">
      <w:rPr>
        <w:lang w:val="en-US"/>
      </w:rPr>
      <w:instrText xml:space="preserve"> KEYWORDS  \* MERGEFORMAT </w:instrText>
    </w:r>
    <w:r>
      <w:fldChar w:fldCharType="separate"/>
    </w:r>
    <w:r w:rsidR="00883B58">
      <w:rPr>
        <w:lang w:val="en-US"/>
      </w:rPr>
      <w:t>E/ECE/TRANS/505/Rev.1/Add.16/Rev.5/Amend.2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AD208" w14:textId="2A13F37B" w:rsidR="00CA0830" w:rsidRPr="00CA0830" w:rsidRDefault="00CA0830" w:rsidP="00CA0830">
    <w:pPr>
      <w:pStyle w:val="Header"/>
      <w:jc w:val="right"/>
      <w:rPr>
        <w:lang w:val="en-US"/>
      </w:rPr>
    </w:pPr>
    <w:r>
      <w:fldChar w:fldCharType="begin"/>
    </w:r>
    <w:r w:rsidRPr="00CA0830">
      <w:rPr>
        <w:lang w:val="en-US"/>
      </w:rPr>
      <w:instrText xml:space="preserve"> TITLE  \* MERGEFORMAT </w:instrText>
    </w:r>
    <w:r>
      <w:fldChar w:fldCharType="separate"/>
    </w:r>
    <w:r w:rsidR="00883B58">
      <w:rPr>
        <w:lang w:val="en-US"/>
      </w:rPr>
      <w:t>E/ECE/324/Rev.1/Add.16/Rev.5/Amend.2</w:t>
    </w:r>
    <w:r>
      <w:fldChar w:fldCharType="end"/>
    </w:r>
    <w:r w:rsidRPr="00CA0830">
      <w:rPr>
        <w:lang w:val="en-US"/>
      </w:rPr>
      <w:br/>
    </w:r>
    <w:r>
      <w:fldChar w:fldCharType="begin"/>
    </w:r>
    <w:r w:rsidRPr="00CA0830">
      <w:rPr>
        <w:lang w:val="en-US"/>
      </w:rPr>
      <w:instrText xml:space="preserve"> KEYWORDS  \* MERGEFORMAT </w:instrText>
    </w:r>
    <w:r>
      <w:fldChar w:fldCharType="separate"/>
    </w:r>
    <w:r w:rsidR="00883B58">
      <w:rPr>
        <w:lang w:val="en-US"/>
      </w:rPr>
      <w:t>E/ECE/TRANS/505/Rev.1/Add.16/Rev.5/Amend.2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12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990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293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10B34"/>
    <w:rsid w:val="00224B8B"/>
    <w:rsid w:val="00225A8C"/>
    <w:rsid w:val="00230ED3"/>
    <w:rsid w:val="00231A7F"/>
    <w:rsid w:val="0023451E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69C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331C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923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2EF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6C1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6697"/>
    <w:rsid w:val="00837345"/>
    <w:rsid w:val="00844750"/>
    <w:rsid w:val="00851A74"/>
    <w:rsid w:val="00853AB8"/>
    <w:rsid w:val="00854C34"/>
    <w:rsid w:val="0085586A"/>
    <w:rsid w:val="00856DB2"/>
    <w:rsid w:val="008810AE"/>
    <w:rsid w:val="00883B58"/>
    <w:rsid w:val="00884BA1"/>
    <w:rsid w:val="00895DE5"/>
    <w:rsid w:val="008976CB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3A74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D3410"/>
    <w:rsid w:val="00AE2617"/>
    <w:rsid w:val="00AE352C"/>
    <w:rsid w:val="00AE39A5"/>
    <w:rsid w:val="00AE79AC"/>
    <w:rsid w:val="00AF5C1A"/>
    <w:rsid w:val="00B00FCB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4812"/>
    <w:rsid w:val="00C75D25"/>
    <w:rsid w:val="00C825E5"/>
    <w:rsid w:val="00C95EB8"/>
    <w:rsid w:val="00CA0756"/>
    <w:rsid w:val="00CA0830"/>
    <w:rsid w:val="00CB02C5"/>
    <w:rsid w:val="00CB0BA8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6766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1435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4F517D8"/>
  <w15:docId w15:val="{D74DD29A-72F2-49C7-9832-AE375397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paragraph" w:customStyle="1" w:styleId="para">
    <w:name w:val="para"/>
    <w:basedOn w:val="SingleTxtG"/>
    <w:link w:val="paraChar"/>
    <w:qFormat/>
    <w:rsid w:val="00F56766"/>
    <w:pPr>
      <w:kinsoku/>
      <w:overflowPunct/>
      <w:autoSpaceDE/>
      <w:autoSpaceDN/>
      <w:adjustRightInd/>
      <w:snapToGrid/>
      <w:ind w:left="2268" w:hanging="1134"/>
    </w:pPr>
    <w:rPr>
      <w:rFonts w:eastAsia="Times New Roman"/>
      <w:lang w:val="en-GB"/>
    </w:rPr>
  </w:style>
  <w:style w:type="character" w:customStyle="1" w:styleId="paraChar">
    <w:name w:val="para Char"/>
    <w:link w:val="para"/>
    <w:rsid w:val="00F5676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E/ECE/324/Rev.1/Add.16/Rev.5/Amend.2</vt:lpstr>
      <vt:lpstr>E/ECE/324/Rev.1/Add.16/Rev.5/Amend.2</vt:lpstr>
    </vt:vector>
  </TitlesOfParts>
  <Company>CSD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E/ECE/324/Rev.1/Add.16/Rev.5/Amend.2</dc:title>
  <dc:creator>Brianne MAGNAT</dc:creator>
  <cp:keywords>E/ECE/TRANS/505/Rev.1/Add.16/Rev.5/Amend.2</cp:keywords>
  <cp:lastModifiedBy>Marie-Claude Collet</cp:lastModifiedBy>
  <cp:revision>3</cp:revision>
  <cp:lastPrinted>2019-04-23T16:09:00Z</cp:lastPrinted>
  <dcterms:created xsi:type="dcterms:W3CDTF">2019-04-23T16:07:00Z</dcterms:created>
  <dcterms:modified xsi:type="dcterms:W3CDTF">2019-04-23T16:09:00Z</dcterms:modified>
</cp:coreProperties>
</file>